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00000"/>
          <w:sz w:val="40"/>
        </w:rPr>
        <w:t>SmartOrders Enterprise</w:t>
      </w:r>
    </w:p>
    <w:p>
      <w:pPr>
        <w:spacing w:after="280"/>
        <w:jc w:val="center"/>
      </w:pPr>
      <w:r>
        <w:rPr>
          <w:rFonts w:ascii="Arial" w:hAnsi="Arial"/>
          <w:b/>
          <w:color w:val="000000"/>
          <w:sz w:val="26"/>
        </w:rPr>
        <w:t>Avance de Documentación Técnica - Semana 3</w:t>
        <w:br/>
      </w:r>
      <w:r>
        <w:rPr>
          <w:rFonts w:ascii="Arial" w:hAnsi="Arial"/>
          <w:color w:val="505050"/>
          <w:sz w:val="22"/>
        </w:rPr>
        <w:t>Asignatura: Patrones de Diseño de Software</w:t>
        <w:br/>
        <w:t>Institución: Unidades Tecnológicas de Santander, UTS</w:t>
        <w:br/>
        <w:t>Docente: Eliecer Montero Ojeda Ed.D</w:t>
        <w:br/>
        <w:t>Estudiante: Miguel Eduardo Ardila Cossio (meac@uts.edu.co)</w:t>
        <w:br/>
        <w:t>Dominio: Sistema Inteligente de Gestión de Pedidos, Crédito y Facturación SmartOrders Enterprise</w:t>
        <w:br/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1. Descripción del Proyecto y Planteamiento del Problema</w:t>
      </w:r>
    </w:p>
    <w:p>
      <w:pPr>
        <w:spacing w:line="276" w:lineRule="auto" w:after="120"/>
      </w:pPr>
      <w:r>
        <w:rPr>
          <w:rFonts w:ascii="Arial" w:hAnsi="Arial"/>
          <w:sz w:val="24"/>
        </w:rPr>
        <w:t>Los patrones de software son soluciones reutilizables para problemas recurrentes de arquitectura y desarrollo. No constituyen plantillas rígidas de copia y pega, sino modelos conceptuales y guías de ingeniería que permiten organizar el software de manera escalable, desacoplada y altamente mantenible.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este proyecto, denominado SmartOrders Enterprise, se aplica una reestructuración exhaustiva sobre un módulo comercial legacy de gestión de pedidos, clientes y crédito. El sistema evoluciona semana a semana mediante la incorporación progresiva de patrones de diseño GoF en las categorías creacionales, estructurales y de comportamiento, bajo las directrices de la arquitectura hexagonal de puertos y adaptadores.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Objetivo General</w:t>
      </w:r>
    </w:p>
    <w:p>
      <w:pPr>
        <w:spacing w:line="276" w:lineRule="auto" w:after="120"/>
      </w:pPr>
      <w:r>
        <w:rPr>
          <w:rFonts w:ascii="Arial" w:hAnsi="Arial"/>
          <w:sz w:val="24"/>
        </w:rPr>
        <w:t>Desarrollar un sistema empresarial de gestión inteligente de pedidos llamado SmartOrders, orientado a automatizar la recepción de órdenes, la evaluación crediticia mediante integración con centrales de riesgo, la aplicación dinámica de descuentos y subsidios socioeconómicos, la emisión de facturación electrónica fiscal y el monitoreo de telemetría en tiempo real, garantizando una cobertura de pruebas automatizadas superior al 80%.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Objetivos Específicos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Diagnóstico de Deuda Técnica: </w:t>
      </w:r>
      <w:r>
        <w:rPr>
          <w:rFonts w:ascii="Arial" w:hAnsi="Arial"/>
          <w:sz w:val="24"/>
        </w:rPr>
        <w:t>Identificar y documentar las violaciones a los principios SOLID en el código legacy de Pedido y Cliente recibido en la primera entrega.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Arquitectura Hexagonal: </w:t>
      </w:r>
      <w:r>
        <w:rPr>
          <w:rFonts w:ascii="Arial" w:hAnsi="Arial"/>
          <w:sz w:val="24"/>
        </w:rPr>
        <w:t>Diseñar una arquitectura desacoplada que separe el dominio puro de los adaptadores de infraestructura, controladores REST y base de datos.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Catálogo de 9 Patrones GoF: </w:t>
      </w:r>
      <w:r>
        <w:rPr>
          <w:rFonts w:ascii="Arial" w:hAnsi="Arial"/>
          <w:sz w:val="24"/>
        </w:rPr>
        <w:t>Implementar al menos 8 patrones de diseño GoF respetando el mínimo de 2 patrones por cada categoría técnica.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Patrones de Comportamiento: </w:t>
      </w:r>
      <w:r>
        <w:rPr>
          <w:rFonts w:ascii="Arial" w:hAnsi="Arial"/>
          <w:sz w:val="24"/>
        </w:rPr>
        <w:t>Sustituir las cadenas condicionales rígidas de cálculo de descuentos mediante el patrón Strategy y desacoplar los eventos del pedido mediante el patrón Observer.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Calidad y Testing: </w:t>
      </w:r>
      <w:r>
        <w:rPr>
          <w:rFonts w:ascii="Arial" w:hAnsi="Arial"/>
          <w:sz w:val="24"/>
        </w:rPr>
        <w:t>Desarrollar una batería de pruebas automatizadas certificadas por JaCoCo con cobertura mayor o igual al 80%.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Observabilidad y Despliegue: </w:t>
      </w:r>
      <w:r>
        <w:rPr>
          <w:rFonts w:ascii="Arial" w:hAnsi="Arial"/>
          <w:sz w:val="24"/>
        </w:rPr>
        <w:t>Establecer un pipeline automatizado de integración continua con GitHub Actions y métricas expuestas para Prometheus y Grafana.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2. Diagnóstico del Código Legacy Inicial - Semana 1</w:t>
      </w:r>
    </w:p>
    <w:p>
      <w:pPr>
        <w:spacing w:line="276" w:lineRule="auto" w:after="120"/>
      </w:pPr>
      <w:r>
        <w:rPr>
          <w:rFonts w:ascii="Arial" w:hAnsi="Arial"/>
          <w:sz w:val="24"/>
        </w:rPr>
        <w:t>Al inicio del proyecto se recibió el siguiente fragmento de código correspondiente a las clases Pedido y Cliente, el cual evidenciaba serias deficiencias estructurales, acoplamiento severo y deuda técnica: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Código Semilla Inicial Recibido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Pedido {</w:t>
              <w:br/>
              <w:t xml:space="preserve">    private Cliente cliente;</w:t>
              <w:br/>
              <w:t xml:space="preserve">    public double calcularDescuento() {</w:t>
              <w:br/>
              <w:t xml:space="preserve">        if (cliente.getHistorialCompras().size() &gt; 10) {</w:t>
              <w:br/>
              <w:t xml:space="preserve">            return 0.15; // VIP</w:t>
              <w:br/>
              <w:t xml:space="preserve">        }</w:t>
              <w:br/>
              <w:t xml:space="preserve">        if (cliente.getHistorialCompras().stream()</w:t>
              <w:br/>
              <w:t xml:space="preserve">                .filter(c -&gt; c.getFecha().after(nuevaFecha(-365)))</w:t>
              <w:br/>
              <w:t xml:space="preserve">                .count() &gt; 5) {</w:t>
              <w:br/>
              <w:t xml:space="preserve">            return 0.10; // Frecuente</w:t>
              <w:br/>
              <w:t xml:space="preserve">        }</w:t>
              <w:br/>
              <w:t xml:space="preserve">        if (cliente.getPerfil().getEdad() &gt; 65) {</w:t>
              <w:br/>
              <w:t xml:space="preserve">            return 0.05; // Senior</w:t>
              <w:br/>
              <w:t xml:space="preserve">        }</w:t>
              <w:br/>
              <w:t xml:space="preserve">        if (cliente.getDatosFiscales().getEstrato() &lt; 2) {</w:t>
              <w:br/>
              <w:t xml:space="preserve">            return 0.20; // Subsidio</w:t>
              <w:br/>
              <w:t xml:space="preserve">        }</w:t>
              <w:br/>
              <w:t xml:space="preserve">        return 0;</w:t>
              <w:br/>
              <w:t xml:space="preserve">    }</w:t>
              <w:br/>
              <w:t xml:space="preserve">    private Date nuevaFecha(int dias) {</w:t>
              <w:br/>
              <w:t xml:space="preserve">        Calendar cal = Calendar.getInstance();</w:t>
              <w:br/>
              <w:t xml:space="preserve">        cal.add(Calendar.DAY_OF_YEAR, dias);</w:t>
              <w:br/>
              <w:t xml:space="preserve">        return cal.getTime();</w:t>
              <w:br/>
              <w:t xml:space="preserve">    }</w:t>
              <w:br/>
              <w:t xml:space="preserve">    public boolean validarCredito() {</w:t>
              <w:br/>
              <w:t xml:space="preserve">        return cliente.getHistorialPagos().stream()</w:t>
              <w:br/>
              <w:t xml:space="preserve">                .allMatch(p -&gt; p.isPagado() &amp;&amp;</w:t>
              <w:br/>
              <w:t xml:space="preserve">                        p.getMonto() &lt;= cliente.getLimiteCredito());</w:t>
              <w:br/>
              <w:t xml:space="preserve">    }</w:t>
              <w:br/>
              <w:t>}</w:t>
              <w:br/>
              <w:t>class Cliente {</w:t>
              <w:br/>
              <w:t xml:space="preserve">    private List&lt;Compra&gt; historialCompras;</w:t>
              <w:br/>
              <w:t xml:space="preserve">    private Perfil perfil;</w:t>
              <w:br/>
              <w:t xml:space="preserve">    private DatosFiscales datosFiscales;</w:t>
              <w:br/>
              <w:t xml:space="preserve">    private List&lt;Pago&gt; historialPagos;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Hallazgos y Violaciones de Principios SOLID</w:t>
      </w:r>
    </w:p>
    <w:p>
      <w:pPr>
        <w:spacing w:line="276" w:lineRule="auto" w:after="120"/>
      </w:pPr>
      <w:r>
        <w:rPr>
          <w:rFonts w:ascii="Arial" w:hAnsi="Arial"/>
          <w:sz w:val="24"/>
        </w:rPr>
        <w:t>1. Violación del Principio Abierto Cerrado, OCP: El método calcularDescuento concentra condicionales anidados. Para añadir una nueva regla comercial, como un convenio corporativo, se hace obligatorio modificar directamente la clase Pedido, elevando el riesgo de regresiones en producción.</w:t>
      </w:r>
    </w:p>
    <w:p>
      <w:pPr>
        <w:spacing w:line="276" w:lineRule="auto" w:after="120"/>
      </w:pPr>
      <w:r>
        <w:rPr>
          <w:rFonts w:ascii="Arial" w:hAnsi="Arial"/>
          <w:sz w:val="24"/>
        </w:rPr>
        <w:t>2. Violación del Principio de Responsabilidad Única, SRP: La clase Pedido asume responsabilidades de entidad, reglas de mercadeo, aritmética de fechas y evaluación de solvencia financiera del cliente.</w:t>
      </w:r>
    </w:p>
    <w:p>
      <w:pPr>
        <w:spacing w:line="276" w:lineRule="auto" w:after="120"/>
      </w:pPr>
      <w:r>
        <w:rPr>
          <w:rFonts w:ascii="Arial" w:hAnsi="Arial"/>
          <w:sz w:val="24"/>
        </w:rPr>
        <w:t>3. Violación de la Ley de Demeter o Principio de Mínimo Conocimiento: Las sentencias encadenadas cliente.getPerfil().getEdad() y cliente.getDatosFiscales().getEstrato constituyen envidia de atributos, navegando indebidamente por estructuras privadas del cliente.</w:t>
      </w:r>
    </w:p>
    <w:p>
      <w:pPr>
        <w:spacing w:line="276" w:lineRule="auto" w:after="120"/>
      </w:pPr>
      <w:r>
        <w:rPr>
          <w:rFonts w:ascii="Arial" w:hAnsi="Arial"/>
          <w:sz w:val="24"/>
        </w:rPr>
        <w:t>4. Tipos Temporales Obsoletos: Uso de java.util.Date y java.util.Calendar, clases mutables con notorias deficiencias en concurrencia y zonas horarias, las cuales deben migrarse a java.time.LocalDate estándar en Java moderno.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3. Patrón Creacional Singleton - Semana 3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3 se incorporó el patrón creacional Singleton a través de la clase SistemaConfig. En un entorno de comercio electrónico y gestión crediticia, es imprescindible asegurar una única instancia global que controle de manera centralizada el estado operativo de la plataforma, ya sea activo o en mantenimiento, la tasa impositiva del IVA del 19%, los topes máximos de crédito y las políticas de despacho.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Estructura e Implementación Técnica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implementación aplica las mejores prácticas de concurrencia en Java: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Constructor Privado: </w:t>
      </w:r>
      <w:r>
        <w:rPr>
          <w:rFonts w:ascii="Arial" w:hAnsi="Arial"/>
          <w:sz w:val="24"/>
        </w:rPr>
        <w:t>Evita que otras clases instancien directamente el objeto mediante la instrucción new.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Variable Estática Volátil: </w:t>
      </w:r>
      <w:r>
        <w:rPr>
          <w:rFonts w:ascii="Arial" w:hAnsi="Arial"/>
          <w:sz w:val="24"/>
        </w:rPr>
        <w:t>La variable estática y volátil garantiza visibilidad atómica y coherente entre múltiples hilos de ejecución.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Bloqueo de Doble Verificación: </w:t>
      </w:r>
      <w:r>
        <w:rPr>
          <w:rFonts w:ascii="Arial" w:hAnsi="Arial"/>
          <w:sz w:val="24"/>
        </w:rPr>
        <w:t>Verifica si la instancia es nula antes y después de ingresar al bloque sincronizado, optimizando notablemente el rendimiento.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SistemaConfig.java - Implementación Singleton Thread-Safe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SistemaConfig {</w:t>
              <w:br/>
              <w:t xml:space="preserve">    private static volatile SistemaConfig instancia;</w:t>
              <w:br/>
              <w:t xml:space="preserve">    private String nombreSistema;</w:t>
              <w:br/>
              <w:t xml:space="preserve">    private boolean sistemaActivo;</w:t>
              <w:br/>
              <w:t xml:space="preserve">    private double tasaIva;</w:t>
              <w:br/>
              <w:br/>
              <w:t xml:space="preserve">    private SistemaConfig() {</w:t>
              <w:br/>
              <w:t xml:space="preserve">        this.nombreSistema = "SmartOrders Engine Enterprise";</w:t>
              <w:br/>
              <w:t xml:space="preserve">        this.sistemaActivo = true;</w:t>
              <w:br/>
              <w:t xml:space="preserve">        this.tasaIva = 0.19;</w:t>
              <w:br/>
              <w:t xml:space="preserve">    }</w:t>
              <w:br/>
              <w:br/>
              <w:t xml:space="preserve">    public static SistemaConfig getInstancia() {</w:t>
              <w:br/>
              <w:t xml:space="preserve">        if (instancia == null) {</w:t>
              <w:br/>
              <w:t xml:space="preserve">            synchronized (SistemaConfig.class) {</w:t>
              <w:br/>
              <w:t xml:space="preserve">                if (instancia == null) {</w:t>
              <w:br/>
              <w:t xml:space="preserve">                    instancia = new SistemaConfig();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return instancia;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Exposición REST y Pruebas Unitarias</w:t>
      </w:r>
    </w:p>
    <w:p>
      <w:pPr>
        <w:spacing w:line="276" w:lineRule="auto" w:after="120"/>
      </w:pPr>
      <w:r>
        <w:rPr>
          <w:rFonts w:ascii="Arial" w:hAnsi="Arial"/>
          <w:sz w:val="24"/>
        </w:rPr>
        <w:t>Se implementó el controlador SistemaConfigController que expone los endpoints GET /api/sistema/estado y POST /api/sistema/estado. La suite de pruebas en SistemaConfigTest valida tanto la igualdad referencial de memoria como la resiliencia multihilo ejecutando 50 hilos concurrentes mediante un servicio ejecutor y sincronizadores de cuenta regresiva.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141414"/>
      <w:sz w:val="24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  <w:rFonts w:ascii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  <w:rFonts w:ascii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  <w:rFonts w:ascii="Arial" w:hAnsi="Arial" w:cs="Ari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