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Trabajo Práctico Semana 1: Gobernanza y Definición de Terminado (DoD)</w:t>
      </w:r>
    </w:p>
    <w:p>
      <w:pPr/>
      <w:r>
        <w:t xml:space="preserve">Metodología de Sistemas II · Unidad 3: Verificación y Validación (V&amp;V) con Herramientas · Tecnicatura Universitaria en Programación a Distancia (UTN)</w:t>
      </w:r>
    </w:p>
    <w:p>
      <w:pPr/>
      <w:r>
        <w:rPr>
          <w:b/>
        </w:rPr>
        <w:t xml:space="preserve">Alumno:</w:t>
      </w:r>
      <w:r>
        <w:t xml:space="preserve"> Miguel</w:t>
      </w:r>
    </w:p>
    <w:p>
      <w:pPr>
        <w:pStyle w:val="Heading2"/>
      </w:pPr>
      <w:r>
        <w:t xml:space="preserve">Objetivo</w:t>
      </w:r>
    </w:p>
    <w:p>
      <w:pPr/>
      <w:r>
        <w:t xml:space="preserve">Establecer los controles de calidad y la estructura de gobernanza del repositorio para garantizar un desarrollo profesional, de modo que ningún incremento de código llegue a la rama principal sin evidencia objetiva de que cumple los estándares del equipo.</w:t>
      </w:r>
    </w:p>
    <w:p>
      <w:pPr>
        <w:pStyle w:val="Heading2"/>
      </w:pPr>
      <w:r>
        <w:t xml:space="preserve">1. Redacción de la Definition of Done (DoD)</w:t>
      </w:r>
    </w:p>
    <w:p>
      <w:pPr>
        <w:pStyle w:val="Heading3"/>
      </w:pPr>
      <w:r>
        <w:t xml:space="preserve">1.1 Propósito y alcance</w:t>
      </w:r>
    </w:p>
    <w:p>
      <w:pPr/>
      <w:r>
        <w:t xml:space="preserve">La presente Definition of Done es un acuerdo de ingeniería explícito, formal, público y vinculante del equipo de desarrollo. Funciona como una compuerta estricta: </w:t>
      </w:r>
      <w:r>
        <w:rPr>
          <w:b/>
        </w:rPr>
        <w:t xml:space="preserve">ningún incremento de código (feature, corrección o refactorización) puede integrarse a la rama principal (</w:t>
      </w:r>
      <w:r>
        <w:rPr>
          <w:rStyle w:val="CodeChar"/>
          <w:b/>
        </w:rPr>
        <w:t xml:space="preserve">main</w:t>
      </w:r>
      <w:r>
        <w:rPr>
          <w:b/>
        </w:rPr>
        <w:t xml:space="preserve">) si no cumple la totalidad de los criterios que se detallan a continuación</w:t>
      </w:r>
      <w:r>
        <w:t xml:space="preserve">. Es global y técnica: se aplica por igual a todas las tareas del sprint, a diferencia de los Criterios de Aceptación, que son específicos y funcionales para cada historia de usuario.</w:t>
      </w:r>
    </w:p>
    <w:p>
      <w:pPr>
        <w:pStyle w:val="Heading3"/>
      </w:pPr>
      <w:r>
        <w:t xml:space="preserve">1.2 Criterios obligatorios</w:t>
      </w:r>
    </w:p>
    <w:p>
      <w:pPr/>
      <w:r>
        <w:rPr>
          <w:b/>
        </w:rPr>
        <w:t xml:space="preserve">Criterio 1. Integridad de compilación</w:t>
      </w:r>
    </w:p>
    <w:p>
      <w:pPr>
        <w:pStyle w:val="ListParagraph"/>
        <w:numPr>
          <w:ilvl w:val="0"/>
          <w:numId w:val="2"/>
        </w:numPr>
      </w:pPr>
      <w:r>
        <w:t xml:space="preserve">El código nuevo o modificado debe compilar de forma limpia en el entorno local del desarrollador y en el pipeline de integración.</w:t>
      </w:r>
    </w:p>
    <w:p>
      <w:pPr>
        <w:pStyle w:val="ListParagraph"/>
        <w:numPr>
          <w:ilvl w:val="0"/>
          <w:numId w:val="2"/>
        </w:numPr>
      </w:pPr>
      <w:r>
        <w:t xml:space="preserve">No se tolera ningún error de compilación ni advertencias (</w:t>
      </w:r>
      <w:r>
        <w:rPr>
          <w:i/>
        </w:rPr>
        <w:t xml:space="preserve">warnings</w:t>
      </w:r>
      <w:r>
        <w:t xml:space="preserve">) críticas que apunten a futuras fallas de tipado, memoria o uso de APIs obsoletas.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Evidencia:</w:t>
      </w:r>
      <w:r>
        <w:t xml:space="preserve"> log de compilación sin errores ni warnings críticos adjunto al Pull Request.</w:t>
      </w:r>
    </w:p>
    <w:p>
      <w:pPr/>
      <w:r>
        <w:rPr>
          <w:b/>
        </w:rPr>
        <w:t xml:space="preserve">Criterio 2. Validación de pruebas automatizadas</w:t>
      </w:r>
    </w:p>
    <w:p>
      <w:pPr>
        <w:pStyle w:val="ListParagraph"/>
        <w:numPr>
          <w:ilvl w:val="0"/>
          <w:numId w:val="3"/>
        </w:numPr>
      </w:pPr>
      <w:r>
        <w:t xml:space="preserve">El 100% de la suite de pruebas unitarias y funcionales asociadas al componente debe ejecutarse con resultado exitoso (en verde). Un solo test fallido veta automáticamente la integración.</w:t>
      </w:r>
    </w:p>
    <w:p>
      <w:pPr>
        <w:pStyle w:val="ListParagraph"/>
        <w:numPr>
          <w:ilvl w:val="0"/>
          <w:numId w:val="3"/>
        </w:numPr>
      </w:pPr>
      <w:r>
        <w:t xml:space="preserve">Las pruebas siguen el patrón AAA (Arrange, Act, Assert) y contemplan casos de borde (nulos, cadenas vacías, valores fuera de rango) además del camino feliz.</w:t>
      </w:r>
    </w:p>
    <w:p>
      <w:pPr>
        <w:pStyle w:val="ListParagraph"/>
        <w:numPr>
          <w:ilvl w:val="0"/>
          <w:numId w:val="3"/>
        </w:numPr>
      </w:pPr>
      <w:r>
        <w:t xml:space="preserve">Las pruebas son independientes, repetibles y se ejecutan de forma rápida (principios F.I.R.S.T.).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Evidencia:</w:t>
      </w:r>
      <w:r>
        <w:t xml:space="preserve"> reporte de ejecución de pruebas (identificador, fecha, entorno, resultado pass/fail y tiempo en ms) y logs del framework de testing.</w:t>
      </w:r>
    </w:p>
    <w:p>
      <w:pPr/>
      <w:r>
        <w:rPr>
          <w:b/>
        </w:rPr>
        <w:t xml:space="preserve">Criterio 3. Umbrales mínimos de cobertura de código</w:t>
      </w:r>
    </w:p>
    <w:p>
      <w:pPr>
        <w:pStyle w:val="ListParagraph"/>
        <w:numPr>
          <w:ilvl w:val="0"/>
          <w:numId w:val="4"/>
        </w:numPr>
      </w:pPr>
      <w:r>
        <w:t xml:space="preserve">Al menos el </w:t>
      </w:r>
      <w:r>
        <w:rPr>
          <w:b/>
        </w:rPr>
        <w:t xml:space="preserve">80% de las nuevas líneas</w:t>
      </w:r>
      <w:r>
        <w:t xml:space="preserve"> de código debe estar cubierto por pruebas automáticas (</w:t>
      </w:r>
      <w:r>
        <w:rPr>
          <w:i/>
        </w:rPr>
        <w:t xml:space="preserve">statement coverage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Para la lógica con condicionales (</w:t>
      </w:r>
      <w:r>
        <w:rPr>
          <w:rStyle w:val="CodeChar"/>
        </w:rPr>
        <w:t xml:space="preserve">if</w:t>
      </w:r>
      <w:r>
        <w:t xml:space="preserve">, </w:t>
      </w:r>
      <w:r>
        <w:rPr>
          <w:rStyle w:val="CodeChar"/>
        </w:rPr>
        <w:t xml:space="preserve">else</w:t>
      </w:r>
      <w:r>
        <w:t xml:space="preserve">, </w:t>
      </w:r>
      <w:r>
        <w:rPr>
          <w:rStyle w:val="CodeChar"/>
        </w:rPr>
        <w:t xml:space="preserve">switch</w:t>
      </w:r>
      <w:r>
        <w:t xml:space="preserve">, operadores ternarios) se exige además que cada rama tenga al menos un caso que la fuerce a verdadera y otro a falsa (</w:t>
      </w:r>
      <w:r>
        <w:rPr>
          <w:i/>
        </w:rPr>
        <w:t xml:space="preserve">branch coverage</w:t>
      </w:r>
      <w:r>
        <w:t xml:space="preserve">), porque una cobertura alta de líneas no garantiza la ausencia de bugs ante casos de borde.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Evidencia:</w:t>
      </w:r>
      <w:r>
        <w:t xml:space="preserve"> informe de cobertura generado por la herramienta del proyecto, en verde.</w:t>
      </w:r>
    </w:p>
    <w:p>
      <w:pPr/>
      <w:r>
        <w:rPr>
          <w:b/>
        </w:rPr>
        <w:t xml:space="preserve">Criterio 4. Revisión por pares obligatoria (Code Review)</w:t>
      </w:r>
    </w:p>
    <w:p>
      <w:pPr>
        <w:pStyle w:val="ListParagraph"/>
        <w:numPr>
          <w:ilvl w:val="0"/>
          <w:numId w:val="5"/>
        </w:numPr>
      </w:pPr>
      <w:r>
        <w:t xml:space="preserve">Otro miembro técnico del equipo (distinto del autor) debe revisar el diff y aprobar el Pull Request.</w:t>
      </w:r>
    </w:p>
    <w:p>
      <w:pPr>
        <w:pStyle w:val="ListParagraph"/>
        <w:numPr>
          <w:ilvl w:val="0"/>
          <w:numId w:val="5"/>
        </w:numPr>
      </w:pPr>
      <w:r>
        <w:t xml:space="preserve">El revisor audita que la solución no incorpore malas prácticas, respete los patrones arquitectónicos adoptados y no incremente innecesariamente la complejidad (por ejemplo, complejidad ciclomática elevada o código duplicado).</w:t>
      </w:r>
    </w:p>
    <w:p>
      <w:pPr>
        <w:pStyle w:val="ListParagraph"/>
        <w:numPr>
          <w:ilvl w:val="0"/>
          <w:numId w:val="5"/>
        </w:numPr>
      </w:pPr>
      <w:r>
        <w:t xml:space="preserve">Los comentarios, debates de diseño y la aprobación final quedan registrados en el Pull Request como evidencia histórica.</w:t>
      </w:r>
    </w:p>
    <w:p>
      <w:pPr>
        <w:pStyle w:val="ListParagraph"/>
        <w:numPr>
          <w:ilvl w:val="0"/>
          <w:numId w:val="5"/>
        </w:numPr>
      </w:pPr>
      <w:r>
        <w:rPr>
          <w:i/>
        </w:rPr>
        <w:t xml:space="preserve">Evidencia:</w:t>
      </w:r>
      <w:r>
        <w:t xml:space="preserve"> aprobación explícita del revisor en el PR.</w:t>
      </w:r>
    </w:p>
    <w:p>
      <w:pPr/>
      <w:r>
        <w:rPr>
          <w:b/>
        </w:rPr>
        <w:t xml:space="preserve">Criterio 5. Gobernanza de estilo</w:t>
      </w:r>
    </w:p>
    <w:p>
      <w:pPr>
        <w:pStyle w:val="ListParagraph"/>
        <w:numPr>
          <w:ilvl w:val="0"/>
          <w:numId w:val="6"/>
        </w:numPr>
      </w:pPr>
      <w:r>
        <w:t xml:space="preserve">El código debe pasar sin excepciones el </w:t>
      </w:r>
      <w:r>
        <w:rPr>
          <w:i/>
        </w:rPr>
        <w:t xml:space="preserve">formatter</w:t>
      </w:r>
      <w:r>
        <w:t xml:space="preserve"> (por ejemplo Black para Python o Prettier para JavaScript/TypeScript) y el </w:t>
      </w:r>
      <w:r>
        <w:rPr>
          <w:i/>
        </w:rPr>
        <w:t xml:space="preserve">linter</w:t>
      </w:r>
      <w:r>
        <w:t xml:space="preserve"> con las reglas preconfiguradas del proyecto.</w:t>
      </w:r>
    </w:p>
    <w:p>
      <w:pPr>
        <w:pStyle w:val="ListParagraph"/>
        <w:numPr>
          <w:ilvl w:val="0"/>
          <w:numId w:val="6"/>
        </w:numPr>
      </w:pPr>
      <w:r>
        <w:t xml:space="preserve">Esto garantiza un estilo uniforme e indistinguible entre desarrolladores y detecta variables o importaciones sin uso, llamadas a funciones inexistentes y patrones inseguros antes de ejecutar el programa.</w:t>
      </w:r>
    </w:p>
    <w:p>
      <w:pPr>
        <w:pStyle w:val="ListParagraph"/>
        <w:numPr>
          <w:ilvl w:val="0"/>
          <w:numId w:val="6"/>
        </w:numPr>
      </w:pPr>
      <w:r>
        <w:t xml:space="preserve">La verificación se automatiza mediante un </w:t>
      </w:r>
      <w:r>
        <w:rPr>
          <w:i/>
        </w:rPr>
        <w:t xml:space="preserve">pre-commit hook</w:t>
      </w:r>
      <w:r>
        <w:t xml:space="preserve"> que ejecuta formatter, linter y pruebas unitarias; si cualquiera falla, el commit se aborta.</w:t>
      </w:r>
    </w:p>
    <w:p>
      <w:pPr>
        <w:pStyle w:val="ListParagraph"/>
        <w:numPr>
          <w:ilvl w:val="0"/>
          <w:numId w:val="6"/>
        </w:numPr>
      </w:pPr>
      <w:r>
        <w:rPr>
          <w:i/>
        </w:rPr>
        <w:t xml:space="preserve">Evidencia:</w:t>
      </w:r>
      <w:r>
        <w:t xml:space="preserve"> logs del pre-commit hook con formatter y linter exitosos.</w:t>
      </w:r>
    </w:p>
    <w:p>
      <w:pPr/>
      <w:r>
        <w:rPr>
          <w:b/>
        </w:rPr>
        <w:t xml:space="preserve">Criterio 6. Sustento de la documentación técnica</w:t>
      </w:r>
    </w:p>
    <w:p>
      <w:pPr>
        <w:pStyle w:val="ListParagraph"/>
        <w:numPr>
          <w:ilvl w:val="0"/>
          <w:numId w:val="7"/>
        </w:numPr>
      </w:pPr>
      <w:r>
        <w:t xml:space="preserve">Todo cambio que altere contratos de comunicación debe documentarse de forma obligatoria.</w:t>
      </w:r>
    </w:p>
    <w:p>
      <w:pPr>
        <w:pStyle w:val="ListParagraph"/>
        <w:numPr>
          <w:ilvl w:val="0"/>
          <w:numId w:val="7"/>
        </w:numPr>
      </w:pPr>
      <w:r>
        <w:t xml:space="preserve">Se documentan las funciones de alta complejidad, se actualizan los esquemas de base de datos y se regeneran las especificaciones de las APIs (Swagger/OpenAPI).</w:t>
      </w:r>
    </w:p>
    <w:p>
      <w:pPr>
        <w:pStyle w:val="ListParagraph"/>
        <w:numPr>
          <w:ilvl w:val="0"/>
          <w:numId w:val="7"/>
        </w:numPr>
      </w:pPr>
      <w:r>
        <w:t xml:space="preserve">Si el cambio no afecta contratos ni lógica compleja, el PR debe declararlo explícitamente ("Sin impacto documental").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Evidencia:</w:t>
      </w:r>
      <w:r>
        <w:t xml:space="preserve"> archivos de documentación actualizados dentro del mismo PR.</w:t>
      </w:r>
    </w:p>
    <w:p>
      <w:pPr>
        <w:pStyle w:val="Heading3"/>
      </w:pPr>
      <w:r>
        <w:t xml:space="preserve">1.3 Tabla resumen de control de la DoD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276"/>
        <w:gridCol w:w="3770"/>
        <w:gridCol w:w="259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2276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3770" w:type="dxa"/>
            <w:shd w:val="clear" w:color="auto" w:fill="F2F2F2"/>
          </w:tcPr>
          <w:p>
            <w:pPr/>
            <w:r>
              <w:t xml:space="preserve">Condición de aprobación</w:t>
            </w:r>
          </w:p>
        </w:tc>
        <w:tc>
          <w:tcPr>
            <w:tcW w:w="2593" w:type="dxa"/>
            <w:shd w:val="clear" w:color="auto" w:fill="F2F2F2"/>
          </w:tcPr>
          <w:p>
            <w:pPr/>
            <w:r>
              <w:t xml:space="preserve">Evidencia auditable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76" w:type="dxa"/>
          </w:tcPr>
          <w:p>
            <w:pPr/>
            <w:r>
              <w:t xml:space="preserve">Integridad de compilación</w:t>
            </w:r>
          </w:p>
        </w:tc>
        <w:tc>
          <w:tcPr>
            <w:tcW w:w="3770" w:type="dxa"/>
          </w:tcPr>
          <w:p>
            <w:pPr/>
            <w:r>
              <w:t xml:space="preserve">Sin errores ni warnings críticos</w:t>
            </w:r>
          </w:p>
        </w:tc>
        <w:tc>
          <w:tcPr>
            <w:tcW w:w="2593" w:type="dxa"/>
          </w:tcPr>
          <w:p>
            <w:pPr/>
            <w:r>
              <w:t xml:space="preserve">Log de compilación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276" w:type="dxa"/>
          </w:tcPr>
          <w:p>
            <w:pPr/>
            <w:r>
              <w:t xml:space="preserve">Pruebas automatizadas</w:t>
            </w:r>
          </w:p>
        </w:tc>
        <w:tc>
          <w:tcPr>
            <w:tcW w:w="3770" w:type="dxa"/>
          </w:tcPr>
          <w:p>
            <w:pPr/>
            <w:r>
              <w:t xml:space="preserve">100% de la suite en verde</w:t>
            </w:r>
          </w:p>
        </w:tc>
        <w:tc>
          <w:tcPr>
            <w:tcW w:w="2593" w:type="dxa"/>
          </w:tcPr>
          <w:p>
            <w:pPr/>
            <w:r>
              <w:t xml:space="preserve">Reporte y logs de tests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276" w:type="dxa"/>
          </w:tcPr>
          <w:p>
            <w:pPr/>
            <w:r>
              <w:t xml:space="preserve">Cobertura de código</w:t>
            </w:r>
          </w:p>
        </w:tc>
        <w:tc>
          <w:tcPr>
            <w:tcW w:w="3770" w:type="dxa"/>
          </w:tcPr>
          <w:p>
            <w:pPr/>
            <w:r>
              <w:t xml:space="preserve">≥ 80% de líneas nuevas; ramas cubiertas</w:t>
            </w:r>
          </w:p>
        </w:tc>
        <w:tc>
          <w:tcPr>
            <w:tcW w:w="2593" w:type="dxa"/>
          </w:tcPr>
          <w:p>
            <w:pPr/>
            <w:r>
              <w:t xml:space="preserve">Informe de cobertura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276" w:type="dxa"/>
          </w:tcPr>
          <w:p>
            <w:pPr/>
            <w:r>
              <w:t xml:space="preserve">Revisión por pares</w:t>
            </w:r>
          </w:p>
        </w:tc>
        <w:tc>
          <w:tcPr>
            <w:tcW w:w="3770" w:type="dxa"/>
          </w:tcPr>
          <w:p>
            <w:pPr/>
            <w:r>
              <w:t xml:space="preserve">Al menos 1 aprobación de otro miembro</w:t>
            </w:r>
          </w:p>
        </w:tc>
        <w:tc>
          <w:tcPr>
            <w:tcW w:w="2593" w:type="dxa"/>
          </w:tcPr>
          <w:p>
            <w:pPr/>
            <w:r>
              <w:t xml:space="preserve">Aprobación en el PR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276" w:type="dxa"/>
          </w:tcPr>
          <w:p>
            <w:pPr/>
            <w:r>
              <w:t xml:space="preserve">Gobernanza de estilo</w:t>
            </w:r>
          </w:p>
        </w:tc>
        <w:tc>
          <w:tcPr>
            <w:tcW w:w="3770" w:type="dxa"/>
          </w:tcPr>
          <w:p>
            <w:pPr/>
            <w:r>
              <w:t xml:space="preserve">Formatter y linter sin excepciones</w:t>
            </w:r>
          </w:p>
        </w:tc>
        <w:tc>
          <w:tcPr>
            <w:tcW w:w="2593" w:type="dxa"/>
          </w:tcPr>
          <w:p>
            <w:pPr/>
            <w:r>
              <w:t xml:space="preserve">Logs del pre-commit hook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276" w:type="dxa"/>
          </w:tcPr>
          <w:p>
            <w:pPr/>
            <w:r>
              <w:t xml:space="preserve">Documentación técnica</w:t>
            </w:r>
          </w:p>
        </w:tc>
        <w:tc>
          <w:tcPr>
            <w:tcW w:w="3770" w:type="dxa"/>
          </w:tcPr>
          <w:p>
            <w:pPr/>
            <w:r>
              <w:t xml:space="preserve">Contratos, esquemas y APIs actualizados</w:t>
            </w:r>
          </w:p>
        </w:tc>
        <w:tc>
          <w:tcPr>
            <w:tcW w:w="2593" w:type="dxa"/>
          </w:tcPr>
          <w:p>
            <w:pPr/>
            <w:r>
              <w:t xml:space="preserve">Archivos modificados en el PR</w:t>
            </w:r>
          </w:p>
        </w:tc>
      </w:tr>
    </w:tbl>
    <w:p>
      <w:pPr>
        <w:pStyle w:val="Heading3"/>
      </w:pPr>
      <w:r>
        <w:t xml:space="preserve">1.4 Regla de cierre</w:t>
      </w:r>
    </w:p>
    <w:p>
      <w:pPr/>
      <w:r>
        <w:t xml:space="preserve">Una tarea se declara </w:t>
      </w:r>
      <w:r>
        <w:rPr>
          <w:b/>
        </w:rPr>
        <w:t xml:space="preserve">Done</w:t>
      </w:r>
      <w:r>
        <w:t xml:space="preserve"> únicamente cuando los seis criterios están cumplidos y sus evidencias adjuntas. Las afirmaciones subjetivas del tipo "ya funciona" o "está verificado" no tienen validez técnica sin evidencia objetiva auditable.</w:t>
      </w:r>
    </w:p>
    <w:p>
      <w:pPr>
        <w:pStyle w:val="Heading2"/>
      </w:pPr>
      <w:r>
        <w:t xml:space="preserve">2. Configuración de trazabilidad: Issue Template en Markdown</w:t>
      </w:r>
    </w:p>
    <w:p>
      <w:pPr/>
      <w:r>
        <w:t xml:space="preserve">La plantilla se guarda en el repositorio como </w:t>
      </w:r>
      <w:r>
        <w:rPr>
          <w:rStyle w:val="CodeChar"/>
        </w:rPr>
        <w:t xml:space="preserve">.github/ISSUE_TEMPLATE/bug_report.md</w:t>
      </w:r>
      <w:r>
        <w:t xml:space="preserve">. Obliga a quien reporta a completar secciones técnicas predefinidas, lo que elimina la ambigüedad y la carga de datos incompleta.</w:t>
      </w:r>
    </w:p>
    <w:p>
      <w:pPr>
        <w:pStyle w:val="Code"/>
      </w:pPr>
      <w:bookmarkStart w:id="1" w:name="bongo_lang_markdown_1"/>
      <w:bookmarkEnd w:id="1"/>
      <w:r>
        <w:t xml:space="preserve">---</w:t>
        <w:br/>
        <w:t xml:space="preserve">name: Reporte de defecto (Bug)</w:t>
        <w:br/>
        <w:t xml:space="preserve">about: Reportar un comportamiento anómalo del sistema</w:t>
        <w:br/>
        <w:t xml:space="preserve">title: "BUG: [breve resumen del fallo]"</w:t>
        <w:br/>
        <w:t xml:space="preserve">labels: bug</w:t>
        <w:br/>
        <w:t xml:space="preserve">assignees: ''</w:t>
        <w:br/>
        <w:t xml:space="preserve">---</w:t>
        <w:br/>
        <w:br/>
        <w:t xml:space="preserve">## Descripción técnica del problema</w:t>
        <w:br/>
        <w:t xml:space="preserve">&lt;!-- Resumen técnico y detallado del comportamiento anómalo detectado. --&gt;</w:t>
        <w:br/>
        <w:br/>
        <w:t xml:space="preserve">## Entorno de ejecución</w:t>
        <w:br/>
        <w:t xml:space="preserve">- Sistema operativo:</w:t>
        <w:br/>
        <w:t xml:space="preserve">- Versión del software / commit:</w:t>
        <w:br/>
        <w:t xml:space="preserve">- Rama o fork:</w:t>
        <w:br/>
        <w:t xml:space="preserve">- Versión de lenguaje / dependencias relevantes:</w:t>
        <w:br/>
        <w:br/>
        <w:t xml:space="preserve">## Pasos exactos para reproducir</w:t>
        <w:br/>
        <w:t xml:space="preserve">&lt;!-- Lista ordenada y numerada de acciones que disparan la falla de forma determinista. --&gt;</w:t>
        <w:br/>
        <w:t xml:space="preserve">1.</w:t>
        <w:br/>
        <w:t xml:space="preserve">2.</w:t>
        <w:br/>
        <w:t xml:space="preserve">3.</w:t>
        <w:br/>
        <w:br/>
        <w:t xml:space="preserve">## Comportamiento esperado</w:t>
        <w:br/>
        <w:t xml:space="preserve">&lt;!-- Qué debió hacer el sistema según las especificaciones técnicas. --&gt;</w:t>
        <w:br/>
        <w:br/>
        <w:t xml:space="preserve">## Comportamiento observado</w:t>
        <w:br/>
        <w:t xml:space="preserve">&lt;!-- Qué hizo realmente el sistema: error de consola, congelamiento, desborde de memoria, etc. --&gt;</w:t>
        <w:br/>
        <w:br/>
        <w:t xml:space="preserve">## Evidencias adjuntas</w:t>
        <w:br/>
        <w:t xml:space="preserve">&lt;!-- Capturas de pantalla, logs recuperados localmente o reportes de consola. --&gt;</w:t>
        <w:br/>
        <w:t xml:space="preserve">- [ ] Captura de pantalla</w:t>
        <w:br/>
        <w:t xml:space="preserve">- [ ] Log / stack trace</w:t>
        <w:br/>
        <w:t xml:space="preserve">- [ ] Reporte de pruebas</w:t>
        <w:br/>
        <w:br/>
        <w:t xml:space="preserve">## Severidad</w:t>
        <w:br/>
        <w:t xml:space="preserve">- [ ] Crítica (sistema caído o pérdida de datos)</w:t>
        <w:br/>
        <w:t xml:space="preserve">- [ ] Alta (funcionalidad principal afectada)</w:t>
        <w:br/>
        <w:t xml:space="preserve">- [ ] Media (afecta un flujo secundario)</w:t>
        <w:br/>
        <w:t xml:space="preserve">- [ ] Baja (cosmético o menor)</w:t>
        <w:br/>
        <w:br/>
        <w:t xml:space="preserve">## Checklist previo al envío</w:t>
        <w:br/>
        <w:t xml:space="preserve">- [ ] Verifiqué que el problema no está reportado en otro issue</w:t>
        <w:br/>
        <w:t xml:space="preserve">- [ ] El problema es reproducible siguiendo los pasos indicados</w:t>
      </w:r>
    </w:p>
    <w:p>
      <w:pPr/>
      <w:r>
        <w:rPr>
          <w:b/>
        </w:rPr>
        <w:t xml:space="preserve">Justificación de los campos: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Título con prefijo (</w:t>
      </w:r>
      <w:r>
        <w:rPr>
          <w:rStyle w:val="CodeChar"/>
          <w:b/>
        </w:rPr>
        <w:t xml:space="preserve">BUG:</w:t>
      </w:r>
      <w:r>
        <w:rPr>
          <w:b/>
        </w:rPr>
        <w:t xml:space="preserve">):</w:t>
      </w:r>
      <w:r>
        <w:t xml:space="preserve"> permite clasificar y filtrar el problema a simple vista.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Descripción técnica:</w:t>
      </w:r>
      <w:r>
        <w:t xml:space="preserve"> documenta el comportamiento anómalo con precisión.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Pasos para reproducir:</w:t>
      </w:r>
      <w:r>
        <w:t xml:space="preserve"> una lista numerada y determinista permite que cualquier desarrollador reproduzca el fallo sin consultar al autor.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Esperado vs. observado:</w:t>
      </w:r>
      <w:r>
        <w:t xml:space="preserve"> deja explícito el desvío respecto de la especificación técnica.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Evidencias adjuntas:</w:t>
      </w:r>
      <w:r>
        <w:t xml:space="preserve"> reemplaza afirmaciones subjetivas por artefactos auditables.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Entorno y severidad:</w:t>
      </w:r>
      <w:r>
        <w:t xml:space="preserve"> campos adicionales que facilitan la priorización y el diagnóstico.</w:t>
      </w:r>
    </w:p>
    <w:p>
      <w:pPr/>
      <w:r>
        <w:t xml:space="preserve">En el Pull Request que corrige el defecto se enlaza el issue con palabras clave del control de versiones (por ejemplo </w:t>
      </w:r>
      <w:r>
        <w:rPr>
          <w:rStyle w:val="CodeChar"/>
        </w:rPr>
        <w:t xml:space="preserve">Closes #42</w:t>
      </w:r>
      <w:r>
        <w:t xml:space="preserve">), lo que asegura trazabilidad automática entre cada cambio de código y el requerimiento o bug que lo originó.</w:t>
      </w:r>
    </w:p>
    <w:p>
      <w:pPr>
        <w:pStyle w:val="Heading2"/>
      </w:pPr>
      <w:r>
        <w:t xml:space="preserve">3. Matriz de categorización (Labels)</w:t>
      </w:r>
    </w:p>
    <w:p>
      <w:pPr/>
      <w:r>
        <w:t xml:space="preserve">Las etiquetas son metadatos de clasificación asignados a issues y Pull Requests. Permiten trazabilidad visual y operativa y auditar el cumplimiento de la DoD antes de integrar código.</w:t>
      </w:r>
    </w:p>
    <w:p>
      <w:pPr>
        <w:pStyle w:val="Heading3"/>
      </w:pPr>
      <w:r>
        <w:t xml:space="preserve">3.1 Categorías de tipo de trabajo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6"/>
        <w:gridCol w:w="2441"/>
        <w:gridCol w:w="2845"/>
        <w:gridCol w:w="2158"/>
      </w:tblGrid>
      <w:tr>
        <w:trPr>
          <w:tblHeader/>
        </w:trPr>
        <w:tc>
          <w:tcPr>
            <w:tcW w:w="1916" w:type="dxa"/>
            <w:shd w:val="clear" w:color="auto" w:fill="F2F2F2"/>
          </w:tcPr>
          <w:p>
            <w:pPr/>
            <w:r>
              <w:t xml:space="preserve">Label</w:t>
            </w:r>
          </w:p>
        </w:tc>
        <w:tc>
          <w:tcPr>
            <w:tcW w:w="2441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2845" w:type="dxa"/>
            <w:shd w:val="clear" w:color="auto" w:fill="F2F2F2"/>
          </w:tcPr>
          <w:p>
            <w:pPr/>
            <w:r>
              <w:t xml:space="preserve">Justificación técnica</w:t>
            </w:r>
          </w:p>
        </w:tc>
        <w:tc>
          <w:tcPr>
            <w:tcW w:w="2158" w:type="dxa"/>
            <w:shd w:val="clear" w:color="auto" w:fill="F2F2F2"/>
          </w:tcPr>
          <w:p>
            <w:pPr/>
            <w:r>
              <w:t xml:space="preserve">Relación con la DoD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bug</w:t>
            </w:r>
          </w:p>
        </w:tc>
        <w:tc>
          <w:tcPr>
            <w:tcW w:w="2441" w:type="dxa"/>
          </w:tcPr>
          <w:p>
            <w:pPr/>
            <w:r>
              <w:t xml:space="preserve">Exclusivamente fallos lógicos o funcionales confirmados que rompen un comportamiento esperado</w:t>
            </w:r>
          </w:p>
        </w:tc>
        <w:tc>
          <w:tcPr>
            <w:tcW w:w="2845" w:type="dxa"/>
          </w:tcPr>
          <w:p>
            <w:pPr/>
            <w:r>
              <w:t xml:space="preserve">Separa los defectos reales de las mejoras; permite medir densidad de defectos y priorizar correcciones</w:t>
            </w:r>
          </w:p>
        </w:tc>
        <w:tc>
          <w:tcPr>
            <w:tcW w:w="2158" w:type="dxa"/>
          </w:tcPr>
          <w:p>
            <w:pPr/>
            <w:r>
              <w:t xml:space="preserve">Exige test de regresión en verde (criterio 2) y cobertura del caso corregido (criterio 3)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technical-debt</w:t>
            </w:r>
          </w:p>
        </w:tc>
        <w:tc>
          <w:tcPr>
            <w:tcW w:w="2441" w:type="dxa"/>
          </w:tcPr>
          <w:p>
            <w:pPr/>
            <w:r>
              <w:t xml:space="preserve">Refactorizaciones, código de alta complejidad o desvíos de estilo detectados por linters o SonarQube</w:t>
            </w:r>
          </w:p>
        </w:tc>
        <w:tc>
          <w:tcPr>
            <w:tcW w:w="2845" w:type="dxa"/>
          </w:tcPr>
          <w:p>
            <w:pPr/>
            <w:r>
              <w:t xml:space="preserve">Hace visible la deuda técnica y evita que se acumule sin gestión; controla complejidad ciclomática y duplicación</w:t>
            </w:r>
          </w:p>
        </w:tc>
        <w:tc>
          <w:tcPr>
            <w:tcW w:w="2158" w:type="dxa"/>
          </w:tcPr>
          <w:p>
            <w:pPr/>
            <w:r>
              <w:t xml:space="preserve">Criterios 4 (revisión por pares) y 5 (gobernanza de estilo); las pruebas existentes actúan como red de seguridad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documentation</w:t>
            </w:r>
          </w:p>
        </w:tc>
        <w:tc>
          <w:tcPr>
            <w:tcW w:w="2441" w:type="dxa"/>
          </w:tcPr>
          <w:p>
            <w:pPr/>
            <w:r>
              <w:t xml:space="preserve">Actualización de contratos de API, diagramas de arquitectura, esquemas de base de datos o especificaciones Swagger/OpenAPI</w:t>
            </w:r>
          </w:p>
        </w:tc>
        <w:tc>
          <w:tcPr>
            <w:tcW w:w="2845" w:type="dxa"/>
          </w:tcPr>
          <w:p>
            <w:pPr/>
            <w:r>
              <w:t xml:space="preserve">Mantiene sincronizados los contratos con el código, lo que evita fallas de integración entre componentes</w:t>
            </w:r>
          </w:p>
        </w:tc>
        <w:tc>
          <w:tcPr>
            <w:tcW w:w="2158" w:type="dxa"/>
          </w:tcPr>
          <w:p>
            <w:pPr/>
            <w:r>
              <w:t xml:space="preserve">Criterio 6 (documentación técnica)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feature</w:t>
            </w:r>
          </w:p>
        </w:tc>
        <w:tc>
          <w:tcPr>
            <w:tcW w:w="2441" w:type="dxa"/>
          </w:tcPr>
          <w:p>
            <w:pPr/>
            <w:r>
              <w:t xml:space="preserve">Desarrollo de nuevas capacidades lógicas del negocio</w:t>
            </w:r>
          </w:p>
        </w:tc>
        <w:tc>
          <w:tcPr>
            <w:tcW w:w="2845" w:type="dxa"/>
          </w:tcPr>
          <w:p>
            <w:pPr/>
            <w:r>
              <w:t xml:space="preserve">Diferencia el valor nuevo del mantenimiento y se vincula con los Criterios de Aceptación de la historia de usuario</w:t>
            </w:r>
          </w:p>
        </w:tc>
        <w:tc>
          <w:tcPr>
            <w:tcW w:w="2158" w:type="dxa"/>
          </w:tcPr>
          <w:p>
            <w:pPr/>
            <w:r>
              <w:t xml:space="preserve">Cumplimiento completo de los seis criterios, con cobertura ≥ 80% de líneas nuevas</w:t>
            </w:r>
          </w:p>
        </w:tc>
      </w:tr>
    </w:tbl>
    <w:p>
      <w:pPr>
        <w:pStyle w:val="Heading3"/>
      </w:pPr>
      <w:r>
        <w:t xml:space="preserve">3.2 Categorías complementarias de estado y prioridad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6"/>
        <w:gridCol w:w="3343"/>
        <w:gridCol w:w="4220"/>
      </w:tblGrid>
      <w:tr>
        <w:trPr>
          <w:tblHeader/>
        </w:trPr>
        <w:tc>
          <w:tcPr>
            <w:tcW w:w="1796" w:type="dxa"/>
            <w:shd w:val="clear" w:color="auto" w:fill="F2F2F2"/>
          </w:tcPr>
          <w:p>
            <w:pPr/>
            <w:r>
              <w:t xml:space="preserve">Label</w:t>
            </w:r>
          </w:p>
        </w:tc>
        <w:tc>
          <w:tcPr>
            <w:tcW w:w="3343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4220" w:type="dxa"/>
            <w:shd w:val="clear" w:color="auto" w:fill="F2F2F2"/>
          </w:tcPr>
          <w:p>
            <w:pPr/>
            <w:r>
              <w:t xml:space="preserve">Justificación técnica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dod-pending</w:t>
            </w:r>
          </w:p>
        </w:tc>
        <w:tc>
          <w:tcPr>
            <w:tcW w:w="3343" w:type="dxa"/>
          </w:tcPr>
          <w:p>
            <w:pPr/>
            <w:r>
              <w:t xml:space="preserve">PR abierto al que aún le falta alguno de los seis criterios</w:t>
            </w:r>
          </w:p>
        </w:tc>
        <w:tc>
          <w:tcPr>
            <w:tcW w:w="4220" w:type="dxa"/>
          </w:tcPr>
          <w:p>
            <w:pPr/>
            <w:r>
              <w:t xml:space="preserve">Permite auditar de un vistazo qué cambios no pueden integrarse todavía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dod-verified</w:t>
            </w:r>
          </w:p>
        </w:tc>
        <w:tc>
          <w:tcPr>
            <w:tcW w:w="3343" w:type="dxa"/>
          </w:tcPr>
          <w:p>
            <w:pPr/>
            <w:r>
              <w:t xml:space="preserve">PR con los seis criterios cumplidos y evidencias adjuntas</w:t>
            </w:r>
          </w:p>
        </w:tc>
        <w:tc>
          <w:tcPr>
            <w:tcW w:w="4220" w:type="dxa"/>
          </w:tcPr>
          <w:p>
            <w:pPr/>
            <w:r>
              <w:t xml:space="preserve">Marca que el cambio está listo para el merge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needs-review</w:t>
            </w:r>
          </w:p>
        </w:tc>
        <w:tc>
          <w:tcPr>
            <w:tcW w:w="3343" w:type="dxa"/>
          </w:tcPr>
          <w:p>
            <w:pPr/>
            <w:r>
              <w:t xml:space="preserve">PR a la espera de revisión por pares</w:t>
            </w:r>
          </w:p>
        </w:tc>
        <w:tc>
          <w:tcPr>
            <w:tcW w:w="4220" w:type="dxa"/>
          </w:tcPr>
          <w:p>
            <w:pPr/>
            <w:r>
              <w:t xml:space="preserve">Hace operativo el criterio 4 y evita PRs olvidados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security</w:t>
            </w:r>
          </w:p>
        </w:tc>
        <w:tc>
          <w:tcPr>
            <w:tcW w:w="3343" w:type="dxa"/>
          </w:tcPr>
          <w:p>
            <w:pPr/>
            <w:r>
              <w:t xml:space="preserve">Vulnerabilidades en código o dependencias (registros CVE)</w:t>
            </w:r>
          </w:p>
        </w:tc>
        <w:tc>
          <w:tcPr>
            <w:tcW w:w="4220" w:type="dxa"/>
          </w:tcPr>
          <w:p>
            <w:pPr/>
            <w:r>
              <w:t xml:space="preserve">Prioriza riesgos detectados por análisis estático o escaneo de dependencias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priority:high</w:t>
            </w:r>
            <w:r>
              <w:t xml:space="preserve"> / </w:t>
            </w:r>
            <w:r>
              <w:rPr>
                <w:rStyle w:val="CodeChar"/>
              </w:rPr>
              <w:t xml:space="preserve">priority:low</w:t>
            </w:r>
          </w:p>
        </w:tc>
        <w:tc>
          <w:tcPr>
            <w:tcW w:w="3343" w:type="dxa"/>
          </w:tcPr>
          <w:p>
            <w:pPr/>
            <w:r>
              <w:t xml:space="preserve">Urgencia de atención</w:t>
            </w:r>
          </w:p>
        </w:tc>
        <w:tc>
          <w:tcPr>
            <w:tcW w:w="4220" w:type="dxa"/>
          </w:tcPr>
          <w:p>
            <w:pPr/>
            <w:r>
              <w:t xml:space="preserve">Ordena el esfuerzo técnico del equipo</w:t>
            </w:r>
          </w:p>
        </w:tc>
      </w:tr>
    </w:tbl>
    <w:p>
      <w:pPr>
        <w:pStyle w:val="Heading3"/>
      </w:pPr>
      <w:r>
        <w:t xml:space="preserve">3.3 Reglas de uso</w:t>
      </w:r>
    </w:p>
    <w:p>
      <w:pPr>
        <w:pStyle w:val="ListParagraph"/>
        <w:numPr>
          <w:ilvl w:val="0"/>
          <w:numId w:val="9"/>
        </w:numPr>
      </w:pPr>
      <w:r>
        <w:t xml:space="preserve">Todo issue y todo PR debe tener </w:t>
      </w:r>
      <w:r>
        <w:rPr>
          <w:b/>
        </w:rPr>
        <w:t xml:space="preserve">exactamente una</w:t>
      </w:r>
      <w:r>
        <w:t xml:space="preserve"> etiqueta de tipo (</w:t>
      </w:r>
      <w:r>
        <w:rPr>
          <w:rStyle w:val="CodeChar"/>
        </w:rPr>
        <w:t xml:space="preserve">bug</w:t>
      </w:r>
      <w:r>
        <w:t xml:space="preserve">, </w:t>
      </w:r>
      <w:r>
        <w:rPr>
          <w:rStyle w:val="CodeChar"/>
        </w:rPr>
        <w:t xml:space="preserve">technical-debt</w:t>
      </w:r>
      <w:r>
        <w:t xml:space="preserve">, </w:t>
      </w:r>
      <w:r>
        <w:rPr>
          <w:rStyle w:val="CodeChar"/>
        </w:rPr>
        <w:t xml:space="preserve">documentation</w:t>
      </w:r>
      <w:r>
        <w:t xml:space="preserve"> o </w:t>
      </w:r>
      <w:r>
        <w:rPr>
          <w:rStyle w:val="CodeChar"/>
        </w:rPr>
        <w:t xml:space="preserve">feature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Todo PR debe pasar por </w:t>
      </w:r>
      <w:r>
        <w:rPr>
          <w:rStyle w:val="CodeChar"/>
        </w:rPr>
        <w:t xml:space="preserve">dod-pending</w:t>
      </w:r>
      <w:r>
        <w:t xml:space="preserve"> y solo puede recibir </w:t>
      </w:r>
      <w:r>
        <w:rPr>
          <w:rStyle w:val="CodeChar"/>
        </w:rPr>
        <w:t xml:space="preserve">dod-verified</w:t>
      </w:r>
      <w:r>
        <w:t xml:space="preserve"> cuando los seis criterios están cumplidos y sus evidencias adjuntas.</w:t>
      </w:r>
    </w:p>
    <w:p>
      <w:pPr>
        <w:pStyle w:val="ListParagraph"/>
        <w:numPr>
          <w:ilvl w:val="0"/>
          <w:numId w:val="9"/>
        </w:numPr>
      </w:pPr>
      <w:r>
        <w:t xml:space="preserve">Solo se hace merge a </w:t>
      </w:r>
      <w:r>
        <w:rPr>
          <w:rStyle w:val="CodeChar"/>
        </w:rPr>
        <w:t xml:space="preserve">main</w:t>
      </w:r>
      <w:r>
        <w:t xml:space="preserve"> de PRs con </w:t>
      </w:r>
      <w:r>
        <w:rPr>
          <w:rStyle w:val="CodeChar"/>
        </w:rPr>
        <w:t xml:space="preserve">dod-verified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Las ramas se nombran según la incidencia y el tipo de tarea (por ejemplo </w:t>
      </w:r>
      <w:r>
        <w:rPr>
          <w:rStyle w:val="CodeChar"/>
        </w:rPr>
        <w:t xml:space="preserve">bug/42-validacion-saldo-negativo</w:t>
      </w:r>
      <w:r>
        <w:t xml:space="preserve">, </w:t>
      </w:r>
      <w:r>
        <w:rPr>
          <w:rStyle w:val="CodeChar"/>
        </w:rPr>
        <w:t xml:space="preserve">feature/17-transferencias</w:t>
      </w:r>
      <w:r>
        <w:t xml:space="preserve">), de modo que la rama, el issue y la etiqueta cuenten la misma historia.</w:t>
      </w:r>
    </w:p>
    <w:p>
      <w:pPr>
        <w:pStyle w:val="Heading2"/>
      </w:pPr>
      <w:r>
        <w:t xml:space="preserve">Conclusión</w:t>
      </w:r>
    </w:p>
    <w:p>
      <w:pPr/>
      <w:r>
        <w:t xml:space="preserve">La combinación de una DoD vinculante, plantillas de incidencias estructuradas y un sistema de etiquetas consistente convierte la calidad en un sistema de gobernanza continua y no en un filtro tardío. Cada cambio queda trazable desde el issue de origen hasta la evidencia que certifica su cumplimiento, lo que reduce la ambigüedad, la subjetividad en las revisiones y el riesgo de regresiones.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Trabajo Práctico Semana 1 Gobernanza y Definición de Terminado (DoD)</dc:title>
  <dc:description>Claude Docs node/85c5f324-6ddd@3 docx-w7</dc:description>
  <cp:revision>3</cp:revision>
</cp:coreProperties>
</file>