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8"/>
        </w:rPr>
        <w:t>13.1.4. Cronograma de actividades</w:t>
      </w:r>
    </w:p>
    <w:p>
      <w:pPr>
        <w:spacing w:after="240"/>
        <w:jc w:val="both"/>
      </w:pPr>
      <w:r>
        <w:rPr>
          <w:rFonts w:ascii="Arial" w:hAnsi="Arial"/>
          <w:sz w:val="24"/>
        </w:rPr>
        <w:t>El siguiente cronograma de actividades detalla las tareas ejecutadas para el desarrollo del proyecto Sistema de Gestión y Trazabilidad de Historias Clínicas (SIGET-HC), incluyendo la fase, la actividad específica, la duración asignada en meses, las semanas estimadas y el responsable de su realización.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CB3D1"/>
          <w:left w:val="single" w:sz="4" w:color="9CB3D1"/>
          <w:bottom w:val="single" w:sz="4" w:color="9CB3D1"/>
          <w:right w:val="single" w:sz="4" w:color="9CB3D1"/>
          <w:insideH w:val="single" w:sz="4" w:color="9CB3D1"/>
          <w:insideV w:val="single" w:sz="4" w:color="9CB3D1"/>
        </w:tblBorders>
      </w:tblPr>
      <w:tblGrid>
        <w:gridCol w:w="2601"/>
        <w:gridCol w:w="2601"/>
        <w:gridCol w:w="2601"/>
        <w:gridCol w:w="2601"/>
        <w:gridCol w:w="2601"/>
      </w:tblGrid>
      <w:tr>
        <w:tc>
          <w:tcPr>
            <w:tcW w:type="dxa" w:w="1587"/>
            <w:vAlign w:val="center"/>
            <w:shd w:val="clear" w:color="auto" w:fill="173A6B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Fase</w:t>
            </w:r>
          </w:p>
        </w:tc>
        <w:tc>
          <w:tcPr>
            <w:tcW w:type="dxa" w:w="4819"/>
            <w:vAlign w:val="center"/>
            <w:shd w:val="clear" w:color="auto" w:fill="173A6B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Actividad</w:t>
            </w:r>
          </w:p>
        </w:tc>
        <w:tc>
          <w:tcPr>
            <w:tcW w:type="dxa" w:w="1701"/>
            <w:vAlign w:val="center"/>
            <w:shd w:val="clear" w:color="auto" w:fill="173A6B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Duración (meses)</w:t>
            </w:r>
          </w:p>
        </w:tc>
        <w:tc>
          <w:tcPr>
            <w:tcW w:type="dxa" w:w="1814"/>
            <w:vAlign w:val="center"/>
            <w:shd w:val="clear" w:color="auto" w:fill="173A6B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Semanas</w:t>
            </w:r>
          </w:p>
        </w:tc>
        <w:tc>
          <w:tcPr>
            <w:tcW w:type="dxa" w:w="3118"/>
            <w:vAlign w:val="center"/>
            <w:shd w:val="clear" w:color="auto" w:fill="173A6B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Responsable</w:t>
            </w:r>
          </w:p>
        </w:tc>
      </w:tr>
      <w:tr>
        <w:tc>
          <w:tcPr>
            <w:tcW w:type="dxa" w:w="1587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Análisis</w:t>
            </w:r>
          </w:p>
        </w:tc>
        <w:tc>
          <w:tcPr>
            <w:tcW w:type="dxa" w:w="4819"/>
            <w:vAlign w:val="center"/>
            <w:shd w:val="clear" w:color="auto" w:fill="CFEAF7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Levantamiento de requerimientos en ventanilla</w:t>
            </w:r>
          </w:p>
        </w:tc>
        <w:tc>
          <w:tcPr>
            <w:tcW w:type="dxa" w:w="1701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1</w:t>
            </w:r>
          </w:p>
        </w:tc>
        <w:tc>
          <w:tcPr>
            <w:tcW w:type="dxa" w:w="1814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1–2</w:t>
            </w:r>
          </w:p>
        </w:tc>
        <w:tc>
          <w:tcPr>
            <w:tcW w:type="dxa" w:w="3118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Análisis</w:t>
            </w:r>
          </w:p>
        </w:tc>
        <w:tc>
          <w:tcPr>
            <w:tcW w:type="dxa" w:w="4819"/>
            <w:vAlign w:val="center"/>
            <w:shd w:val="clear" w:color="auto" w:fill="F4F8FC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Entrevistas con el personal de ventanilla</w:t>
            </w:r>
          </w:p>
        </w:tc>
        <w:tc>
          <w:tcPr>
            <w:tcW w:type="dxa" w:w="1701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1</w:t>
            </w:r>
          </w:p>
        </w:tc>
        <w:tc>
          <w:tcPr>
            <w:tcW w:type="dxa" w:w="1814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2–3</w:t>
            </w:r>
          </w:p>
        </w:tc>
        <w:tc>
          <w:tcPr>
            <w:tcW w:type="dxa" w:w="3118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Análisis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Análisis del proceso actual y documentación de requerimientos funcionales y no funcionales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3–4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 / Tutor empresarial</w:t>
            </w:r>
          </w:p>
        </w:tc>
      </w:tr>
      <w:tr>
        <w:tc>
          <w:tcPr>
            <w:tcW w:type="dxa" w:w="1587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Diseño</w:t>
            </w:r>
          </w:p>
        </w:tc>
        <w:tc>
          <w:tcPr>
            <w:tcW w:type="dxa" w:w="4819"/>
            <w:vAlign w:val="center"/>
            <w:shd w:val="clear" w:color="auto" w:fill="CFEAF7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Diseño de la arquitectura del sistema (cliente-servidor)</w:t>
            </w:r>
          </w:p>
        </w:tc>
        <w:tc>
          <w:tcPr>
            <w:tcW w:type="dxa" w:w="1701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2</w:t>
            </w:r>
          </w:p>
        </w:tc>
        <w:tc>
          <w:tcPr>
            <w:tcW w:type="dxa" w:w="1814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5–6</w:t>
            </w:r>
          </w:p>
        </w:tc>
        <w:tc>
          <w:tcPr>
            <w:tcW w:type="dxa" w:w="3118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Diseño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Modelado de la base de datos y diccionario de datos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6–7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Diseño</w:t>
            </w:r>
          </w:p>
        </w:tc>
        <w:tc>
          <w:tcPr>
            <w:tcW w:type="dxa" w:w="4819"/>
            <w:vAlign w:val="center"/>
            <w:shd w:val="clear" w:color="auto" w:fill="F4F8FC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Prototipado de interfaces de usuario y validación con ventanilla</w:t>
            </w:r>
          </w:p>
        </w:tc>
        <w:tc>
          <w:tcPr>
            <w:tcW w:type="dxa" w:w="1701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2</w:t>
            </w:r>
          </w:p>
        </w:tc>
        <w:tc>
          <w:tcPr>
            <w:tcW w:type="dxa" w:w="1814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7–8</w:t>
            </w:r>
          </w:p>
        </w:tc>
        <w:tc>
          <w:tcPr>
            <w:tcW w:type="dxa" w:w="3118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 / Personal de ventanilla</w:t>
            </w:r>
          </w:p>
        </w:tc>
      </w:tr>
      <w:tr>
        <w:tc>
          <w:tcPr>
            <w:tcW w:type="dxa" w:w="1587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Desarrollo</w:t>
            </w:r>
          </w:p>
        </w:tc>
        <w:tc>
          <w:tcPr>
            <w:tcW w:type="dxa" w:w="4819"/>
            <w:vAlign w:val="center"/>
            <w:shd w:val="clear" w:color="auto" w:fill="CFEAF7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Configuración del entorno y proyecto base (Django + React)</w:t>
            </w:r>
          </w:p>
        </w:tc>
        <w:tc>
          <w:tcPr>
            <w:tcW w:type="dxa" w:w="1701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3</w:t>
            </w:r>
          </w:p>
        </w:tc>
        <w:tc>
          <w:tcPr>
            <w:tcW w:type="dxa" w:w="1814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9</w:t>
            </w:r>
          </w:p>
        </w:tc>
        <w:tc>
          <w:tcPr>
            <w:tcW w:type="dxa" w:w="3118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</w:t>
            </w:r>
          </w:p>
        </w:tc>
        <w:tc>
          <w:tcPr>
            <w:tcW w:type="dxa" w:w="4819"/>
            <w:vAlign w:val="center"/>
            <w:shd w:val="clear" w:color="auto" w:fill="F4F8FC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 del módulo de usuarios y autenticación JWT</w:t>
            </w:r>
          </w:p>
        </w:tc>
        <w:tc>
          <w:tcPr>
            <w:tcW w:type="dxa" w:w="1701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3</w:t>
            </w:r>
          </w:p>
        </w:tc>
        <w:tc>
          <w:tcPr>
            <w:tcW w:type="dxa" w:w="1814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9–10</w:t>
            </w:r>
          </w:p>
        </w:tc>
        <w:tc>
          <w:tcPr>
            <w:tcW w:type="dxa" w:w="3118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 del módulo de pacientes e integración con Verifik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10–12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</w:t>
            </w:r>
          </w:p>
        </w:tc>
        <w:tc>
          <w:tcPr>
            <w:tcW w:type="dxa" w:w="4819"/>
            <w:vAlign w:val="center"/>
            <w:shd w:val="clear" w:color="auto" w:fill="F4F8FC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 del módulo de solicitudes y flujo de estados</w:t>
            </w:r>
          </w:p>
        </w:tc>
        <w:tc>
          <w:tcPr>
            <w:tcW w:type="dxa" w:w="1701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4</w:t>
            </w:r>
          </w:p>
        </w:tc>
        <w:tc>
          <w:tcPr>
            <w:tcW w:type="dxa" w:w="1814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13–15</w:t>
            </w:r>
          </w:p>
        </w:tc>
        <w:tc>
          <w:tcPr>
            <w:tcW w:type="dxa" w:w="3118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 del módulo de bitácora de auditoría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16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</w:t>
            </w:r>
          </w:p>
        </w:tc>
        <w:tc>
          <w:tcPr>
            <w:tcW w:type="dxa" w:w="4819"/>
            <w:vAlign w:val="center"/>
            <w:shd w:val="clear" w:color="auto" w:fill="F4F8FC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Desarrollo del módulo de reportes y exportación a Excel</w:t>
            </w:r>
          </w:p>
        </w:tc>
        <w:tc>
          <w:tcPr>
            <w:tcW w:type="dxa" w:w="1701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5</w:t>
            </w:r>
          </w:p>
        </w:tc>
        <w:tc>
          <w:tcPr>
            <w:tcW w:type="dxa" w:w="1814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17–18</w:t>
            </w:r>
          </w:p>
        </w:tc>
        <w:tc>
          <w:tcPr>
            <w:tcW w:type="dxa" w:w="3118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Pruebas</w:t>
            </w:r>
          </w:p>
        </w:tc>
        <w:tc>
          <w:tcPr>
            <w:tcW w:type="dxa" w:w="4819"/>
            <w:vAlign w:val="center"/>
            <w:shd w:val="clear" w:color="auto" w:fill="CFEAF7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Pruebas funcionales internas de cada módulo</w:t>
            </w:r>
          </w:p>
        </w:tc>
        <w:tc>
          <w:tcPr>
            <w:tcW w:type="dxa" w:w="1701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5</w:t>
            </w:r>
          </w:p>
        </w:tc>
        <w:tc>
          <w:tcPr>
            <w:tcW w:type="dxa" w:w="1814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Semanas 18–19</w:t>
            </w:r>
          </w:p>
        </w:tc>
        <w:tc>
          <w:tcPr>
            <w:tcW w:type="dxa" w:w="3118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Pruebas</w:t>
            </w:r>
          </w:p>
        </w:tc>
        <w:tc>
          <w:tcPr>
            <w:tcW w:type="dxa" w:w="4819"/>
            <w:vAlign w:val="center"/>
            <w:shd w:val="clear" w:color="auto" w:fill="F4F8FC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Pruebas de integración entre módulos</w:t>
            </w:r>
          </w:p>
        </w:tc>
        <w:tc>
          <w:tcPr>
            <w:tcW w:type="dxa" w:w="1701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5</w:t>
            </w:r>
          </w:p>
        </w:tc>
        <w:tc>
          <w:tcPr>
            <w:tcW w:type="dxa" w:w="1814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20</w:t>
            </w:r>
          </w:p>
        </w:tc>
        <w:tc>
          <w:tcPr>
            <w:tcW w:type="dxa" w:w="3118"/>
            <w:vAlign w:val="center"/>
            <w:shd w:val="clear" w:color="auto" w:fill="F4F8FC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Pruebas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Pruebas de aceptación con el personal de ventanilla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21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 / Personal de ventanilla</w:t>
            </w:r>
          </w:p>
        </w:tc>
      </w:tr>
      <w:tr>
        <w:tc>
          <w:tcPr>
            <w:tcW w:type="dxa" w:w="1587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Implementación</w:t>
            </w:r>
          </w:p>
        </w:tc>
        <w:tc>
          <w:tcPr>
            <w:tcW w:type="dxa" w:w="4819"/>
            <w:vAlign w:val="center"/>
            <w:shd w:val="clear" w:color="auto" w:fill="CFEAF7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Despliegue del sistema en la infraestructura de la Clínica Junical</w:t>
            </w:r>
          </w:p>
        </w:tc>
        <w:tc>
          <w:tcPr>
            <w:tcW w:type="dxa" w:w="1701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6</w:t>
            </w:r>
          </w:p>
        </w:tc>
        <w:tc>
          <w:tcPr>
            <w:tcW w:type="dxa" w:w="1814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22</w:t>
            </w:r>
          </w:p>
        </w:tc>
        <w:tc>
          <w:tcPr>
            <w:tcW w:type="dxa" w:w="3118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 / Tutor empresarial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Implementación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Capacitación al personal de ventanilla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23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</w:t>
            </w:r>
          </w:p>
        </w:tc>
      </w:tr>
      <w:tr>
        <w:tc>
          <w:tcPr>
            <w:tcW w:type="dxa" w:w="1587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Cierre</w:t>
            </w:r>
          </w:p>
        </w:tc>
        <w:tc>
          <w:tcPr>
            <w:tcW w:type="dxa" w:w="4819"/>
            <w:vAlign w:val="center"/>
            <w:shd w:val="clear" w:color="auto" w:fill="CFEAF7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Entrega de la documentación técnica, manual de usuario e informe final</w:t>
            </w:r>
          </w:p>
        </w:tc>
        <w:tc>
          <w:tcPr>
            <w:tcW w:type="dxa" w:w="1701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Mes 6</w:t>
            </w:r>
          </w:p>
        </w:tc>
        <w:tc>
          <w:tcPr>
            <w:tcW w:type="dxa" w:w="1814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24</w:t>
            </w:r>
          </w:p>
        </w:tc>
        <w:tc>
          <w:tcPr>
            <w:tcW w:type="dxa" w:w="3118"/>
            <w:vAlign w:val="center"/>
            <w:shd w:val="clear" w:color="auto" w:fill="CFEAF7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Estudiante practicante / Tutor académico</w:t>
            </w:r>
          </w:p>
        </w:tc>
      </w:tr>
    </w:tbl>
    <w:p/>
    <w:p>
      <w:pPr>
        <w:jc w:val="center"/>
      </w:pPr>
      <w:r>
        <w:rPr>
          <w:rFonts w:ascii="Arial" w:hAnsi="Arial"/>
          <w:i/>
          <w:sz w:val="20"/>
        </w:rPr>
        <w:t>Tabla 1. Cronograma de actividades del proyecto SIGET-HC.</w:t>
      </w:r>
    </w:p>
    <w:p>
      <w:pPr>
        <w:jc w:val="center"/>
      </w:pPr>
      <w:r>
        <w:rPr>
          <w:rFonts w:ascii="Arial" w:hAnsi="Arial"/>
          <w:i/>
          <w:sz w:val="20"/>
        </w:rPr>
        <w:t>Fuente: elaboración propia.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