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2025, cybersecurity has shifted from reactive "perimeter" defense to proactive Security by Design and Zero Trust Architecture. Integrating these practices requires a holistic approach that inserts security into every stage of the software development lifecycle or SDLC rather than treating it as a final checklist. Implementing standards such as OWASP, CERT, NIST SSDF, and more guarantees that security is incorporated into the code from the outset. Developers utilizing these roadmaps actively remove typical vulnerabilities such as SQL injection and buffer overflows before they reach production. Shifting security to the initial requirements and design phases lowers the long-term remediation costs, which are much greater if issues are detected after release. Writing efficient code goes beyond creating functional applications; it entails adopting a defensive programming mentality. Always consider that user input may be harmful. Employ rigid "allowlists" to verify data types, lengths, and formats. Principle of Least Privilege or PoLP. Provide users and code with only the essential permissions required for their specific activities. Utilize established, approved algorithms such as AES-256 and SHA-256, and avoid hardcoding sensitive information or encryption keys. Merge SAST static analysis and DAST dynamic analysis with manual code inspections to identify logic flaws that tools could overlook. Zero Trust functions based on the fundamental idea of Always Verify, Never Trust. Assume a breach has happened, segment your network into smaller parts to restrict lateral movement, and implement continuous authentication for each access request. Establish protocols that adjust based on user identity, device status, and geographic location. Suggested policies for 2025 encompass mandatory Multi-Factor Authentication, routine privilege assessments, and policy-as-code for automated regulation in cloud settings. An essential examination of security should balance the expenditure on safeguards with the possible consequences of a violation. Recognize your key digital assets and prioritize risk reduction initiatives according to the probability and consequences of possible threats. Although establishing a complete Zero Trust framework or educating developers on secure practices requires significant resources, it is a valuable investment in the long run. The expense of one data breach, comprising legal costs, penalties, and damage to reputation often surpasses the expense of preventive security measures.</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Embracing a secure coding standard, rather than deferring security until the conclusion: This is an essential tenet of the Secure Software Development Lifecycle or SSDLC and Security by Design, highlighting the importance of embedding security right from the onset of the development process. Assessment and evaluation of risk and cost-effectiveness of mitigation. This constitutes a vital aspect of risk management in cybersecurity, where the possible effects of vulnerabilities are balanced against the expense of applying security measures. Official security policies outline the meaning of security for an organization and offer direction on actions and measures to attain that condition.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