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0"/>
      </w:pPr>
    </w:p>
    <w:p>
      <w:pPr>
        <w:spacing w:after="200"/>
        <w:jc w:val="left"/>
      </w:pPr>
      <w:r>
        <w:rPr>
          <w:rFonts w:ascii="Arial" w:cs="Arial" w:eastAsia="Arial" w:hAnsi="Arial"/>
          <w:b/>
          <w:bCs/>
          <w:color w:val="1B7F79"/>
          <w:sz w:val="24"/>
          <w:szCs w:val="24"/>
        </w:rPr>
        <w:t xml:space="preserve">INSTITUTO NATA – Novas Atitudes Transformam o Amanhã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3A5F"/>
          <w:sz w:val="52"/>
          <w:szCs w:val="52"/>
        </w:rPr>
        <w:t xml:space="preserve">CONTRATA + NATA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3A5F"/>
          <w:sz w:val="34"/>
          <w:szCs w:val="34"/>
        </w:rPr>
        <w:t xml:space="preserve">Política de Credenciamento e Contratação de Fornecedores</w:t>
      </w:r>
    </w:p>
    <w:p>
      <w:pPr>
        <w:pBdr>
          <w:bottom w:val="single" w:color="1B7F79" w:sz="8" w:space="12"/>
        </w:pBdr>
        <w:spacing w:after="60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Regulamento interno para habilitação prévia, composição de cadastro de parceiros aptos e contratação descentralizada de serviços não continuados, materiais e insumos — com prioridade ao empreendedorismo feminino, às MEs, EPPs e MEIs e ao desenvolvimento local</w:t>
      </w:r>
    </w:p>
    <w:p>
      <w:pPr>
        <w:spacing w:after="2400"/>
      </w:pPr>
    </w:p>
    <w:p>
      <w:pPr>
        <w:spacing w:after="6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Versão 1.0 — minuta para aprovação da Diretoria</w:t>
      </w:r>
    </w:p>
    <w:p>
      <w:pPr>
        <w:spacing w:after="6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Setembro de 2026</w:t>
      </w:r>
    </w:p>
    <w:p>
      <w:r>
        <w:rPr>
          <w:rFonts w:ascii="Arial" w:cs="Arial" w:eastAsia="Arial" w:hAnsi="Arial"/>
          <w:color w:val="666666"/>
          <w:sz w:val="20"/>
          <w:szCs w:val="20"/>
        </w:rPr>
        <w:t xml:space="preserve">Mesquita – Rio de Janeiro</w:t>
      </w:r>
    </w:p>
    <w:p>
      <w:r>
        <w:br w:type="page"/>
      </w:r>
    </w:p>
    <w:p>
      <w:pPr>
        <w:spacing w:after="20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keepNext/>
        <w:spacing w:after="160" w:before="360"/>
      </w:pPr>
      <w:r>
        <w:rPr>
          <w:rFonts w:ascii="Arial" w:cs="Arial" w:eastAsia="Arial" w:hAnsi="Arial"/>
        </w:rPr>
        <w:t xml:space="preserve">Apresentação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O Instituto NATA executa, em parceria com órgãos públicos municipais e estaduais, programas voltados sobretudo à população idosa (60+) e à juventude, sob o regime da Lei nº 13.019/2014 (Marco Regulatório das Organizações da Sociedade Civil – MROSC). A execução desses projetos exige, todos os meses, a contratação de dezenas de pequenos serviços e fornecimentos — alimentação para encontros, sonorização e estruturas para eventos, transporte de participantes, oficineiros, impressos, uniformes, materiais pedagógicos e esportivos, pequenos reparos — que precisam ser adquiridos com rapidez, preço justo, documentação completa e rastreabilidade para a prestação de contas.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O Governo Federal criou, em 2025, o </w:t>
      </w:r>
      <w:r>
        <w:rPr>
          <w:rFonts w:ascii="Arial" w:cs="Arial" w:eastAsia="Arial" w:hAnsi="Arial"/>
          <w:b/>
          <w:bCs/>
        </w:rPr>
        <w:t xml:space="preserve">Contrata+Brasil</w:t>
      </w:r>
      <w:r>
        <w:rPr>
          <w:rFonts w:ascii="Arial" w:cs="Arial" w:eastAsia="Arial" w:hAnsi="Arial"/>
        </w:rPr>
        <w:t xml:space="preserve"> (IN SEGES/MGI nº 52/2025), plataforma em que órgãos públicos publicam pequenas demandas e microempreendedores individuais previamente credenciados apresentam propostas. O modelo é simples e eficiente, mas a plataforma não está aberta às organizações da sociedade civil como compradoras: o acesso de entidades privadas sem fins lucrativos depende de termo de acesso ao Compras.gov.br e da percepção de recursos por convênio ou instrumento congênere, hipótese que hoje não alcança, na prática, a rotina de execução de parcerias MROSC.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Esta Política transpõe a lógica do Contrata+Brasil para o dia a dia de uma OSC. Ela institui o </w:t>
      </w:r>
      <w:r>
        <w:rPr>
          <w:rFonts w:ascii="Arial" w:cs="Arial" w:eastAsia="Arial" w:hAnsi="Arial"/>
          <w:b/>
          <w:bCs/>
        </w:rPr>
        <w:t xml:space="preserve">Contrata + NATA</w:t>
      </w:r>
      <w:r>
        <w:rPr>
          <w:rFonts w:ascii="Arial" w:cs="Arial" w:eastAsia="Arial" w:hAnsi="Arial"/>
        </w:rPr>
        <w:t xml:space="preserve">: um credenciamento permanente, aberto e gratuito, por meio do qual o Instituto forma e mantém um cadastro de fornecedores previamente habilitados — com prioridade a microempreendedores individuais, microempresas, empresas de pequeno porte, cooperativas e profissionais autônomos do território — e passa a contratar, de forma descentralizada e documentada, por rodízio, sorteio ou cotação entre os credenciados, conforme faixas de valor objetivas.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A Política dá cumprimento a três compromissos institucionais: </w:t>
      </w:r>
      <w:r>
        <w:rPr>
          <w:rFonts w:ascii="Arial" w:cs="Arial" w:eastAsia="Arial" w:hAnsi="Arial"/>
          <w:b/>
          <w:bCs/>
        </w:rPr>
        <w:t xml:space="preserve">compliance</w:t>
      </w:r>
      <w:r>
        <w:rPr>
          <w:rFonts w:ascii="Arial" w:cs="Arial" w:eastAsia="Arial" w:hAnsi="Arial"/>
        </w:rPr>
        <w:t xml:space="preserve"> com o MROSC e com as regras de cada parceiro público, </w:t>
      </w:r>
      <w:r>
        <w:rPr>
          <w:rFonts w:ascii="Arial" w:cs="Arial" w:eastAsia="Arial" w:hAnsi="Arial"/>
          <w:b/>
          <w:bCs/>
        </w:rPr>
        <w:t xml:space="preserve">desenvolvimento local</w:t>
      </w:r>
      <w:r>
        <w:rPr>
          <w:rFonts w:ascii="Arial" w:cs="Arial" w:eastAsia="Arial" w:hAnsi="Arial"/>
        </w:rPr>
        <w:t xml:space="preserve">, ao dirigir os recursos das parcerias para os pequenos negócios de Mesquita, da Baixada Fluminense e da Região Metropolitana do Rio de Janeiro, e </w:t>
      </w:r>
      <w:r>
        <w:rPr>
          <w:rFonts w:ascii="Arial" w:cs="Arial" w:eastAsia="Arial" w:hAnsi="Arial"/>
          <w:b/>
          <w:bCs/>
        </w:rPr>
        <w:t xml:space="preserve">equidade de gênero</w:t>
      </w:r>
      <w:r>
        <w:rPr>
          <w:rFonts w:ascii="Arial" w:cs="Arial" w:eastAsia="Arial" w:hAnsi="Arial"/>
        </w:rPr>
        <w:t xml:space="preserve">, ao adotar mecanismos concretos de fortalecimento dos negócios liderados por mulheres, em sintonia com a Estratégia Nacional de Empreendedorismo Feminino – Elas Empreendem (Decreto nº 11.994/2024) e com a Lei Estadual nº 9.303/2021.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shd w:fill="EEF3F8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3A5F"/>
              </w:rPr>
              <w:t xml:space="preserve">Como este documento se organiza</w:t>
            </w:r>
          </w:p>
          <w:p>
            <w:pPr>
              <w:spacing w:after="60"/>
              <w:jc w:val="both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Política (este documento)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— regras permanentes, aprovadas pela Diretoria: princípios, escopo, governança, fluxo, faixas de valor, tratamento favorecido, habilitação, sanções e transparência.</w:t>
            </w:r>
          </w:p>
          <w:p>
            <w:pPr>
              <w:spacing w:after="60"/>
              <w:jc w:val="both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Edital-padrão de Credenciamento e Anexos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— instrumento público que abre o cadastro e reúne os formulários: requerimento, declarações, termo de adesão, documento de formalização de demanda, proposta, ordem de fornecimento, termo de recebimento, recurso, mapa de riscos e tabela de sanções.</w:t>
            </w:r>
          </w:p>
          <w:p>
            <w:pPr>
              <w:spacing w:after="60"/>
              <w:jc w:val="both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Manual Operacional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— passo a passo para a equipe e para o fornecedor, prazos, fluxograma, perguntas frequentes e plano de mobilização territorial.</w:t>
            </w:r>
          </w:p>
          <w:p>
            <w:pPr>
              <w:spacing w:after="60"/>
              <w:jc w:val="both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Planilha de Gestão do Cadastro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— controle de credenciados, habilitação, rodízio, cotações, banco de preços e indicadores de inclusão.</w:t>
            </w:r>
          </w:p>
        </w:tc>
      </w:tr>
    </w:tbl>
    <w:p>
      <w:pPr>
        <w:pStyle w:val="Heading1"/>
        <w:keepNext/>
        <w:spacing w:after="160" w:before="360"/>
      </w:pPr>
      <w:r>
        <w:rPr>
          <w:rFonts w:ascii="Arial" w:cs="Arial" w:eastAsia="Arial" w:hAnsi="Arial"/>
        </w:rPr>
        <w:t xml:space="preserve">Capítulo I — Disposições preliminares</w:t>
      </w:r>
    </w:p>
    <w:p>
      <w:pPr>
        <w:pStyle w:val="Heading2"/>
        <w:keepNext/>
        <w:spacing w:after="120" w:before="260"/>
      </w:pPr>
      <w:r>
        <w:rPr>
          <w:rFonts w:ascii="Arial" w:cs="Arial" w:eastAsia="Arial" w:hAnsi="Arial"/>
        </w:rPr>
        <w:t xml:space="preserve">Objeto e finalidade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</w:rPr>
        <w:t xml:space="preserve">Art. 1º</w:t>
      </w:r>
      <w:r>
        <w:rPr>
          <w:rFonts w:ascii="Arial" w:cs="Arial" w:eastAsia="Arial" w:hAnsi="Arial"/>
        </w:rPr>
        <w:t xml:space="preserve"> Esta Política institui o Programa de Credenciamento de Fornecedores do Instituto NATA — </w:t>
      </w:r>
      <w:r>
        <w:rPr>
          <w:rFonts w:ascii="Arial" w:cs="Arial" w:eastAsia="Arial" w:hAnsi="Arial"/>
          <w:b/>
          <w:bCs/>
        </w:rPr>
        <w:t xml:space="preserve">Contrata + NATA</w:t>
      </w:r>
      <w:r>
        <w:rPr>
          <w:rFonts w:ascii="Arial" w:cs="Arial" w:eastAsia="Arial" w:hAnsi="Arial"/>
        </w:rPr>
        <w:t xml:space="preserve"> — e disciplina os mecanismos, metodologias, formulários e documentos a serem adotados pela organização para a habilitação prévia e a composição de cadastro de parceiros aptos a propor, estruturar, fornecer ou executar, de forma descentralizada, serviços não continuados, sem dedicação exclusiva de mão de obra, bem como o fornecimento de materiais e insumos necessários à execução de seus projetos, programas e atividades institucionais.</w:t>
      </w:r>
    </w:p>
    <w:p>
      <w:pPr>
        <w:spacing w:after="120" w:line="276"/>
        <w:ind w:left="400"/>
        <w:jc w:val="both"/>
      </w:pPr>
      <w:r>
        <w:rPr>
          <w:rFonts w:ascii="Arial" w:cs="Arial" w:eastAsia="Arial" w:hAnsi="Arial"/>
          <w:b/>
          <w:bCs/>
        </w:rPr>
        <w:t xml:space="preserve">§ 1º</w:t>
      </w:r>
      <w:r>
        <w:rPr>
          <w:rFonts w:ascii="Arial" w:cs="Arial" w:eastAsia="Arial" w:hAnsi="Arial"/>
        </w:rPr>
        <w:t xml:space="preserve"> O credenciamento é permanente, gratuito, aberto a qualquer interessado que atenda aos requisitos desta Política e do Edital-padrão, e não gera para o Instituto obrigação de contratar, nem para o credenciado direito subjetivo à contratação.</w:t>
      </w:r>
    </w:p>
    <w:p>
      <w:pPr>
        <w:spacing w:after="120" w:line="276"/>
        <w:ind w:left="400"/>
        <w:jc w:val="both"/>
      </w:pPr>
      <w:r>
        <w:rPr>
          <w:rFonts w:ascii="Arial" w:cs="Arial" w:eastAsia="Arial" w:hAnsi="Arial"/>
          <w:b/>
          <w:bCs/>
        </w:rPr>
        <w:t xml:space="preserve">§ 2º</w:t>
      </w:r>
      <w:r>
        <w:rPr>
          <w:rFonts w:ascii="Arial" w:cs="Arial" w:eastAsia="Arial" w:hAnsi="Arial"/>
        </w:rPr>
        <w:t xml:space="preserve"> A Política aplica-se a todas as contratações custeadas com recursos de parcerias celebradas sob a Lei nº 13.019/2014 (termos de fomento, termos de colaboração e acordos de cooperação), com recursos de convênios, contratos de patrocínio, doações, leis de incentivo e recursos próprios, ressalvadas as regras mais restritivas fixadas pelo instrumento de parceria ou pelo financiador, que prevalecerão.</w:t>
      </w:r>
    </w:p>
    <w:p>
      <w:pPr>
        <w:spacing w:after="120" w:line="276"/>
        <w:ind w:left="400"/>
        <w:jc w:val="both"/>
      </w:pPr>
      <w:r>
        <w:rPr>
          <w:rFonts w:ascii="Arial" w:cs="Arial" w:eastAsia="Arial" w:hAnsi="Arial"/>
          <w:b/>
          <w:bCs/>
        </w:rPr>
        <w:t xml:space="preserve">§ 3º</w:t>
      </w:r>
      <w:r>
        <w:rPr>
          <w:rFonts w:ascii="Arial" w:cs="Arial" w:eastAsia="Arial" w:hAnsi="Arial"/>
        </w:rPr>
        <w:t xml:space="preserve"> São finalidades do Contrata + NATA:</w:t>
      </w:r>
    </w:p>
    <w:p>
      <w:pPr>
        <w:spacing w:after="80" w:line="276"/>
        <w:ind w:left="800"/>
        <w:jc w:val="both"/>
      </w:pPr>
      <w:r>
        <w:rPr>
          <w:rFonts w:ascii="Arial" w:cs="Arial" w:eastAsia="Arial" w:hAnsi="Arial"/>
          <w:b/>
          <w:bCs/>
        </w:rPr>
        <w:t xml:space="preserve">I –</w:t>
      </w:r>
      <w:r>
        <w:rPr>
          <w:rFonts w:ascii="Arial" w:cs="Arial" w:eastAsia="Arial" w:hAnsi="Arial"/>
        </w:rPr>
        <w:t xml:space="preserve"> garantir que as compras e contratações da organização observem os princípios da legalidade, impessoalidade, moralidade, publicidade, eficiência, economicidade, isonomia e julgamento objetivo, na forma exigida das OSCs parceiras do poder público;</w:t>
      </w:r>
    </w:p>
    <w:p>
      <w:pPr>
        <w:spacing w:after="80" w:line="276"/>
        <w:ind w:left="800"/>
        <w:jc w:val="both"/>
      </w:pPr>
      <w:r>
        <w:rPr>
          <w:rFonts w:ascii="Arial" w:cs="Arial" w:eastAsia="Arial" w:hAnsi="Arial"/>
          <w:b/>
          <w:bCs/>
        </w:rPr>
        <w:t xml:space="preserve">II –</w:t>
      </w:r>
      <w:r>
        <w:rPr>
          <w:rFonts w:ascii="Arial" w:cs="Arial" w:eastAsia="Arial" w:hAnsi="Arial"/>
        </w:rPr>
        <w:t xml:space="preserve"> reduzir o tempo entre a demanda e o atendimento, mediante cadastro previamente habilitado e procedimentos padronizados;</w:t>
      </w:r>
    </w:p>
    <w:p>
      <w:pPr>
        <w:spacing w:after="80" w:line="276"/>
        <w:ind w:left="800"/>
        <w:jc w:val="both"/>
      </w:pPr>
      <w:r>
        <w:rPr>
          <w:rFonts w:ascii="Arial" w:cs="Arial" w:eastAsia="Arial" w:hAnsi="Arial"/>
          <w:b/>
          <w:bCs/>
        </w:rPr>
        <w:t xml:space="preserve">III –</w:t>
      </w:r>
      <w:r>
        <w:rPr>
          <w:rFonts w:ascii="Arial" w:cs="Arial" w:eastAsia="Arial" w:hAnsi="Arial"/>
        </w:rPr>
        <w:t xml:space="preserve"> assegurar rastreabilidade documental completa de cada contratação, de modo a sustentar a prestação de contas prevista nos arts. 63 a 72 da Lei nº 13.019/2014;</w:t>
      </w:r>
    </w:p>
    <w:p>
      <w:pPr>
        <w:spacing w:after="80" w:line="276"/>
        <w:ind w:left="800"/>
        <w:jc w:val="both"/>
      </w:pPr>
      <w:r>
        <w:rPr>
          <w:rFonts w:ascii="Arial" w:cs="Arial" w:eastAsia="Arial" w:hAnsi="Arial"/>
          <w:b/>
          <w:bCs/>
        </w:rPr>
        <w:t xml:space="preserve">IV –</w:t>
      </w:r>
      <w:r>
        <w:rPr>
          <w:rFonts w:ascii="Arial" w:cs="Arial" w:eastAsia="Arial" w:hAnsi="Arial"/>
        </w:rPr>
        <w:t xml:space="preserve"> fortalecer o empreendedorismo feminino e os pequenos negócios do território — microempreendedores individuais (MEI), microempresas (ME), empresas de pequeno porte (EPP), cooperativas e profissionais autônomos —, dirigindo a eles, prioritariamente, os recursos aplicados pelo Instituto;</w:t>
      </w:r>
    </w:p>
    <w:p>
      <w:pPr>
        <w:spacing w:after="80" w:line="276"/>
        <w:ind w:left="800"/>
        <w:jc w:val="both"/>
      </w:pPr>
      <w:r>
        <w:rPr>
          <w:rFonts w:ascii="Arial" w:cs="Arial" w:eastAsia="Arial" w:hAnsi="Arial"/>
          <w:b/>
          <w:bCs/>
        </w:rPr>
        <w:t xml:space="preserve">V –</w:t>
      </w:r>
      <w:r>
        <w:rPr>
          <w:rFonts w:ascii="Arial" w:cs="Arial" w:eastAsia="Arial" w:hAnsi="Arial"/>
        </w:rPr>
        <w:t xml:space="preserve"> promover o desenvolvimento econômico local e sustentável dos municípios em que o Instituto tem sede e executa seus projetos.</w:t>
      </w:r>
    </w:p>
    <w:p>
      <w:pPr>
        <w:pStyle w:val="Heading2"/>
        <w:keepNext/>
        <w:spacing w:after="120" w:before="260"/>
      </w:pPr>
      <w:r>
        <w:rPr>
          <w:rFonts w:ascii="Arial" w:cs="Arial" w:eastAsia="Arial" w:hAnsi="Arial"/>
        </w:rPr>
        <w:t xml:space="preserve">Fundamentos legais e alinhamento a políticas públicas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</w:rPr>
        <w:t xml:space="preserve">Art. 2º</w:t>
      </w:r>
      <w:r>
        <w:rPr>
          <w:rFonts w:ascii="Arial" w:cs="Arial" w:eastAsia="Arial" w:hAnsi="Arial"/>
        </w:rPr>
        <w:t xml:space="preserve"> O Contrata + NATA fundamenta-se nas seguintes normas e diretrizes, que integram esta Política para fins de interpretação e aplicação: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7"/>
        <w:gridCol w:w="6361"/>
      </w:tblGrid>
      <w:tr>
        <w:trPr>
          <w:tblHeader/>
        </w:trPr>
        <w:tc>
          <w:tcPr>
            <w:tcW w:type="dxa" w:w="3277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Norma / diretriz</w:t>
            </w:r>
          </w:p>
        </w:tc>
        <w:tc>
          <w:tcPr>
            <w:tcW w:type="dxa" w:w="6361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 que se aplica ao Contrata + NATA</w:t>
            </w:r>
          </w:p>
        </w:tc>
      </w:tr>
      <w:t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Constituição Federal, arts. 3º, I e IV; 7º, XXXIII; 170, IX</w:t>
            </w:r>
          </w:p>
        </w:tc>
        <w:tc>
          <w:tcPr>
            <w:tcW w:type="dxa" w:w="63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Objetivos de redução das desigualdades e promoção do bem de todos sem discriminação; proibição do trabalho infantil; tratamento favorecido às empresas de pequeno porte.</w:t>
            </w:r>
          </w:p>
        </w:tc>
      </w:tr>
      <w:tr>
        <w:tc>
          <w:tcPr>
            <w:tcW w:type="dxa" w:w="3277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Lei nº 13.019/2014 (MROSC), especialmente arts. 2º, 5º, 22, 33 a 35, 39, 42, 45, 46, 51 a 53, 63 a 72</w:t>
            </w:r>
          </w:p>
        </w:tc>
        <w:tc>
          <w:tcPr>
            <w:tcW w:type="dxa" w:w="6361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Princípios das parcerias; plano de trabalho e plano de aplicação; requisitos e vedações aplicáveis à OSC e a seus dirigentes; vedação de pagamento de servidor público e de despesas alheias ao objeto; movimentação em conta específica com identificação do beneficiário; prestação de contas.</w:t>
            </w:r>
          </w:p>
        </w:tc>
      </w:tr>
      <w:t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Decreto nº 8.726/2016, arts. 26, 27, 36, 37 e 38</w:t>
            </w:r>
          </w:p>
        </w:tc>
        <w:tc>
          <w:tcPr>
            <w:tcW w:type="dxa" w:w="63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Compras e contratações pela OSC segundo métodos usualmente utilizados pelo setor privado; responsabilidade exclusiva da OSC pela gestão; verificação de compatibilidade entre valor previsto e valor efetivo; comprovação por notas, comprovantes fiscais ou recibos com CNPJ/CPF do fornecedor; pagamentos por transferência eletrônica identificando o beneficiário.</w:t>
            </w:r>
          </w:p>
        </w:tc>
      </w:tr>
      <w:tr>
        <w:tc>
          <w:tcPr>
            <w:tcW w:type="dxa" w:w="3277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Regulamentos municipais e estaduais das parcerias (p. ex., Decreto Municipal do Rio de Janeiro nº 42.696/2016) e normas do financiador</w:t>
            </w:r>
          </w:p>
        </w:tc>
        <w:tc>
          <w:tcPr>
            <w:tcW w:type="dxa" w:w="6361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Exigências específicas de cotação prévia, número mínimo de propostas, forma de comprovação e prazos de prestação de contas — sempre prevalecem quando mais rigorosas.</w:t>
            </w:r>
          </w:p>
        </w:tc>
      </w:tr>
      <w:t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Lei nº 14.133/2021, arts. 6º, XLIII; 75; 79; 95, § 2º; 155 a 163; Decreto nº 11.878/2024; IN SEGES/MGI nº 52/2025 e nº 460/2025 (Contrata+Brasil)</w:t>
            </w:r>
          </w:p>
        </w:tc>
        <w:tc>
          <w:tcPr>
            <w:tcW w:type="dxa" w:w="63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Adotados como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parâmetro de boas práticas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por analogia e sem vincular a OSC ao regime licitatório: conceito e hipóteses de credenciamento; faixas de valor de referência; fluxo de oportunidade, proposta, seleção, habilitação e monitoramento; dosimetria de sanções.</w:t>
            </w:r>
          </w:p>
        </w:tc>
      </w:tr>
      <w:tr>
        <w:tc>
          <w:tcPr>
            <w:tcW w:type="dxa" w:w="3277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Lei Complementar nº 123/2006, arts. 3º, 18-A, 42 a 49, e Decreto nº 8.538/2015</w:t>
            </w:r>
          </w:p>
        </w:tc>
        <w:tc>
          <w:tcPr>
            <w:tcW w:type="dxa" w:w="6361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Definições de ME, EPP e MEI; tratamento diferenciado e simplificado: regularização fiscal tardia, empate ficto, contratações exclusivas e prioridade a fornecedores locais e regionais (margem de até 10%).</w:t>
            </w:r>
          </w:p>
        </w:tc>
      </w:tr>
      <w:t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Decreto nº 11.994/2024 — Estratégia Nacional de Empreendedorismo Feminino (Elas Empreendem); Portaria MEMP nº 261/2026 (NEEF)</w:t>
            </w:r>
          </w:p>
        </w:tc>
        <w:tc>
          <w:tcPr>
            <w:tcW w:type="dxa" w:w="63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Eixos de acesso a mercados e inclusão produtiva, tecnologia e inovação, crédito e educação empreendedora; diretriz de equidade étnico-racial e interseccionalidade; prioridade a mulheres inscritas no CadÚnico.</w:t>
            </w:r>
          </w:p>
        </w:tc>
      </w:tr>
      <w:tr>
        <w:tc>
          <w:tcPr>
            <w:tcW w:type="dxa" w:w="3277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Lei Estadual RJ nº 9.303/2021 — Política Estadual de Estímulo ao Empreendedorismo Feminino</w:t>
            </w:r>
          </w:p>
        </w:tc>
        <w:tc>
          <w:tcPr>
            <w:tcW w:type="dxa" w:w="6361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Diretrizes de capacitação, acesso a crédito e mercados e cooperação entre poder público, setor produtivo e sociedade civil no Estado do Rio de Janeiro.</w:t>
            </w:r>
          </w:p>
        </w:tc>
      </w:tr>
      <w:tr>
        <w:tc>
          <w:tcPr>
            <w:tcW w:type="dxa" w:w="327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Lei nº 12.846/2013 (Anticorrupção); Lei nº 13.709/2018 (LGPD); Lei nº 9.613/1998</w:t>
            </w:r>
          </w:p>
        </w:tc>
        <w:tc>
          <w:tcPr>
            <w:tcW w:type="dxa" w:w="636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Integridade nas relações com fornecedores; proteção dos dados pessoais dos credenciados; prevenção à lavagem de dinheiro na identificação do beneficiário final dos pagamentos.</w:t>
            </w:r>
          </w:p>
        </w:tc>
      </w:tr>
      <w:tr>
        <w:tc>
          <w:tcPr>
            <w:tcW w:type="dxa" w:w="3277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Objetivos de Desenvolvimento Sustentável — ODS 5, 8, 10 e 12</w:t>
            </w:r>
          </w:p>
        </w:tc>
        <w:tc>
          <w:tcPr>
            <w:tcW w:type="dxa" w:w="6361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Igualdade de gênero; trabalho decente e crescimento econômico; redução das desigualdades; consumo e produção responsáveis.</w:t>
            </w:r>
          </w:p>
        </w:tc>
      </w:tr>
    </w:tbl>
    <w:p>
      <w:pPr>
        <w:pBdr>
          <w:left w:val="single" w:color="1B7F79" w:sz="12" w:space="8"/>
        </w:pBdr>
        <w:spacing w:after="120"/>
        <w:ind w:left="400"/>
        <w:jc w:val="left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Nota técnica: a OSC não é órgão público e não está sujeita à Lei nº 14.133/2021. O Decreto nº 8.726/2016 (art. 36) manda que as compras com recursos de parceria adotem os métodos usuais do setor privado. Esta Política usa a Lei de Licitações e o Contrata+Brasil como referência de organização, faixas de valor e boas práticas — o que reforça, perante os órgãos de controle, a impessoalidade e a economicidade das contratações —, sem converter o credenciamento em licitação.</w:t>
      </w:r>
    </w:p>
    <w:p>
      <w:pPr>
        <w:pStyle w:val="Heading2"/>
        <w:keepNext/>
        <w:spacing w:after="120" w:before="260"/>
      </w:pPr>
      <w:r>
        <w:rPr>
          <w:rFonts w:ascii="Arial" w:cs="Arial" w:eastAsia="Arial" w:hAnsi="Arial"/>
        </w:rPr>
        <w:t xml:space="preserve">Definições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</w:rPr>
        <w:t xml:space="preserve">Art. 3º</w:t>
      </w:r>
      <w:r>
        <w:rPr>
          <w:rFonts w:ascii="Arial" w:cs="Arial" w:eastAsia="Arial" w:hAnsi="Arial"/>
        </w:rPr>
        <w:t xml:space="preserve"> Para os fins desta Política, considera-se:</w:t>
      </w:r>
    </w:p>
    <w:p>
      <w:pPr>
        <w:spacing w:after="80" w:line="276"/>
        <w:ind w:left="800"/>
        <w:jc w:val="both"/>
      </w:pPr>
      <w:r>
        <w:rPr>
          <w:rFonts w:ascii="Arial" w:cs="Arial" w:eastAsia="Arial" w:hAnsi="Arial"/>
          <w:b/>
          <w:bCs/>
        </w:rPr>
        <w:t xml:space="preserve">I –</w:t>
      </w:r>
      <w:r>
        <w:rPr>
          <w:rFonts w:ascii="Arial" w:cs="Arial" w:eastAsia="Arial" w:hAnsi="Arial"/>
        </w:rPr>
        <w:t xml:space="preserve"> </w:t>
      </w:r>
      <w:r>
        <w:rPr>
          <w:rFonts w:ascii="Arial" w:cs="Arial" w:eastAsia="Arial" w:hAnsi="Arial"/>
          <w:b/>
          <w:bCs/>
        </w:rPr>
        <w:t xml:space="preserve">credenciamento</w:t>
      </w:r>
      <w:r>
        <w:rPr>
          <w:rFonts w:ascii="Arial" w:cs="Arial" w:eastAsia="Arial" w:hAnsi="Arial"/>
        </w:rPr>
        <w:t xml:space="preserve">: procedimento permanente pelo qual o Instituto convoca, por edital, interessados em fornecer bens ou prestar serviços para que, preenchidos os requisitos, integrem o cadastro de fornecedores aptos a serem convocados;</w:t>
      </w:r>
    </w:p>
    <w:p>
      <w:pPr>
        <w:spacing w:after="80" w:line="276"/>
        <w:ind w:left="800"/>
        <w:jc w:val="both"/>
      </w:pPr>
      <w:r>
        <w:rPr>
          <w:rFonts w:ascii="Arial" w:cs="Arial" w:eastAsia="Arial" w:hAnsi="Arial"/>
          <w:b/>
          <w:bCs/>
        </w:rPr>
        <w:t xml:space="preserve">II –</w:t>
      </w:r>
      <w:r>
        <w:rPr>
          <w:rFonts w:ascii="Arial" w:cs="Arial" w:eastAsia="Arial" w:hAnsi="Arial"/>
        </w:rPr>
        <w:t xml:space="preserve"> </w:t>
      </w:r>
      <w:r>
        <w:rPr>
          <w:rFonts w:ascii="Arial" w:cs="Arial" w:eastAsia="Arial" w:hAnsi="Arial"/>
          <w:b/>
          <w:bCs/>
        </w:rPr>
        <w:t xml:space="preserve">credenciado</w:t>
      </w:r>
      <w:r>
        <w:rPr>
          <w:rFonts w:ascii="Arial" w:cs="Arial" w:eastAsia="Arial" w:hAnsi="Arial"/>
        </w:rPr>
        <w:t xml:space="preserve">: pessoa jurídica ou física que atendeu aos requisitos do Edital-padrão e foi incluída no cadastro, em uma ou mais linhas de fornecimento e territórios;</w:t>
      </w:r>
    </w:p>
    <w:p>
      <w:pPr>
        <w:spacing w:after="80" w:line="276"/>
        <w:ind w:left="800"/>
        <w:jc w:val="both"/>
      </w:pPr>
      <w:r>
        <w:rPr>
          <w:rFonts w:ascii="Arial" w:cs="Arial" w:eastAsia="Arial" w:hAnsi="Arial"/>
          <w:b/>
          <w:bCs/>
        </w:rPr>
        <w:t xml:space="preserve">III –</w:t>
      </w:r>
      <w:r>
        <w:rPr>
          <w:rFonts w:ascii="Arial" w:cs="Arial" w:eastAsia="Arial" w:hAnsi="Arial"/>
        </w:rPr>
        <w:t xml:space="preserve"> </w:t>
      </w:r>
      <w:r>
        <w:rPr>
          <w:rFonts w:ascii="Arial" w:cs="Arial" w:eastAsia="Arial" w:hAnsi="Arial"/>
          <w:b/>
          <w:bCs/>
        </w:rPr>
        <w:t xml:space="preserve">linha de fornecimento</w:t>
      </w:r>
      <w:r>
        <w:rPr>
          <w:rFonts w:ascii="Arial" w:cs="Arial" w:eastAsia="Arial" w:hAnsi="Arial"/>
        </w:rPr>
        <w:t xml:space="preserve">: categoria de serviço, material ou insumo, descrita no Catálogo (Anexo I do Edital-padrão), à qual o credenciado se vincula;</w:t>
      </w:r>
    </w:p>
    <w:p>
      <w:pPr>
        <w:spacing w:after="80" w:line="276"/>
        <w:ind w:left="800"/>
        <w:jc w:val="both"/>
      </w:pPr>
      <w:r>
        <w:rPr>
          <w:rFonts w:ascii="Arial" w:cs="Arial" w:eastAsia="Arial" w:hAnsi="Arial"/>
          <w:b/>
          <w:bCs/>
        </w:rPr>
        <w:t xml:space="preserve">IV –</w:t>
      </w:r>
      <w:r>
        <w:rPr>
          <w:rFonts w:ascii="Arial" w:cs="Arial" w:eastAsia="Arial" w:hAnsi="Arial"/>
        </w:rPr>
        <w:t xml:space="preserve"> </w:t>
      </w:r>
      <w:r>
        <w:rPr>
          <w:rFonts w:ascii="Arial" w:cs="Arial" w:eastAsia="Arial" w:hAnsi="Arial"/>
          <w:b/>
          <w:bCs/>
        </w:rPr>
        <w:t xml:space="preserve">serviço não continuado</w:t>
      </w:r>
      <w:r>
        <w:rPr>
          <w:rFonts w:ascii="Arial" w:cs="Arial" w:eastAsia="Arial" w:hAnsi="Arial"/>
        </w:rPr>
        <w:t xml:space="preserve">: aquele com escopo, prazo e resultado definidos, contratado por demanda, que se encerra com a entrega do objeto e não cria expectativa de continuidade;</w:t>
      </w:r>
    </w:p>
    <w:p>
      <w:pPr>
        <w:spacing w:after="80" w:line="276"/>
        <w:ind w:left="800"/>
        <w:jc w:val="both"/>
      </w:pPr>
      <w:r>
        <w:rPr>
          <w:rFonts w:ascii="Arial" w:cs="Arial" w:eastAsia="Arial" w:hAnsi="Arial"/>
          <w:b/>
          <w:bCs/>
        </w:rPr>
        <w:t xml:space="preserve">V –</w:t>
      </w:r>
      <w:r>
        <w:rPr>
          <w:rFonts w:ascii="Arial" w:cs="Arial" w:eastAsia="Arial" w:hAnsi="Arial"/>
        </w:rPr>
        <w:t xml:space="preserve"> </w:t>
      </w:r>
      <w:r>
        <w:rPr>
          <w:rFonts w:ascii="Arial" w:cs="Arial" w:eastAsia="Arial" w:hAnsi="Arial"/>
          <w:b/>
          <w:bCs/>
        </w:rPr>
        <w:t xml:space="preserve">sem dedicação exclusiva de mão de obra</w:t>
      </w:r>
      <w:r>
        <w:rPr>
          <w:rFonts w:ascii="Arial" w:cs="Arial" w:eastAsia="Arial" w:hAnsi="Arial"/>
        </w:rPr>
        <w:t xml:space="preserve">: modalidade em que o fornecedor executa o serviço com seus próprios meios, sem que trabalhadores sejam colocados à disposição do Instituto em suas dependências de forma contínua, sem subordinação, pessoalidade ou habitualidade;</w:t>
      </w:r>
    </w:p>
    <w:p>
      <w:pPr>
        <w:spacing w:after="80" w:line="276"/>
        <w:ind w:left="800"/>
        <w:jc w:val="both"/>
      </w:pPr>
      <w:r>
        <w:rPr>
          <w:rFonts w:ascii="Arial" w:cs="Arial" w:eastAsia="Arial" w:hAnsi="Arial"/>
          <w:b/>
          <w:bCs/>
        </w:rPr>
        <w:t xml:space="preserve">VI –</w:t>
      </w:r>
      <w:r>
        <w:rPr>
          <w:rFonts w:ascii="Arial" w:cs="Arial" w:eastAsia="Arial" w:hAnsi="Arial"/>
        </w:rPr>
        <w:t xml:space="preserve"> </w:t>
      </w:r>
      <w:r>
        <w:rPr>
          <w:rFonts w:ascii="Arial" w:cs="Arial" w:eastAsia="Arial" w:hAnsi="Arial"/>
          <w:b/>
          <w:bCs/>
        </w:rPr>
        <w:t xml:space="preserve">oportunidade</w:t>
      </w:r>
      <w:r>
        <w:rPr>
          <w:rFonts w:ascii="Arial" w:cs="Arial" w:eastAsia="Arial" w:hAnsi="Arial"/>
        </w:rPr>
        <w:t xml:space="preserve">: demanda específica publicada aos credenciados de uma linha e território, a partir do Documento de Formalização de Demanda (DFD-NATA);</w:t>
      </w:r>
    </w:p>
    <w:p>
      <w:pPr>
        <w:spacing w:after="80" w:line="276"/>
        <w:ind w:left="800"/>
        <w:jc w:val="both"/>
      </w:pPr>
      <w:r>
        <w:rPr>
          <w:rFonts w:ascii="Arial" w:cs="Arial" w:eastAsia="Arial" w:hAnsi="Arial"/>
          <w:b/>
          <w:bCs/>
        </w:rPr>
        <w:t xml:space="preserve">VII –</w:t>
      </w:r>
      <w:r>
        <w:rPr>
          <w:rFonts w:ascii="Arial" w:cs="Arial" w:eastAsia="Arial" w:hAnsi="Arial"/>
        </w:rPr>
        <w:t xml:space="preserve"> </w:t>
      </w:r>
      <w:r>
        <w:rPr>
          <w:rFonts w:ascii="Arial" w:cs="Arial" w:eastAsia="Arial" w:hAnsi="Arial"/>
          <w:b/>
          <w:bCs/>
        </w:rPr>
        <w:t xml:space="preserve">ordem de fornecimento ou de serviço (OF/OS)</w:t>
      </w:r>
      <w:r>
        <w:rPr>
          <w:rFonts w:ascii="Arial" w:cs="Arial" w:eastAsia="Arial" w:hAnsi="Arial"/>
        </w:rPr>
        <w:t xml:space="preserve">: instrumento contratual simplificado que formaliza a contratação de uma oportunidade;</w:t>
      </w:r>
    </w:p>
    <w:p>
      <w:pPr>
        <w:spacing w:after="80" w:line="276"/>
        <w:ind w:left="800"/>
        <w:jc w:val="both"/>
      </w:pPr>
      <w:r>
        <w:rPr>
          <w:rFonts w:ascii="Arial" w:cs="Arial" w:eastAsia="Arial" w:hAnsi="Arial"/>
          <w:b/>
          <w:bCs/>
        </w:rPr>
        <w:t xml:space="preserve">VIII –</w:t>
      </w:r>
      <w:r>
        <w:rPr>
          <w:rFonts w:ascii="Arial" w:cs="Arial" w:eastAsia="Arial" w:hAnsi="Arial"/>
        </w:rPr>
        <w:t xml:space="preserve"> </w:t>
      </w:r>
      <w:r>
        <w:rPr>
          <w:rFonts w:ascii="Arial" w:cs="Arial" w:eastAsia="Arial" w:hAnsi="Arial"/>
          <w:b/>
          <w:bCs/>
        </w:rPr>
        <w:t xml:space="preserve">Comissão de Credenciamento</w:t>
      </w:r>
      <w:r>
        <w:rPr>
          <w:rFonts w:ascii="Arial" w:cs="Arial" w:eastAsia="Arial" w:hAnsi="Arial"/>
        </w:rPr>
        <w:t xml:space="preserve">: colegiado responsável pela análise de habilitação, gestão do cadastro, condução das seleções e instrução de processos sancionadores;</w:t>
      </w:r>
    </w:p>
    <w:p>
      <w:pPr>
        <w:spacing w:after="80" w:line="276"/>
        <w:ind w:left="800"/>
        <w:jc w:val="both"/>
      </w:pPr>
      <w:r>
        <w:rPr>
          <w:rFonts w:ascii="Arial" w:cs="Arial" w:eastAsia="Arial" w:hAnsi="Arial"/>
          <w:b/>
          <w:bCs/>
        </w:rPr>
        <w:t xml:space="preserve">IX –</w:t>
      </w:r>
      <w:r>
        <w:rPr>
          <w:rFonts w:ascii="Arial" w:cs="Arial" w:eastAsia="Arial" w:hAnsi="Arial"/>
        </w:rPr>
        <w:t xml:space="preserve"> </w:t>
      </w:r>
      <w:r>
        <w:rPr>
          <w:rFonts w:ascii="Arial" w:cs="Arial" w:eastAsia="Arial" w:hAnsi="Arial"/>
          <w:b/>
          <w:bCs/>
        </w:rPr>
        <w:t xml:space="preserve">gestor da demanda</w:t>
      </w:r>
      <w:r>
        <w:rPr>
          <w:rFonts w:ascii="Arial" w:cs="Arial" w:eastAsia="Arial" w:hAnsi="Arial"/>
        </w:rPr>
        <w:t xml:space="preserve">: coordenador de projeto ou responsável administrativo que formaliza a necessidade e atesta o recebimento;</w:t>
      </w:r>
    </w:p>
    <w:p>
      <w:pPr>
        <w:spacing w:after="80" w:line="276"/>
        <w:ind w:left="800"/>
        <w:jc w:val="both"/>
      </w:pPr>
      <w:r>
        <w:rPr>
          <w:rFonts w:ascii="Arial" w:cs="Arial" w:eastAsia="Arial" w:hAnsi="Arial"/>
          <w:b/>
          <w:bCs/>
        </w:rPr>
        <w:t xml:space="preserve">X –</w:t>
      </w:r>
      <w:r>
        <w:rPr>
          <w:rFonts w:ascii="Arial" w:cs="Arial" w:eastAsia="Arial" w:hAnsi="Arial"/>
        </w:rPr>
        <w:t xml:space="preserve"> </w:t>
      </w:r>
      <w:r>
        <w:rPr>
          <w:rFonts w:ascii="Arial" w:cs="Arial" w:eastAsia="Arial" w:hAnsi="Arial"/>
          <w:b/>
          <w:bCs/>
        </w:rPr>
        <w:t xml:space="preserve">pequeno negócio</w:t>
      </w:r>
      <w:r>
        <w:rPr>
          <w:rFonts w:ascii="Arial" w:cs="Arial" w:eastAsia="Arial" w:hAnsi="Arial"/>
        </w:rPr>
        <w:t xml:space="preserve">: MEI, ME, EPP, nos termos da LC nº 123/2006, cooperativa de pequeno porte e profissional autônomo;</w:t>
      </w:r>
    </w:p>
    <w:p>
      <w:pPr>
        <w:spacing w:after="80" w:line="276"/>
        <w:ind w:left="800"/>
        <w:jc w:val="both"/>
      </w:pPr>
      <w:r>
        <w:rPr>
          <w:rFonts w:ascii="Arial" w:cs="Arial" w:eastAsia="Arial" w:hAnsi="Arial"/>
          <w:b/>
          <w:bCs/>
        </w:rPr>
        <w:t xml:space="preserve">XI –</w:t>
      </w:r>
      <w:r>
        <w:rPr>
          <w:rFonts w:ascii="Arial" w:cs="Arial" w:eastAsia="Arial" w:hAnsi="Arial"/>
        </w:rPr>
        <w:t xml:space="preserve"> </w:t>
      </w:r>
      <w:r>
        <w:rPr>
          <w:rFonts w:ascii="Arial" w:cs="Arial" w:eastAsia="Arial" w:hAnsi="Arial"/>
          <w:b/>
          <w:bCs/>
        </w:rPr>
        <w:t xml:space="preserve">negócio liderado por mulher</w:t>
      </w:r>
      <w:r>
        <w:rPr>
          <w:rFonts w:ascii="Arial" w:cs="Arial" w:eastAsia="Arial" w:hAnsi="Arial"/>
        </w:rPr>
        <w:t xml:space="preserve">: MEI cuja titular é mulher; sociedade em que mulheres detêm, no mínimo, 50% do capital social e exercem a administração; cooperativa com maioria de mulheres na direção; ou profissional autônoma;</w:t>
      </w:r>
    </w:p>
    <w:p>
      <w:pPr>
        <w:spacing w:after="80" w:line="276"/>
        <w:ind w:left="800"/>
        <w:jc w:val="both"/>
      </w:pPr>
      <w:r>
        <w:rPr>
          <w:rFonts w:ascii="Arial" w:cs="Arial" w:eastAsia="Arial" w:hAnsi="Arial"/>
          <w:b/>
          <w:bCs/>
        </w:rPr>
        <w:t xml:space="preserve">XII –</w:t>
      </w:r>
      <w:r>
        <w:rPr>
          <w:rFonts w:ascii="Arial" w:cs="Arial" w:eastAsia="Arial" w:hAnsi="Arial"/>
        </w:rPr>
        <w:t xml:space="preserve"> </w:t>
      </w:r>
      <w:r>
        <w:rPr>
          <w:rFonts w:ascii="Arial" w:cs="Arial" w:eastAsia="Arial" w:hAnsi="Arial"/>
          <w:b/>
          <w:bCs/>
        </w:rPr>
        <w:t xml:space="preserve">território prioritário</w:t>
      </w:r>
      <w:r>
        <w:rPr>
          <w:rFonts w:ascii="Arial" w:cs="Arial" w:eastAsia="Arial" w:hAnsi="Arial"/>
        </w:rPr>
        <w:t xml:space="preserve">: em ordem de prioridade, (a) o Município de Mesquita e o município ou bairro em que o projeto é executado; (b) os demais municípios da Região Metropolitana do Rio de Janeiro; (c) os demais municípios do Estado do Rio de Janeiro;</w:t>
      </w:r>
    </w:p>
    <w:p>
      <w:pPr>
        <w:spacing w:after="80" w:line="276"/>
        <w:ind w:left="800"/>
        <w:jc w:val="both"/>
      </w:pPr>
      <w:r>
        <w:rPr>
          <w:rFonts w:ascii="Arial" w:cs="Arial" w:eastAsia="Arial" w:hAnsi="Arial"/>
          <w:b/>
          <w:bCs/>
        </w:rPr>
        <w:t xml:space="preserve">XIII –</w:t>
      </w:r>
      <w:r>
        <w:rPr>
          <w:rFonts w:ascii="Arial" w:cs="Arial" w:eastAsia="Arial" w:hAnsi="Arial"/>
        </w:rPr>
        <w:t xml:space="preserve"> </w:t>
      </w:r>
      <w:r>
        <w:rPr>
          <w:rFonts w:ascii="Arial" w:cs="Arial" w:eastAsia="Arial" w:hAnsi="Arial"/>
          <w:b/>
          <w:bCs/>
        </w:rPr>
        <w:t xml:space="preserve">faixa de valor</w:t>
      </w:r>
      <w:r>
        <w:rPr>
          <w:rFonts w:ascii="Arial" w:cs="Arial" w:eastAsia="Arial" w:hAnsi="Arial"/>
        </w:rPr>
        <w:t xml:space="preserve">: intervalo de valor estimado da contratação que define o modo de seleção, com limites indexados aos valores da Lei nº 14.133/2021 atualizados anualmente por decreto federal.</w:t>
      </w:r>
    </w:p>
    <w:p>
      <w:pPr>
        <w:pStyle w:val="Heading2"/>
        <w:keepNext/>
        <w:spacing w:after="120" w:before="260"/>
      </w:pPr>
      <w:r>
        <w:rPr>
          <w:rFonts w:ascii="Arial" w:cs="Arial" w:eastAsia="Arial" w:hAnsi="Arial"/>
        </w:rPr>
        <w:t xml:space="preserve">Princípios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</w:rPr>
        <w:t xml:space="preserve">Art. 4º</w:t>
      </w:r>
      <w:r>
        <w:rPr>
          <w:rFonts w:ascii="Arial" w:cs="Arial" w:eastAsia="Arial" w:hAnsi="Arial"/>
        </w:rPr>
        <w:t xml:space="preserve"> Todas as etapas do Contrata + NATA observarão os princípios da legalidade, impessoalidade, moralidade, publicidade, eficiência, economicidade, isonomia, razoabilidade, proporcionalidade, transparência, julgamento objetivo, sustentabilidade, integridade, desenvolvimento local e equidade de gênero, vedadas exigências que restrinjam a competitividade sem justificativa técnica.</w:t>
      </w:r>
    </w:p>
    <w:p>
      <w:pPr>
        <w:pStyle w:val="Heading1"/>
        <w:keepNext/>
        <w:spacing w:after="160" w:before="360"/>
      </w:pPr>
      <w:r>
        <w:rPr>
          <w:rFonts w:ascii="Arial" w:cs="Arial" w:eastAsia="Arial" w:hAnsi="Arial"/>
        </w:rPr>
        <w:t xml:space="preserve">Capítulo II — Escopo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</w:rPr>
        <w:t xml:space="preserve">Art. 5º</w:t>
      </w:r>
      <w:r>
        <w:rPr>
          <w:rFonts w:ascii="Arial" w:cs="Arial" w:eastAsia="Arial" w:hAnsi="Arial"/>
        </w:rPr>
        <w:t xml:space="preserve"> Estão abrangidos pelo Contrata + NATA o fornecimento de materiais e insumos e a prestação de serviços não continuados, sem dedicação exclusiva de mão de obra, organizados nas linhas de fornecimento do Catálogo, entre as quais:</w:t>
      </w:r>
    </w:p>
    <w:p>
      <w:pPr>
        <w:spacing w:after="80" w:line="276"/>
        <w:ind w:left="800"/>
        <w:jc w:val="both"/>
      </w:pPr>
      <w:r>
        <w:rPr>
          <w:rFonts w:ascii="Arial" w:cs="Arial" w:eastAsia="Arial" w:hAnsi="Arial"/>
          <w:b/>
          <w:bCs/>
        </w:rPr>
        <w:t xml:space="preserve">I –</w:t>
      </w:r>
      <w:r>
        <w:rPr>
          <w:rFonts w:ascii="Arial" w:cs="Arial" w:eastAsia="Arial" w:hAnsi="Arial"/>
        </w:rPr>
        <w:t xml:space="preserve"> alimentação: lanches, coffee break, refeições prontas, kits alimentares e serviços de bufê para encontros e eventos;</w:t>
      </w:r>
    </w:p>
    <w:p>
      <w:pPr>
        <w:spacing w:after="80" w:line="276"/>
        <w:ind w:left="800"/>
        <w:jc w:val="both"/>
      </w:pPr>
      <w:r>
        <w:rPr>
          <w:rFonts w:ascii="Arial" w:cs="Arial" w:eastAsia="Arial" w:hAnsi="Arial"/>
          <w:b/>
          <w:bCs/>
        </w:rPr>
        <w:t xml:space="preserve">II –</w:t>
      </w:r>
      <w:r>
        <w:rPr>
          <w:rFonts w:ascii="Arial" w:cs="Arial" w:eastAsia="Arial" w:hAnsi="Arial"/>
        </w:rPr>
        <w:t xml:space="preserve"> eventos e estruturas: sonorização, iluminação, palco, tendas, cadeiras, mesas, gerador, banheiros químicos, decoração, cerimonial, brigadista e ambulância;</w:t>
      </w:r>
    </w:p>
    <w:p>
      <w:pPr>
        <w:spacing w:after="80" w:line="276"/>
        <w:ind w:left="800"/>
        <w:jc w:val="both"/>
      </w:pPr>
      <w:r>
        <w:rPr>
          <w:rFonts w:ascii="Arial" w:cs="Arial" w:eastAsia="Arial" w:hAnsi="Arial"/>
          <w:b/>
          <w:bCs/>
        </w:rPr>
        <w:t xml:space="preserve">III –</w:t>
      </w:r>
      <w:r>
        <w:rPr>
          <w:rFonts w:ascii="Arial" w:cs="Arial" w:eastAsia="Arial" w:hAnsi="Arial"/>
        </w:rPr>
        <w:t xml:space="preserve"> locação de equipamentos, mobiliário e materiais de uso temporário;</w:t>
      </w:r>
    </w:p>
    <w:p>
      <w:pPr>
        <w:spacing w:after="80" w:line="276"/>
        <w:ind w:left="800"/>
        <w:jc w:val="both"/>
      </w:pPr>
      <w:r>
        <w:rPr>
          <w:rFonts w:ascii="Arial" w:cs="Arial" w:eastAsia="Arial" w:hAnsi="Arial"/>
          <w:b/>
          <w:bCs/>
        </w:rPr>
        <w:t xml:space="preserve">IV –</w:t>
      </w:r>
      <w:r>
        <w:rPr>
          <w:rFonts w:ascii="Arial" w:cs="Arial" w:eastAsia="Arial" w:hAnsi="Arial"/>
        </w:rPr>
        <w:t xml:space="preserve"> transporte: fretamento de ônibus, vans e utilitários para deslocamento de participantes e cargas;</w:t>
      </w:r>
    </w:p>
    <w:p>
      <w:pPr>
        <w:spacing w:after="80" w:line="276"/>
        <w:ind w:left="800"/>
        <w:jc w:val="both"/>
      </w:pPr>
      <w:r>
        <w:rPr>
          <w:rFonts w:ascii="Arial" w:cs="Arial" w:eastAsia="Arial" w:hAnsi="Arial"/>
          <w:b/>
          <w:bCs/>
        </w:rPr>
        <w:t xml:space="preserve">V –</w:t>
      </w:r>
      <w:r>
        <w:rPr>
          <w:rFonts w:ascii="Arial" w:cs="Arial" w:eastAsia="Arial" w:hAnsi="Arial"/>
        </w:rPr>
        <w:t xml:space="preserve"> comunicação visual, impressão e reprografia: banners, faixas, folders, camisetas personalizadas, brindes;</w:t>
      </w:r>
    </w:p>
    <w:p>
      <w:pPr>
        <w:spacing w:after="80" w:line="276"/>
        <w:ind w:left="800"/>
        <w:jc w:val="both"/>
      </w:pPr>
      <w:r>
        <w:rPr>
          <w:rFonts w:ascii="Arial" w:cs="Arial" w:eastAsia="Arial" w:hAnsi="Arial"/>
          <w:b/>
          <w:bCs/>
        </w:rPr>
        <w:t xml:space="preserve">VI –</w:t>
      </w:r>
      <w:r>
        <w:rPr>
          <w:rFonts w:ascii="Arial" w:cs="Arial" w:eastAsia="Arial" w:hAnsi="Arial"/>
        </w:rPr>
        <w:t xml:space="preserve"> fotografia, filmagem, edição e produção audiovisual;</w:t>
      </w:r>
    </w:p>
    <w:p>
      <w:pPr>
        <w:spacing w:after="80" w:line="276"/>
        <w:ind w:left="800"/>
        <w:jc w:val="both"/>
      </w:pPr>
      <w:r>
        <w:rPr>
          <w:rFonts w:ascii="Arial" w:cs="Arial" w:eastAsia="Arial" w:hAnsi="Arial"/>
          <w:b/>
          <w:bCs/>
        </w:rPr>
        <w:t xml:space="preserve">VII –</w:t>
      </w:r>
      <w:r>
        <w:rPr>
          <w:rFonts w:ascii="Arial" w:cs="Arial" w:eastAsia="Arial" w:hAnsi="Arial"/>
        </w:rPr>
        <w:t xml:space="preserve"> oficinas, aulas, apresentações artísticas, culturais e esportivas prestadas por profissionais autônomos, artistas e mestres de cultura popular;</w:t>
      </w:r>
    </w:p>
    <w:p>
      <w:pPr>
        <w:spacing w:after="80" w:line="276"/>
        <w:ind w:left="800"/>
        <w:jc w:val="both"/>
      </w:pPr>
      <w:r>
        <w:rPr>
          <w:rFonts w:ascii="Arial" w:cs="Arial" w:eastAsia="Arial" w:hAnsi="Arial"/>
          <w:b/>
          <w:bCs/>
        </w:rPr>
        <w:t xml:space="preserve">VIII –</w:t>
      </w:r>
      <w:r>
        <w:rPr>
          <w:rFonts w:ascii="Arial" w:cs="Arial" w:eastAsia="Arial" w:hAnsi="Arial"/>
        </w:rPr>
        <w:t xml:space="preserve"> materiais pedagógicos, esportivos, de artesanato e de economia criativa; uniformes e confecção;</w:t>
      </w:r>
    </w:p>
    <w:p>
      <w:pPr>
        <w:spacing w:after="80" w:line="276"/>
        <w:ind w:left="800"/>
        <w:jc w:val="both"/>
      </w:pPr>
      <w:r>
        <w:rPr>
          <w:rFonts w:ascii="Arial" w:cs="Arial" w:eastAsia="Arial" w:hAnsi="Arial"/>
          <w:b/>
          <w:bCs/>
        </w:rPr>
        <w:t xml:space="preserve">IX –</w:t>
      </w:r>
      <w:r>
        <w:rPr>
          <w:rFonts w:ascii="Arial" w:cs="Arial" w:eastAsia="Arial" w:hAnsi="Arial"/>
        </w:rPr>
        <w:t xml:space="preserve"> manutenção e pequenos reparos em bens móveis e imóveis, jardinagem, limpeza pós-evento;</w:t>
      </w:r>
    </w:p>
    <w:p>
      <w:pPr>
        <w:spacing w:after="80" w:line="276"/>
        <w:ind w:left="800"/>
        <w:jc w:val="both"/>
      </w:pPr>
      <w:r>
        <w:rPr>
          <w:rFonts w:ascii="Arial" w:cs="Arial" w:eastAsia="Arial" w:hAnsi="Arial"/>
          <w:b/>
          <w:bCs/>
        </w:rPr>
        <w:t xml:space="preserve">X –</w:t>
      </w:r>
      <w:r>
        <w:rPr>
          <w:rFonts w:ascii="Arial" w:cs="Arial" w:eastAsia="Arial" w:hAnsi="Arial"/>
        </w:rPr>
        <w:t xml:space="preserve"> tecnologia da informação: pequenos serviços de instalação, suporte, manutenção de equipamentos e desenvolvimento simples;</w:t>
      </w:r>
    </w:p>
    <w:p>
      <w:pPr>
        <w:spacing w:after="80" w:line="276"/>
        <w:ind w:left="800"/>
        <w:jc w:val="both"/>
      </w:pPr>
      <w:r>
        <w:rPr>
          <w:rFonts w:ascii="Arial" w:cs="Arial" w:eastAsia="Arial" w:hAnsi="Arial"/>
          <w:b/>
          <w:bCs/>
        </w:rPr>
        <w:t xml:space="preserve">XI –</w:t>
      </w:r>
      <w:r>
        <w:rPr>
          <w:rFonts w:ascii="Arial" w:cs="Arial" w:eastAsia="Arial" w:hAnsi="Arial"/>
        </w:rPr>
        <w:t xml:space="preserve"> outros serviços e fornecimentos de natureza semelhante, incluídos no Catálogo pela Comissão de Credenciamento.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</w:rPr>
        <w:t xml:space="preserve">Art. 6º</w:t>
      </w:r>
      <w:r>
        <w:rPr>
          <w:rFonts w:ascii="Arial" w:cs="Arial" w:eastAsia="Arial" w:hAnsi="Arial"/>
        </w:rPr>
        <w:t xml:space="preserve"> Não se aplicam a esta Política, devendo seguir os procedimentos próprios:</w:t>
      </w:r>
    </w:p>
    <w:p>
      <w:pPr>
        <w:spacing w:after="80" w:line="276"/>
        <w:ind w:left="800"/>
        <w:jc w:val="both"/>
      </w:pPr>
      <w:r>
        <w:rPr>
          <w:rFonts w:ascii="Arial" w:cs="Arial" w:eastAsia="Arial" w:hAnsi="Arial"/>
          <w:b/>
          <w:bCs/>
        </w:rPr>
        <w:t xml:space="preserve">I –</w:t>
      </w:r>
      <w:r>
        <w:rPr>
          <w:rFonts w:ascii="Arial" w:cs="Arial" w:eastAsia="Arial" w:hAnsi="Arial"/>
        </w:rPr>
        <w:t xml:space="preserve"> a contratação de pessoal da equipe dos projetos, por vínculo empregatício ou contrato de prestação de serviço pessoal continuado, regida pelo plano de trabalho e pela política de pessoal do Instituto;</w:t>
      </w:r>
    </w:p>
    <w:p>
      <w:pPr>
        <w:spacing w:after="80" w:line="276"/>
        <w:ind w:left="800"/>
        <w:jc w:val="both"/>
      </w:pPr>
      <w:r>
        <w:rPr>
          <w:rFonts w:ascii="Arial" w:cs="Arial" w:eastAsia="Arial" w:hAnsi="Arial"/>
          <w:b/>
          <w:bCs/>
        </w:rPr>
        <w:t xml:space="preserve">II –</w:t>
      </w:r>
      <w:r>
        <w:rPr>
          <w:rFonts w:ascii="Arial" w:cs="Arial" w:eastAsia="Arial" w:hAnsi="Arial"/>
        </w:rPr>
        <w:t xml:space="preserve"> serviços continuados com dedicação exclusiva de mão de obra, como limpeza, vigilância e portaria permanentes;</w:t>
      </w:r>
    </w:p>
    <w:p>
      <w:pPr>
        <w:spacing w:after="80" w:line="276"/>
        <w:ind w:left="800"/>
        <w:jc w:val="both"/>
      </w:pPr>
      <w:r>
        <w:rPr>
          <w:rFonts w:ascii="Arial" w:cs="Arial" w:eastAsia="Arial" w:hAnsi="Arial"/>
          <w:b/>
          <w:bCs/>
        </w:rPr>
        <w:t xml:space="preserve">III –</w:t>
      </w:r>
      <w:r>
        <w:rPr>
          <w:rFonts w:ascii="Arial" w:cs="Arial" w:eastAsia="Arial" w:hAnsi="Arial"/>
        </w:rPr>
        <w:t xml:space="preserve"> obras e serviços de engenharia que exijam responsável técnico e projeto;</w:t>
      </w:r>
    </w:p>
    <w:p>
      <w:pPr>
        <w:spacing w:after="80" w:line="276"/>
        <w:ind w:left="800"/>
        <w:jc w:val="both"/>
      </w:pPr>
      <w:r>
        <w:rPr>
          <w:rFonts w:ascii="Arial" w:cs="Arial" w:eastAsia="Arial" w:hAnsi="Arial"/>
          <w:b/>
          <w:bCs/>
        </w:rPr>
        <w:t xml:space="preserve">IV –</w:t>
      </w:r>
      <w:r>
        <w:rPr>
          <w:rFonts w:ascii="Arial" w:cs="Arial" w:eastAsia="Arial" w:hAnsi="Arial"/>
        </w:rPr>
        <w:t xml:space="preserve"> a aquisição de bens permanentes de valor individual superior à Faixa 1, que exigirá cotação formal com, no mínimo, três propostas, podendo recair sobre credenciados;</w:t>
      </w:r>
    </w:p>
    <w:p>
      <w:pPr>
        <w:spacing w:after="80" w:line="276"/>
        <w:ind w:left="800"/>
        <w:jc w:val="both"/>
      </w:pPr>
      <w:r>
        <w:rPr>
          <w:rFonts w:ascii="Arial" w:cs="Arial" w:eastAsia="Arial" w:hAnsi="Arial"/>
          <w:b/>
          <w:bCs/>
        </w:rPr>
        <w:t xml:space="preserve">V –</w:t>
      </w:r>
      <w:r>
        <w:rPr>
          <w:rFonts w:ascii="Arial" w:cs="Arial" w:eastAsia="Arial" w:hAnsi="Arial"/>
        </w:rPr>
        <w:t xml:space="preserve"> despesas de pequeno valor pagas por meio de fundo de caixa, nos limites do regulamento financeiro e do instrumento de parceria.</w:t>
      </w:r>
    </w:p>
    <w:p>
      <w:pPr>
        <w:spacing w:after="120" w:line="276"/>
        <w:ind w:left="400"/>
        <w:jc w:val="both"/>
      </w:pPr>
      <w:r>
        <w:rPr>
          <w:rFonts w:ascii="Arial" w:cs="Arial" w:eastAsia="Arial" w:hAnsi="Arial"/>
          <w:b/>
          <w:bCs/>
        </w:rPr>
        <w:t xml:space="preserve">Parágrafo único.</w:t>
      </w:r>
      <w:r>
        <w:rPr>
          <w:rFonts w:ascii="Arial" w:cs="Arial" w:eastAsia="Arial" w:hAnsi="Arial"/>
        </w:rPr>
        <w:t xml:space="preserve"> A contratação de credenciado para a mesma linha de fornecimento não poderá ser fracionada com o propósito de enquadrá-la em faixa de valor inferior; o valor estimado considerará a soma das demandas previsíveis para o mesmo objeto, no mesmo projeto, no exercício.</w:t>
      </w:r>
    </w:p>
    <w:p>
      <w:pPr>
        <w:pStyle w:val="Heading1"/>
        <w:keepNext/>
        <w:spacing w:after="160" w:before="360"/>
      </w:pPr>
      <w:r>
        <w:rPr>
          <w:rFonts w:ascii="Arial" w:cs="Arial" w:eastAsia="Arial" w:hAnsi="Arial"/>
        </w:rPr>
        <w:t xml:space="preserve">Capítulo III — Governança</w:t>
      </w:r>
    </w:p>
    <w:p>
      <w:pPr>
        <w:pStyle w:val="Heading2"/>
        <w:keepNext/>
        <w:spacing w:after="120" w:before="260"/>
      </w:pPr>
      <w:r>
        <w:rPr>
          <w:rFonts w:ascii="Arial" w:cs="Arial" w:eastAsia="Arial" w:hAnsi="Arial"/>
        </w:rPr>
        <w:t xml:space="preserve">Estrutura de responsabilidades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</w:rPr>
        <w:t xml:space="preserve">Art. 7º</w:t>
      </w:r>
      <w:r>
        <w:rPr>
          <w:rFonts w:ascii="Arial" w:cs="Arial" w:eastAsia="Arial" w:hAnsi="Arial"/>
        </w:rPr>
        <w:t xml:space="preserve"> A operação do Contrata + NATA cabe às seguintes instâncias: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2891"/>
        <w:gridCol w:w="4819"/>
      </w:tblGrid>
      <w:tr>
        <w:trPr>
          <w:tblHeader/>
        </w:trPr>
        <w:tc>
          <w:tcPr>
            <w:tcW w:type="dxa" w:w="1928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Instância</w:t>
            </w:r>
          </w:p>
        </w:tc>
        <w:tc>
          <w:tcPr>
            <w:tcW w:type="dxa" w:w="2891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Composição</w:t>
            </w:r>
          </w:p>
        </w:tc>
        <w:tc>
          <w:tcPr>
            <w:tcW w:type="dxa" w:w="4819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Atribuições principais</w:t>
            </w:r>
          </w:p>
        </w:tc>
      </w:tr>
      <w:tr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Diretoria Executiva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Dirigentes estatutários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Aprova e revisa esta Política e o Edital-padrão; designa a Comissão; decide recursos em última instância; aplica descredenciamento; aprova metas anuais de inclusão.</w:t>
            </w:r>
          </w:p>
        </w:tc>
      </w:tr>
      <w:tr>
        <w:tc>
          <w:tcPr>
            <w:tcW w:type="dxa" w:w="1928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Comissão de Credenciamento</w:t>
            </w:r>
          </w:p>
        </w:tc>
        <w:tc>
          <w:tcPr>
            <w:tcW w:type="dxa" w:w="2891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Três membros titulares e um suplente, designados por portaria da Diretoria, entre empregados e colaboradores sem vínculo com fornecedores</w:t>
            </w:r>
          </w:p>
        </w:tc>
        <w:tc>
          <w:tcPr>
            <w:tcW w:type="dxa" w:w="4819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Analisa habilitação; mantém o cadastro; publica listas; conduz sorteios, rodízios e cotações; responde a esclarecimentos e impugnações; instrui processos sancionadores; produz o relatório semestral.</w:t>
            </w:r>
          </w:p>
        </w:tc>
      </w:tr>
      <w:tr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Gestor da demanda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Coordenador de projeto ou responsável administrativo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Elabora o DFD-NATA; acompanha a execução; atesta o recebimento; avalia o desempenho do fornecedor.</w:t>
            </w:r>
          </w:p>
        </w:tc>
      </w:tr>
      <w:tr>
        <w:tc>
          <w:tcPr>
            <w:tcW w:type="dxa" w:w="1928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Setor Financeiro</w:t>
            </w:r>
          </w:p>
        </w:tc>
        <w:tc>
          <w:tcPr>
            <w:tcW w:type="dxa" w:w="2891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Responsável financeiro e contábil</w:t>
            </w:r>
          </w:p>
        </w:tc>
        <w:tc>
          <w:tcPr>
            <w:tcW w:type="dxa" w:w="4819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Confere a compatibilidade com o plano de aplicação; verifica regularidade fiscal na data do pagamento; realiza pagamentos por transferência identificada; arquiva o dossiê.</w:t>
            </w:r>
          </w:p>
        </w:tc>
      </w:tr>
      <w:tr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Controle Interno / Compliance</w:t>
            </w:r>
          </w:p>
        </w:tc>
        <w:tc>
          <w:tcPr>
            <w:tcW w:type="dxa" w:w="289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Responsável de compliance designado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Verifica conflitos de interesse; revisa por amostragem os dossiês; consulta cadastros de sanções; recebe denúncias.</w:t>
            </w:r>
          </w:p>
        </w:tc>
      </w:tr>
    </w:tbl>
    <w:p>
      <w:pPr>
        <w:spacing w:after="120" w:line="276"/>
        <w:jc w:val="both"/>
      </w:pPr>
      <w:r>
        <w:rPr>
          <w:rFonts w:ascii="Arial" w:cs="Arial" w:eastAsia="Arial" w:hAnsi="Arial"/>
          <w:b/>
          <w:bCs/>
        </w:rPr>
        <w:t xml:space="preserve">Art. 8º</w:t>
      </w:r>
      <w:r>
        <w:rPr>
          <w:rFonts w:ascii="Arial" w:cs="Arial" w:eastAsia="Arial" w:hAnsi="Arial"/>
        </w:rPr>
        <w:t xml:space="preserve"> É vedado aos membros da Comissão, aos gestores de demanda e aos dirigentes do Instituto participar de decisão em que tenham interesse direto ou indireto, ou que envolva fornecedor com o qual mantenham vínculo técnico, comercial, econômico, financeiro, trabalhista ou civil, ou de quem sejam cônjuge, companheiro ou parente em linha reta, colateral ou por afinidade até o terceiro grau. O impedimento deverá ser declarado por escrito e registrado no dossiê, com a substituição do impedido.</w:t>
      </w:r>
    </w:p>
    <w:p>
      <w:pPr>
        <w:pStyle w:val="Heading2"/>
        <w:keepNext/>
        <w:spacing w:after="120" w:before="260"/>
      </w:pPr>
      <w:r>
        <w:rPr>
          <w:rFonts w:ascii="Arial" w:cs="Arial" w:eastAsia="Arial" w:hAnsi="Arial"/>
        </w:rPr>
        <w:t xml:space="preserve">Integridade e prevenção de conflitos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</w:rPr>
        <w:t xml:space="preserve">Art. 9º</w:t>
      </w:r>
      <w:r>
        <w:rPr>
          <w:rFonts w:ascii="Arial" w:cs="Arial" w:eastAsia="Arial" w:hAnsi="Arial"/>
        </w:rPr>
        <w:t xml:space="preserve"> Não poderão ser credenciados nem contratados:</w:t>
      </w:r>
    </w:p>
    <w:p>
      <w:pPr>
        <w:spacing w:after="80" w:line="276"/>
        <w:ind w:left="800"/>
        <w:jc w:val="both"/>
      </w:pPr>
      <w:r>
        <w:rPr>
          <w:rFonts w:ascii="Arial" w:cs="Arial" w:eastAsia="Arial" w:hAnsi="Arial"/>
          <w:b/>
          <w:bCs/>
        </w:rPr>
        <w:t xml:space="preserve">I –</w:t>
      </w:r>
      <w:r>
        <w:rPr>
          <w:rFonts w:ascii="Arial" w:cs="Arial" w:eastAsia="Arial" w:hAnsi="Arial"/>
        </w:rPr>
        <w:t xml:space="preserve"> dirigentes, conselheiros, empregados e colaboradores do Instituto, seus cônjuges, companheiros e parentes até o terceiro grau, bem como pessoas jurídicas de que participem como sócios, administradores ou titulares;</w:t>
      </w:r>
    </w:p>
    <w:p>
      <w:pPr>
        <w:spacing w:after="80" w:line="276"/>
        <w:ind w:left="800"/>
        <w:jc w:val="both"/>
      </w:pPr>
      <w:r>
        <w:rPr>
          <w:rFonts w:ascii="Arial" w:cs="Arial" w:eastAsia="Arial" w:hAnsi="Arial"/>
          <w:b/>
          <w:bCs/>
        </w:rPr>
        <w:t xml:space="preserve">II –</w:t>
      </w:r>
      <w:r>
        <w:rPr>
          <w:rFonts w:ascii="Arial" w:cs="Arial" w:eastAsia="Arial" w:hAnsi="Arial"/>
        </w:rPr>
        <w:t xml:space="preserve"> agentes públicos do órgão ou entidade parceira que atuem na gestão, fiscalização ou monitoramento da parceria, e seus parentes nas mesmas condições, em observância ao art. 27 do Decreto nº 8.726/2016 e às normas dos regulamentos locais;</w:t>
      </w:r>
    </w:p>
    <w:p>
      <w:pPr>
        <w:spacing w:after="80" w:line="276"/>
        <w:ind w:left="800"/>
        <w:jc w:val="both"/>
      </w:pPr>
      <w:r>
        <w:rPr>
          <w:rFonts w:ascii="Arial" w:cs="Arial" w:eastAsia="Arial" w:hAnsi="Arial"/>
          <w:b/>
          <w:bCs/>
        </w:rPr>
        <w:t xml:space="preserve">III –</w:t>
      </w:r>
      <w:r>
        <w:rPr>
          <w:rFonts w:ascii="Arial" w:cs="Arial" w:eastAsia="Arial" w:hAnsi="Arial"/>
        </w:rPr>
        <w:t xml:space="preserve"> servidores ou empregados públicos, para pagamento com recursos da parceria, salvo hipóteses previstas em lei específica e na lei de diretrizes orçamentárias (art. 45, II, da Lei nº 13.019/2014);</w:t>
      </w:r>
    </w:p>
    <w:p>
      <w:pPr>
        <w:spacing w:after="80" w:line="276"/>
        <w:ind w:left="800"/>
        <w:jc w:val="both"/>
      </w:pPr>
      <w:r>
        <w:rPr>
          <w:rFonts w:ascii="Arial" w:cs="Arial" w:eastAsia="Arial" w:hAnsi="Arial"/>
          <w:b/>
          <w:bCs/>
        </w:rPr>
        <w:t xml:space="preserve">IV –</w:t>
      </w:r>
      <w:r>
        <w:rPr>
          <w:rFonts w:ascii="Arial" w:cs="Arial" w:eastAsia="Arial" w:hAnsi="Arial"/>
        </w:rPr>
        <w:t xml:space="preserve"> pessoas físicas ou jurídicas sancionadas com impedimento de licitar e contratar ou declaração de inidoneidade, constantes do CEIS, CNEP ou CEPIM, enquanto perdurar a sanção;</w:t>
      </w:r>
    </w:p>
    <w:p>
      <w:pPr>
        <w:spacing w:after="80" w:line="276"/>
        <w:ind w:left="800"/>
        <w:jc w:val="both"/>
      </w:pPr>
      <w:r>
        <w:rPr>
          <w:rFonts w:ascii="Arial" w:cs="Arial" w:eastAsia="Arial" w:hAnsi="Arial"/>
          <w:b/>
          <w:bCs/>
        </w:rPr>
        <w:t xml:space="preserve">V –</w:t>
      </w:r>
      <w:r>
        <w:rPr>
          <w:rFonts w:ascii="Arial" w:cs="Arial" w:eastAsia="Arial" w:hAnsi="Arial"/>
        </w:rPr>
        <w:t xml:space="preserve"> pessoas jurídicas ou físicas condenadas, nos cinco anos anteriores, por exploração de trabalho infantil, por submissão de trabalhadores a condições análogas às de escravo ou por contratação de adolescentes em casos vedados pela legislação trabalhista;</w:t>
      </w:r>
    </w:p>
    <w:p>
      <w:pPr>
        <w:spacing w:after="80" w:line="276"/>
        <w:ind w:left="800"/>
        <w:jc w:val="both"/>
      </w:pPr>
      <w:r>
        <w:rPr>
          <w:rFonts w:ascii="Arial" w:cs="Arial" w:eastAsia="Arial" w:hAnsi="Arial"/>
          <w:b/>
          <w:bCs/>
        </w:rPr>
        <w:t xml:space="preserve">VI –</w:t>
      </w:r>
      <w:r>
        <w:rPr>
          <w:rFonts w:ascii="Arial" w:cs="Arial" w:eastAsia="Arial" w:hAnsi="Arial"/>
        </w:rPr>
        <w:t xml:space="preserve"> interessados cuja atividade seja incompatível com a linha de fornecimento pretendida ou que não atendam às condições do Edital-padrão.</w:t>
      </w:r>
    </w:p>
    <w:p>
      <w:pPr>
        <w:pStyle w:val="Heading1"/>
        <w:keepNext/>
        <w:spacing w:after="160" w:before="360"/>
      </w:pPr>
      <w:r>
        <w:rPr>
          <w:rFonts w:ascii="Arial" w:cs="Arial" w:eastAsia="Arial" w:hAnsi="Arial"/>
        </w:rPr>
        <w:t xml:space="preserve">Capítulo IV — Fluxo do credenciamento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</w:rPr>
        <w:t xml:space="preserve">Art. 10.</w:t>
      </w:r>
      <w:r>
        <w:rPr>
          <w:rFonts w:ascii="Arial" w:cs="Arial" w:eastAsia="Arial" w:hAnsi="Arial"/>
        </w:rPr>
        <w:t xml:space="preserve"> O credenciamento observará as seguintes fases, detalhadas no Edital-padrão e no Manual Operacional: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35"/>
        <w:gridCol w:w="5494"/>
        <w:gridCol w:w="2409"/>
      </w:tblGrid>
      <w:tr>
        <w:trPr>
          <w:tblHeader/>
        </w:trPr>
        <w:tc>
          <w:tcPr>
            <w:tcW w:type="dxa" w:w="1735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5494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 que acontece</w:t>
            </w:r>
          </w:p>
        </w:tc>
        <w:tc>
          <w:tcPr>
            <w:tcW w:type="dxa" w:w="2409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Prazo de referência</w:t>
            </w:r>
          </w:p>
        </w:tc>
      </w:tr>
      <w:tr>
        <w:tc>
          <w:tcPr>
            <w:tcW w:type="dxa" w:w="173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Divulgação</w:t>
            </w:r>
          </w:p>
        </w:tc>
        <w:tc>
          <w:tcPr>
            <w:tcW w:type="dxa" w:w="549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Publicação permanente do Edital-padrão e do Catálogo no sítio eletrônico do Instituto, nas redes sociais e em murais das unidades; campanhas territoriais de mobilização.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Contínuo</w:t>
            </w:r>
          </w:p>
        </w:tc>
      </w:tr>
      <w:tr>
        <w:tc>
          <w:tcPr>
            <w:tcW w:type="dxa" w:w="1735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 Requerimento</w:t>
            </w:r>
          </w:p>
        </w:tc>
        <w:tc>
          <w:tcPr>
            <w:tcW w:type="dxa" w:w="5494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Interessado preenche o Requerimento de Credenciamento (Anexo II), as declarações (Anexos III e IV) e o Termo de Adesão (Anexo V), com a documentação de habilitação.</w:t>
            </w:r>
          </w:p>
        </w:tc>
        <w:tc>
          <w:tcPr>
            <w:tcW w:type="dxa" w:w="2409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 qualquer tempo</w:t>
            </w:r>
          </w:p>
        </w:tc>
      </w:tr>
      <w:tr>
        <w:tc>
          <w:tcPr>
            <w:tcW w:type="dxa" w:w="173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 Análise documental</w:t>
            </w:r>
          </w:p>
        </w:tc>
        <w:tc>
          <w:tcPr>
            <w:tcW w:type="dxa" w:w="549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Comissão confere os documentos e consulta certidões e cadastros de sanções em sítios oficiais.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Até 10 dias úteis</w:t>
            </w:r>
          </w:p>
        </w:tc>
      </w:tr>
      <w:tr>
        <w:tc>
          <w:tcPr>
            <w:tcW w:type="dxa" w:w="1735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4. Diligência e saneamento</w:t>
            </w:r>
          </w:p>
        </w:tc>
        <w:tc>
          <w:tcPr>
            <w:tcW w:type="dxa" w:w="5494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Pedido de complementação ou correção de documentos; ME, EPP e MEI têm prazo ampliado para regularidade fiscal.</w:t>
            </w:r>
          </w:p>
        </w:tc>
        <w:tc>
          <w:tcPr>
            <w:tcW w:type="dxa" w:w="2409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 dias úteis (fiscal: 5 dias úteis prorrogáveis por igual período)</w:t>
            </w:r>
          </w:p>
        </w:tc>
      </w:tr>
      <w:tr>
        <w:tc>
          <w:tcPr>
            <w:tcW w:type="dxa" w:w="173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5. Resultado</w:t>
            </w:r>
          </w:p>
        </w:tc>
        <w:tc>
          <w:tcPr>
            <w:tcW w:type="dxa" w:w="549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Decisão motivada de habilitação ou inabilitação, comunicada ao interessado e registrada no cadastro.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Imediato após a análise</w:t>
            </w:r>
          </w:p>
        </w:tc>
      </w:tr>
      <w:tr>
        <w:tc>
          <w:tcPr>
            <w:tcW w:type="dxa" w:w="1735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6. Recurso</w:t>
            </w:r>
          </w:p>
        </w:tc>
        <w:tc>
          <w:tcPr>
            <w:tcW w:type="dxa" w:w="5494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Interessado inabilitado pode recorrer à Comissão, que reconsidera ou encaminha à Diretoria.</w:t>
            </w:r>
          </w:p>
        </w:tc>
        <w:tc>
          <w:tcPr>
            <w:tcW w:type="dxa" w:w="2409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 dias úteis para recorrer; 5 dias úteis para decidir</w:t>
            </w:r>
          </w:p>
        </w:tc>
      </w:tr>
      <w:tr>
        <w:tc>
          <w:tcPr>
            <w:tcW w:type="dxa" w:w="173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7. Inclusão no cadastro</w:t>
            </w:r>
          </w:p>
        </w:tc>
        <w:tc>
          <w:tcPr>
            <w:tcW w:type="dxa" w:w="549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Credenciado é incluído na lista pública por linha e território, com validade de 24 meses, renovável mediante atualização documental.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24 meses</w:t>
            </w:r>
          </w:p>
        </w:tc>
      </w:tr>
      <w:tr>
        <w:tc>
          <w:tcPr>
            <w:tcW w:type="dxa" w:w="1735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8. Manutenção</w:t>
            </w:r>
          </w:p>
        </w:tc>
        <w:tc>
          <w:tcPr>
            <w:tcW w:type="dxa" w:w="5494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Atualização cadastral e verificação semestral de regularidade; inativação temporária em caso de pendência.</w:t>
            </w:r>
          </w:p>
        </w:tc>
        <w:tc>
          <w:tcPr>
            <w:tcW w:type="dxa" w:w="2409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Semestral</w:t>
            </w:r>
          </w:p>
        </w:tc>
      </w:tr>
    </w:tbl>
    <w:p>
      <w:pPr>
        <w:spacing w:after="120" w:line="276"/>
        <w:jc w:val="both"/>
      </w:pPr>
      <w:r>
        <w:rPr>
          <w:rFonts w:ascii="Arial" w:cs="Arial" w:eastAsia="Arial" w:hAnsi="Arial"/>
          <w:b/>
          <w:bCs/>
        </w:rPr>
        <w:t xml:space="preserve">Art. 11.</w:t>
      </w:r>
      <w:r>
        <w:rPr>
          <w:rFonts w:ascii="Arial" w:cs="Arial" w:eastAsia="Arial" w:hAnsi="Arial"/>
        </w:rPr>
        <w:t xml:space="preserve"> A lista de credenciados, com razão social ou nome, CNPJ ou CPF parcialmente ocultado, linhas de fornecimento, porte, indicação de negócio liderado por mulher e território, ficará permanentemente disponível no sítio eletrônico do Instituto e será atualizada a cada inclusão, alteração ou exclusão.</w:t>
      </w:r>
    </w:p>
    <w:p>
      <w:pPr>
        <w:pStyle w:val="Heading1"/>
        <w:keepNext/>
        <w:spacing w:after="160" w:before="360"/>
      </w:pPr>
      <w:r>
        <w:rPr>
          <w:rFonts w:ascii="Arial" w:cs="Arial" w:eastAsia="Arial" w:hAnsi="Arial"/>
        </w:rPr>
        <w:t xml:space="preserve">Capítulo V — Fluxo de contratação por demanda</w:t>
      </w:r>
    </w:p>
    <w:p>
      <w:pPr>
        <w:pStyle w:val="Heading2"/>
        <w:keepNext/>
        <w:spacing w:after="120" w:before="260"/>
      </w:pPr>
      <w:r>
        <w:rPr>
          <w:rFonts w:ascii="Arial" w:cs="Arial" w:eastAsia="Arial" w:hAnsi="Arial"/>
        </w:rPr>
        <w:t xml:space="preserve">Formalização da demanda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</w:rPr>
        <w:t xml:space="preserve">Art. 12.</w:t>
      </w:r>
      <w:r>
        <w:rPr>
          <w:rFonts w:ascii="Arial" w:cs="Arial" w:eastAsia="Arial" w:hAnsi="Arial"/>
        </w:rPr>
        <w:t xml:space="preserve"> Toda contratação inicia-se com o Documento de Formalização de Demanda – DFD-NATA (Anexo VI), elaborado pelo gestor da demanda e contendo, no mínimo: projeto e rubrica do plano de aplicação; descrição do serviço ou item; quantidade, unidade e local; prazo de execução; valor estimado e sua fonte; forma e prazo de pagamento; critérios de sustentabilidade e acessibilidade aplicáveis; e indicação da faixa de valor e do modo de seleção.</w:t>
      </w:r>
    </w:p>
    <w:p>
      <w:pPr>
        <w:spacing w:after="120" w:line="276"/>
        <w:ind w:left="400"/>
        <w:jc w:val="both"/>
      </w:pPr>
      <w:r>
        <w:rPr>
          <w:rFonts w:ascii="Arial" w:cs="Arial" w:eastAsia="Arial" w:hAnsi="Arial"/>
          <w:b/>
          <w:bCs/>
        </w:rPr>
        <w:t xml:space="preserve">§ 1º</w:t>
      </w:r>
      <w:r>
        <w:rPr>
          <w:rFonts w:ascii="Arial" w:cs="Arial" w:eastAsia="Arial" w:hAnsi="Arial"/>
        </w:rPr>
        <w:t xml:space="preserve"> O Setor Financeiro atestará, no DFD-NATA, a existência de previsão no plano de aplicação e de saldo na conta específica da parceria antes da publicação da oportunidade.</w:t>
      </w:r>
    </w:p>
    <w:p>
      <w:pPr>
        <w:spacing w:after="120" w:line="276"/>
        <w:ind w:left="400"/>
        <w:jc w:val="both"/>
      </w:pPr>
      <w:r>
        <w:rPr>
          <w:rFonts w:ascii="Arial" w:cs="Arial" w:eastAsia="Arial" w:hAnsi="Arial"/>
          <w:b/>
          <w:bCs/>
        </w:rPr>
        <w:t xml:space="preserve">§ 2º</w:t>
      </w:r>
      <w:r>
        <w:rPr>
          <w:rFonts w:ascii="Arial" w:cs="Arial" w:eastAsia="Arial" w:hAnsi="Arial"/>
        </w:rPr>
        <w:t xml:space="preserve"> O valor estimado será obtido no Banco de Preços do Instituto (histórico de contratações, cotações anteriores, Painel de Preços do Governo Federal e pesquisas de mercado), registrando-se a fonte.</w:t>
      </w:r>
    </w:p>
    <w:p>
      <w:pPr>
        <w:pStyle w:val="Heading2"/>
        <w:keepNext/>
        <w:spacing w:after="120" w:before="260"/>
      </w:pPr>
      <w:r>
        <w:rPr>
          <w:rFonts w:ascii="Arial" w:cs="Arial" w:eastAsia="Arial" w:hAnsi="Arial"/>
        </w:rPr>
        <w:t xml:space="preserve">Faixas de valor e modos de seleção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</w:rPr>
        <w:t xml:space="preserve">Art. 13.</w:t>
      </w:r>
      <w:r>
        <w:rPr>
          <w:rFonts w:ascii="Arial" w:cs="Arial" w:eastAsia="Arial" w:hAnsi="Arial"/>
        </w:rPr>
        <w:t xml:space="preserve"> O modo de seleção entre credenciados será definido pelo valor estimado da contratação, segundo as faixas abaixo, cujos limites correspondem aos valores da Lei nº 14.133/2021 atualizados pelo Decreto nº 12.807/2025 para o exercício de 2026 e serão reajustados automaticamente sempre que novo decreto federal os atualizar: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38"/>
        <w:gridCol w:w="1928"/>
        <w:gridCol w:w="3662"/>
        <w:gridCol w:w="2410"/>
      </w:tblGrid>
      <w:tr>
        <w:trPr>
          <w:tblHeader/>
        </w:trPr>
        <w:tc>
          <w:tcPr>
            <w:tcW w:type="dxa" w:w="1638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Faixa</w:t>
            </w:r>
          </w:p>
        </w:tc>
        <w:tc>
          <w:tcPr>
            <w:tcW w:type="dxa" w:w="1928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Limite de referência (2026)</w:t>
            </w:r>
          </w:p>
        </w:tc>
        <w:tc>
          <w:tcPr>
            <w:tcW w:type="dxa" w:w="3662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Modo de seleção</w:t>
            </w:r>
          </w:p>
        </w:tc>
        <w:tc>
          <w:tcPr>
            <w:tcW w:type="dxa" w:w="241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Registro mínimo no dossiê</w:t>
            </w:r>
          </w:p>
        </w:tc>
      </w:tr>
      <w:tr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Faixa 1 — Contratação direta simplificada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Até R$ 13.098,41 (art. 95, § 2º, Lei nº 14.133/2021)</w:t>
            </w:r>
          </w:p>
        </w:tc>
        <w:tc>
          <w:tcPr>
            <w:tcW w:type="dxa" w:w="366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Rodízio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entre os credenciados da linha e do território prioritário, na ordem do cadastro, ou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sorteio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eletrônico quando não houver ordem estabelecida; preço conferido contra o Banco de Preços.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DFD-NATA; registro do rodízio/sorteio; verificação de preço; OF/OS; NF/recibo; comprovante de pagamento; termo de recebimento.</w:t>
            </w:r>
          </w:p>
        </w:tc>
      </w:tr>
      <w:tr>
        <w:tc>
          <w:tcPr>
            <w:tcW w:type="dxa" w:w="1638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Faixa 2 — Cotação entre credenciados</w:t>
            </w:r>
          </w:p>
        </w:tc>
        <w:tc>
          <w:tcPr>
            <w:tcW w:type="dxa" w:w="1928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 R$ 13.098,42 até R$ 65.492,11 (art. 75, II, Lei nº 14.133/2021)</w:t>
            </w:r>
          </w:p>
        </w:tc>
        <w:tc>
          <w:tcPr>
            <w:tcW w:type="dxa" w:w="3662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Cotação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enviada a todos os credenciados da linha e do território, com no mínimo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três propostas válidas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; julgamento pelo menor preço, aplicados o empate ficto e a preferência local; prazo mínimo de 3 dias úteis para propostas.</w:t>
            </w:r>
          </w:p>
        </w:tc>
        <w:tc>
          <w:tcPr>
            <w:tcW w:type="dxa" w:w="241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Itens da Faixa 1 mais: convite/oportunidade; propostas recebidas; mapa comparativo; ata de julgamento.</w:t>
            </w:r>
          </w:p>
        </w:tc>
      </w:tr>
      <w:tr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Faixa 3 — Chamada ampla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Acima de R$ 65.492,11</w:t>
            </w:r>
          </w:p>
        </w:tc>
        <w:tc>
          <w:tcPr>
            <w:tcW w:type="dxa" w:w="366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Chamada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publicada no sítio eletrônico por, no mínimo, 5 dias úteis, aberta a credenciados e a novos interessados que se credenciem até a data-limite; julgamento por menor preço ou por técnica e preço, com critérios objetivos definidos no DFD-NATA.</w:t>
            </w:r>
          </w:p>
        </w:tc>
        <w:tc>
          <w:tcPr>
            <w:tcW w:type="dxa" w:w="241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Itens da Faixa 2 mais: publicação da chamada; critérios de julgamento; parecer da Comissão; aprovação da Diretoria.</w:t>
            </w:r>
          </w:p>
        </w:tc>
      </w:tr>
    </w:tbl>
    <w:p>
      <w:pPr>
        <w:spacing w:after="120" w:line="276"/>
        <w:ind w:left="400"/>
        <w:jc w:val="both"/>
      </w:pPr>
      <w:r>
        <w:rPr>
          <w:rFonts w:ascii="Arial" w:cs="Arial" w:eastAsia="Arial" w:hAnsi="Arial"/>
          <w:b/>
          <w:bCs/>
        </w:rPr>
        <w:t xml:space="preserve">§ 1º</w:t>
      </w:r>
      <w:r>
        <w:rPr>
          <w:rFonts w:ascii="Arial" w:cs="Arial" w:eastAsia="Arial" w:hAnsi="Arial"/>
        </w:rPr>
        <w:t xml:space="preserve"> Quando o instrumento de parceria, o regulamento do financiador ou a legislação local exigir número mínimo de cotações ou procedimento diverso, essa exigência prevalecerá, em qualquer faixa.</w:t>
      </w:r>
    </w:p>
    <w:p>
      <w:pPr>
        <w:spacing w:after="120" w:line="276"/>
        <w:ind w:left="400"/>
        <w:jc w:val="both"/>
      </w:pPr>
      <w:r>
        <w:rPr>
          <w:rFonts w:ascii="Arial" w:cs="Arial" w:eastAsia="Arial" w:hAnsi="Arial"/>
          <w:b/>
          <w:bCs/>
        </w:rPr>
        <w:t xml:space="preserve">§ 2º</w:t>
      </w:r>
      <w:r>
        <w:rPr>
          <w:rFonts w:ascii="Arial" w:cs="Arial" w:eastAsia="Arial" w:hAnsi="Arial"/>
        </w:rPr>
        <w:t xml:space="preserve"> Não havendo credenciados suficientes na linha e no território prioritário, a seleção será ampliada, sucessivamente, aos territórios seguintes e, persistindo a insuficiência, a fornecedores não credenciados, que deverão apresentar a documentação de habilitação antes da contratação e serão convidados a se credenciar.</w:t>
      </w:r>
    </w:p>
    <w:p>
      <w:pPr>
        <w:spacing w:after="120" w:line="276"/>
        <w:ind w:left="400"/>
        <w:jc w:val="both"/>
      </w:pPr>
      <w:r>
        <w:rPr>
          <w:rFonts w:ascii="Arial" w:cs="Arial" w:eastAsia="Arial" w:hAnsi="Arial"/>
          <w:b/>
          <w:bCs/>
        </w:rPr>
        <w:t xml:space="preserve">§ 3º</w:t>
      </w:r>
      <w:r>
        <w:rPr>
          <w:rFonts w:ascii="Arial" w:cs="Arial" w:eastAsia="Arial" w:hAnsi="Arial"/>
        </w:rPr>
        <w:t xml:space="preserve"> Em situações de urgência devidamente justificadas — como risco à segurança dos participantes, cancelamento de fornecedor às vésperas de evento ou fato imprevisível — o gestor poderá contratar diretamente credenciado da linha, com registro da justificativa no DFD-NATA e ciência da Comissão em até dois dias úteis.</w:t>
      </w:r>
    </w:p>
    <w:p>
      <w:pPr>
        <w:spacing w:after="120" w:line="276"/>
        <w:ind w:left="400"/>
        <w:jc w:val="both"/>
      </w:pPr>
      <w:r>
        <w:rPr>
          <w:rFonts w:ascii="Arial" w:cs="Arial" w:eastAsia="Arial" w:hAnsi="Arial"/>
          <w:b/>
          <w:bCs/>
        </w:rPr>
        <w:t xml:space="preserve">§ 4º</w:t>
      </w:r>
      <w:r>
        <w:rPr>
          <w:rFonts w:ascii="Arial" w:cs="Arial" w:eastAsia="Arial" w:hAnsi="Arial"/>
        </w:rPr>
        <w:t xml:space="preserve"> O credenciado que receber ordem de fornecimento na Faixa 1 passará ao final da ordem de rodízio da linha; a recusa injustificada de duas oportunidades consecutivas implicará também o deslocamento ao final da ordem.</w:t>
      </w:r>
    </w:p>
    <w:p>
      <w:pPr>
        <w:pStyle w:val="Heading2"/>
        <w:keepNext/>
        <w:spacing w:after="120" w:before="260"/>
      </w:pPr>
      <w:r>
        <w:rPr>
          <w:rFonts w:ascii="Arial" w:cs="Arial" w:eastAsia="Arial" w:hAnsi="Arial"/>
        </w:rPr>
        <w:t xml:space="preserve">Tratamento favorecido a pequenos negócios, a negócios liderados por mulheres e ao território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</w:rPr>
        <w:t xml:space="preserve">Art. 14.</w:t>
      </w:r>
      <w:r>
        <w:rPr>
          <w:rFonts w:ascii="Arial" w:cs="Arial" w:eastAsia="Arial" w:hAnsi="Arial"/>
        </w:rPr>
        <w:t xml:space="preserve"> Em todas as seleções serão aplicados, nesta ordem, os seguintes mecanismos, inspirados nos arts. 44, 45, 47 e 48 da Lei Complementar nº 123/2006 e no art. 18 da IN SEGES/MGI nº 52/2025:</w:t>
      </w:r>
    </w:p>
    <w:p>
      <w:pPr>
        <w:spacing w:after="80" w:line="276"/>
        <w:ind w:left="800"/>
        <w:jc w:val="both"/>
      </w:pPr>
      <w:r>
        <w:rPr>
          <w:rFonts w:ascii="Arial" w:cs="Arial" w:eastAsia="Arial" w:hAnsi="Arial"/>
          <w:b/>
          <w:bCs/>
        </w:rPr>
        <w:t xml:space="preserve">I –</w:t>
      </w:r>
      <w:r>
        <w:rPr>
          <w:rFonts w:ascii="Arial" w:cs="Arial" w:eastAsia="Arial" w:hAnsi="Arial"/>
        </w:rPr>
        <w:t xml:space="preserve"> </w:t>
      </w:r>
      <w:r>
        <w:rPr>
          <w:rFonts w:ascii="Arial" w:cs="Arial" w:eastAsia="Arial" w:hAnsi="Arial"/>
          <w:b/>
          <w:bCs/>
        </w:rPr>
        <w:t xml:space="preserve">exclusividade</w:t>
      </w:r>
      <w:r>
        <w:rPr>
          <w:rFonts w:ascii="Arial" w:cs="Arial" w:eastAsia="Arial" w:hAnsi="Arial"/>
        </w:rPr>
        <w:t xml:space="preserve">: quando houver, na linha e no território, ao menos três credenciados enquadrados como pequenos negócios, a oportunidade das Faixas 1 e 2 será dirigida exclusivamente a eles;</w:t>
      </w:r>
    </w:p>
    <w:p>
      <w:pPr>
        <w:spacing w:after="80" w:line="276"/>
        <w:ind w:left="800"/>
        <w:jc w:val="both"/>
      </w:pPr>
      <w:r>
        <w:rPr>
          <w:rFonts w:ascii="Arial" w:cs="Arial" w:eastAsia="Arial" w:hAnsi="Arial"/>
          <w:b/>
          <w:bCs/>
        </w:rPr>
        <w:t xml:space="preserve">II –</w:t>
      </w:r>
      <w:r>
        <w:rPr>
          <w:rFonts w:ascii="Arial" w:cs="Arial" w:eastAsia="Arial" w:hAnsi="Arial"/>
        </w:rPr>
        <w:t xml:space="preserve"> </w:t>
      </w:r>
      <w:r>
        <w:rPr>
          <w:rFonts w:ascii="Arial" w:cs="Arial" w:eastAsia="Arial" w:hAnsi="Arial"/>
          <w:b/>
          <w:bCs/>
        </w:rPr>
        <w:t xml:space="preserve">empate ficto</w:t>
      </w:r>
      <w:r>
        <w:rPr>
          <w:rFonts w:ascii="Arial" w:cs="Arial" w:eastAsia="Arial" w:hAnsi="Arial"/>
        </w:rPr>
        <w:t xml:space="preserve">: propostas de pequenos negócios até 10% superiores à melhor proposta serão consideradas empatadas, assegurando-se ao pequeno negócio melhor classificado o direito de cobrir a melhor oferta;</w:t>
      </w:r>
    </w:p>
    <w:p>
      <w:pPr>
        <w:spacing w:after="80" w:line="276"/>
        <w:ind w:left="800"/>
        <w:jc w:val="both"/>
      </w:pPr>
      <w:r>
        <w:rPr>
          <w:rFonts w:ascii="Arial" w:cs="Arial" w:eastAsia="Arial" w:hAnsi="Arial"/>
          <w:b/>
          <w:bCs/>
        </w:rPr>
        <w:t xml:space="preserve">III –</w:t>
      </w:r>
      <w:r>
        <w:rPr>
          <w:rFonts w:ascii="Arial" w:cs="Arial" w:eastAsia="Arial" w:hAnsi="Arial"/>
        </w:rPr>
        <w:t xml:space="preserve"> </w:t>
      </w:r>
      <w:r>
        <w:rPr>
          <w:rFonts w:ascii="Arial" w:cs="Arial" w:eastAsia="Arial" w:hAnsi="Arial"/>
          <w:b/>
          <w:bCs/>
        </w:rPr>
        <w:t xml:space="preserve">preferência local e regional</w:t>
      </w:r>
      <w:r>
        <w:rPr>
          <w:rFonts w:ascii="Arial" w:cs="Arial" w:eastAsia="Arial" w:hAnsi="Arial"/>
        </w:rPr>
        <w:t xml:space="preserve">: credenciados sediados no território prioritário de nível superior terão prioridade quando suas propostas forem até 10% superiores às de fornecedores de níveis inferiores;</w:t>
      </w:r>
    </w:p>
    <w:p>
      <w:pPr>
        <w:spacing w:after="80" w:line="276"/>
        <w:ind w:left="800"/>
        <w:jc w:val="both"/>
      </w:pPr>
      <w:r>
        <w:rPr>
          <w:rFonts w:ascii="Arial" w:cs="Arial" w:eastAsia="Arial" w:hAnsi="Arial"/>
          <w:b/>
          <w:bCs/>
        </w:rPr>
        <w:t xml:space="preserve">IV –</w:t>
      </w:r>
      <w:r>
        <w:rPr>
          <w:rFonts w:ascii="Arial" w:cs="Arial" w:eastAsia="Arial" w:hAnsi="Arial"/>
        </w:rPr>
        <w:t xml:space="preserve"> </w:t>
      </w:r>
      <w:r>
        <w:rPr>
          <w:rFonts w:ascii="Arial" w:cs="Arial" w:eastAsia="Arial" w:hAnsi="Arial"/>
          <w:b/>
          <w:bCs/>
        </w:rPr>
        <w:t xml:space="preserve">desempate por equidade</w:t>
      </w:r>
      <w:r>
        <w:rPr>
          <w:rFonts w:ascii="Arial" w:cs="Arial" w:eastAsia="Arial" w:hAnsi="Arial"/>
        </w:rPr>
        <w:t xml:space="preserve">: persistindo o empate, será preferido, sucessivamente, o negócio liderado por mulher, o negócio liderado por mulher negra ou inscrita no CadÚnico, o MEI, o credenciado com melhor avaliação de desempenho e, por fim, o sorteio;</w:t>
      </w:r>
    </w:p>
    <w:p>
      <w:pPr>
        <w:spacing w:after="80" w:line="276"/>
        <w:ind w:left="800"/>
        <w:jc w:val="both"/>
      </w:pPr>
      <w:r>
        <w:rPr>
          <w:rFonts w:ascii="Arial" w:cs="Arial" w:eastAsia="Arial" w:hAnsi="Arial"/>
          <w:b/>
          <w:bCs/>
        </w:rPr>
        <w:t xml:space="preserve">V –</w:t>
      </w:r>
      <w:r>
        <w:rPr>
          <w:rFonts w:ascii="Arial" w:cs="Arial" w:eastAsia="Arial" w:hAnsi="Arial"/>
        </w:rPr>
        <w:t xml:space="preserve"> </w:t>
      </w:r>
      <w:r>
        <w:rPr>
          <w:rFonts w:ascii="Arial" w:cs="Arial" w:eastAsia="Arial" w:hAnsi="Arial"/>
          <w:b/>
          <w:bCs/>
        </w:rPr>
        <w:t xml:space="preserve">chamadas afirmativas</w:t>
      </w:r>
      <w:r>
        <w:rPr>
          <w:rFonts w:ascii="Arial" w:cs="Arial" w:eastAsia="Arial" w:hAnsi="Arial"/>
        </w:rPr>
        <w:t xml:space="preserve">: a Diretoria poderá, por decisão motivada e a partir de metas anuais, destinar linhas de fornecimento ou oportunidades específicas a negócios liderados por mulheres, sempre que houver ao menos três credenciadas aptas.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</w:rPr>
        <w:t xml:space="preserve">Art. 15.</w:t>
      </w:r>
      <w:r>
        <w:rPr>
          <w:rFonts w:ascii="Arial" w:cs="Arial" w:eastAsia="Arial" w:hAnsi="Arial"/>
        </w:rPr>
        <w:t xml:space="preserve"> O Instituto fixará, anualmente, metas de inclusão, com os seguintes patamares mínimos de referência: ao menos 70% do valor contratado por meio do Contrata + NATA com pequenos negócios; ao menos 30% com negócios liderados por mulheres; ao menos 50% com fornecedores do território prioritário de nível 1. As metas serão acompanhadas na Planilha de Gestão e reportadas no relatório semestral.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</w:rPr>
        <w:t xml:space="preserve">Art. 16.</w:t>
      </w:r>
      <w:r>
        <w:rPr>
          <w:rFonts w:ascii="Arial" w:cs="Arial" w:eastAsia="Arial" w:hAnsi="Arial"/>
        </w:rPr>
        <w:t xml:space="preserve"> Além das preferências, o Instituto desenvolverá ações de fomento: orientação para formalização como MEI e emissão de certidões; oficinas sobre elaboração de propostas e emissão de nota fiscal; articulação com o Sebrae/RJ, a Sala do Empreendedor de Mesquita, a Secretaria de Estado da Mulher, associações de moradores e coletivos de mulheres empreendedoras; divulgação das oportunidades por WhatsApp e mural; e feedback ao fornecedor não selecionado.</w:t>
      </w:r>
    </w:p>
    <w:p>
      <w:pPr>
        <w:pStyle w:val="Heading2"/>
        <w:keepNext/>
        <w:spacing w:after="120" w:before="260"/>
      </w:pPr>
      <w:r>
        <w:rPr>
          <w:rFonts w:ascii="Arial" w:cs="Arial" w:eastAsia="Arial" w:hAnsi="Arial"/>
        </w:rPr>
        <w:t xml:space="preserve">Formalização, execução e recebimento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</w:rPr>
        <w:t xml:space="preserve">Art. 17.</w:t>
      </w:r>
      <w:r>
        <w:rPr>
          <w:rFonts w:ascii="Arial" w:cs="Arial" w:eastAsia="Arial" w:hAnsi="Arial"/>
        </w:rPr>
        <w:t xml:space="preserve"> Selecionado o fornecedor, o Setor Financeiro verificará sua regularidade fiscal, trabalhista e cadastral e a ausência de sanções; em seguida será emitida a Ordem de Fornecimento ou de Serviço (Anexo VIII), assinada pelo gestor da demanda e pelo fornecedor, contendo objeto, quantidades, preço, prazo, local, condições de pagamento, obrigações, penalidades e cláusulas de proteção de dados e anticorrupção.</w:t>
      </w:r>
    </w:p>
    <w:p>
      <w:pPr>
        <w:spacing w:after="120" w:line="276"/>
        <w:ind w:left="400"/>
        <w:jc w:val="both"/>
      </w:pPr>
      <w:r>
        <w:rPr>
          <w:rFonts w:ascii="Arial" w:cs="Arial" w:eastAsia="Arial" w:hAnsi="Arial"/>
          <w:b/>
          <w:bCs/>
        </w:rPr>
        <w:t xml:space="preserve">§ 1º</w:t>
      </w:r>
      <w:r>
        <w:rPr>
          <w:rFonts w:ascii="Arial" w:cs="Arial" w:eastAsia="Arial" w:hAnsi="Arial"/>
        </w:rPr>
        <w:t xml:space="preserve"> Na Faixa 1, a ordem poderá ser substituída por aceite eletrônico da proposta pelo fornecedor, desde que registrada na Planilha de Gestão e arquivada com a proposta.</w:t>
      </w:r>
    </w:p>
    <w:p>
      <w:pPr>
        <w:spacing w:after="120" w:line="276"/>
        <w:ind w:left="400"/>
        <w:jc w:val="both"/>
      </w:pPr>
      <w:r>
        <w:rPr>
          <w:rFonts w:ascii="Arial" w:cs="Arial" w:eastAsia="Arial" w:hAnsi="Arial"/>
          <w:b/>
          <w:bCs/>
        </w:rPr>
        <w:t xml:space="preserve">§ 2º</w:t>
      </w:r>
      <w:r>
        <w:rPr>
          <w:rFonts w:ascii="Arial" w:cs="Arial" w:eastAsia="Arial" w:hAnsi="Arial"/>
        </w:rPr>
        <w:t xml:space="preserve"> O fornecedor deverá manter as condições de habilitação durante toda a execução e comunicar imediatamente qualquer alteração de enquadramento, endereço, contato ou dados bancários.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</w:rPr>
        <w:t xml:space="preserve">Art. 18.</w:t>
      </w:r>
      <w:r>
        <w:rPr>
          <w:rFonts w:ascii="Arial" w:cs="Arial" w:eastAsia="Arial" w:hAnsi="Arial"/>
        </w:rPr>
        <w:t xml:space="preserve"> Concluída a entrega ou o serviço, o gestor da demanda emitirá o Termo de Recebimento e Avaliação (Anexo IX), atestando a conformidade com a ordem e atribuindo nota de desempenho quanto a prazo, qualidade, conformidade documental e atendimento.</w:t>
      </w:r>
    </w:p>
    <w:p>
      <w:pPr>
        <w:spacing w:after="120" w:line="276"/>
        <w:ind w:left="400"/>
        <w:jc w:val="both"/>
      </w:pPr>
      <w:r>
        <w:rPr>
          <w:rFonts w:ascii="Arial" w:cs="Arial" w:eastAsia="Arial" w:hAnsi="Arial"/>
          <w:b/>
          <w:bCs/>
        </w:rPr>
        <w:t xml:space="preserve">Parágrafo único.</w:t>
      </w:r>
      <w:r>
        <w:rPr>
          <w:rFonts w:ascii="Arial" w:cs="Arial" w:eastAsia="Arial" w:hAnsi="Arial"/>
        </w:rPr>
        <w:t xml:space="preserve"> Recebido com ressalvas, o fornecedor terá prazo para corrigir; recusado o objeto, aplica-se o Capítulo VII.</w:t>
      </w:r>
    </w:p>
    <w:p>
      <w:pPr>
        <w:pStyle w:val="Heading2"/>
        <w:keepNext/>
        <w:spacing w:after="120" w:before="260"/>
      </w:pPr>
      <w:r>
        <w:rPr>
          <w:rFonts w:ascii="Arial" w:cs="Arial" w:eastAsia="Arial" w:hAnsi="Arial"/>
        </w:rPr>
        <w:t xml:space="preserve">Preço, pagamento e comprovação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</w:rPr>
        <w:t xml:space="preserve">Art. 19.</w:t>
      </w:r>
      <w:r>
        <w:rPr>
          <w:rFonts w:ascii="Arial" w:cs="Arial" w:eastAsia="Arial" w:hAnsi="Arial"/>
        </w:rPr>
        <w:t xml:space="preserve"> O pagamento será efetuado exclusivamente por transferência eletrônica — inclusive Pix — da conta específica da parceria para conta bancária de titularidade do fornecedor, identificando o beneficiário final, em até 30 dias contados do recebimento definitivo, salvo prazo diverso previsto na ordem, sendo vedado o pagamento em espécie ou a terceiros.</w:t>
      </w:r>
    </w:p>
    <w:p>
      <w:pPr>
        <w:spacing w:after="120" w:line="276"/>
        <w:ind w:left="400"/>
        <w:jc w:val="both"/>
      </w:pPr>
      <w:r>
        <w:rPr>
          <w:rFonts w:ascii="Arial" w:cs="Arial" w:eastAsia="Arial" w:hAnsi="Arial"/>
          <w:b/>
          <w:bCs/>
        </w:rPr>
        <w:t xml:space="preserve">§ 1º</w:t>
      </w:r>
      <w:r>
        <w:rPr>
          <w:rFonts w:ascii="Arial" w:cs="Arial" w:eastAsia="Arial" w:hAnsi="Arial"/>
        </w:rPr>
        <w:t xml:space="preserve"> O pagamento será precedido da apresentação de nota fiscal ou, no caso de pessoa física, de recibo de pagamento a autônomo (RPA) com as retenções legais, contendo data, valor, descrição, CNPJ do Instituto e CNPJ ou CPF do fornecedor, na forma do art. 37 do Decreto nº 8.726/2016.</w:t>
      </w:r>
    </w:p>
    <w:p>
      <w:pPr>
        <w:spacing w:after="120" w:line="276"/>
        <w:ind w:left="400"/>
        <w:jc w:val="both"/>
      </w:pPr>
      <w:r>
        <w:rPr>
          <w:rFonts w:ascii="Arial" w:cs="Arial" w:eastAsia="Arial" w:hAnsi="Arial"/>
          <w:b/>
          <w:bCs/>
        </w:rPr>
        <w:t xml:space="preserve">§ 2º</w:t>
      </w:r>
      <w:r>
        <w:rPr>
          <w:rFonts w:ascii="Arial" w:cs="Arial" w:eastAsia="Arial" w:hAnsi="Arial"/>
        </w:rPr>
        <w:t xml:space="preserve"> Antes de cada pagamento o Setor Financeiro verificará novamente a regularidade fiscal e trabalhista, assegurado ao pequeno negócio o prazo de cinco dias úteis, prorrogável por igual período, para regularização.</w:t>
      </w:r>
    </w:p>
    <w:p>
      <w:pPr>
        <w:spacing w:after="120" w:line="276"/>
        <w:ind w:left="400"/>
        <w:jc w:val="both"/>
      </w:pPr>
      <w:r>
        <w:rPr>
          <w:rFonts w:ascii="Arial" w:cs="Arial" w:eastAsia="Arial" w:hAnsi="Arial"/>
          <w:b/>
          <w:bCs/>
        </w:rPr>
        <w:t xml:space="preserve">§ 3º</w:t>
      </w:r>
      <w:r>
        <w:rPr>
          <w:rFonts w:ascii="Arial" w:cs="Arial" w:eastAsia="Arial" w:hAnsi="Arial"/>
        </w:rPr>
        <w:t xml:space="preserve"> Se o valor efetivo da contratação ultrapassar o previsto no plano de trabalho, a Comissão registrará a compatibilidade com os novos preços de mercado antes da formalização, conforme o § 1º do art. 36 do Decreto nº 8.726/2016.</w:t>
      </w:r>
    </w:p>
    <w:p>
      <w:pPr>
        <w:pStyle w:val="Heading2"/>
        <w:keepNext/>
        <w:spacing w:after="120" w:before="260"/>
      </w:pPr>
      <w:r>
        <w:rPr>
          <w:rFonts w:ascii="Arial" w:cs="Arial" w:eastAsia="Arial" w:hAnsi="Arial"/>
        </w:rPr>
        <w:t xml:space="preserve">Dossiê da contratação e prestação de contas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</w:rPr>
        <w:t xml:space="preserve">Art. 20.</w:t>
      </w:r>
      <w:r>
        <w:rPr>
          <w:rFonts w:ascii="Arial" w:cs="Arial" w:eastAsia="Arial" w:hAnsi="Arial"/>
        </w:rPr>
        <w:t xml:space="preserve"> Cada contratação terá dossiê próprio, físico ou eletrônico, numerado sequencialmente por projeto, contendo, no mínimo: DFD-NATA; registro do modo de seleção (rodízio, sorteio, cotação ou chamada) e propostas; mapa comparativo e ata de julgamento, quando houver; comprovação de habilitação e consultas a cadastros de sanções; ordem de fornecimento ou aceite; nota fiscal ou recibo; comprovante de pagamento; termo de recebimento e avaliação; e eventuais justificativas de urgência ou de dispensa de rodízio.</w:t>
      </w:r>
    </w:p>
    <w:p>
      <w:pPr>
        <w:spacing w:after="120" w:line="276"/>
        <w:ind w:left="400"/>
        <w:jc w:val="both"/>
      </w:pPr>
      <w:r>
        <w:rPr>
          <w:rFonts w:ascii="Arial" w:cs="Arial" w:eastAsia="Arial" w:hAnsi="Arial"/>
          <w:b/>
          <w:bCs/>
        </w:rPr>
        <w:t xml:space="preserve">Parágrafo único.</w:t>
      </w:r>
      <w:r>
        <w:rPr>
          <w:rFonts w:ascii="Arial" w:cs="Arial" w:eastAsia="Arial" w:hAnsi="Arial"/>
        </w:rPr>
        <w:t xml:space="preserve"> O dossiê será mantido pelo prazo de dez anos contados do dia útil subsequente ao da prestação de contas, nos termos do art. 68 da Lei nº 13.019/2014, e alimentará os relatórios de execução do objeto e de execução financeira.</w:t>
      </w:r>
    </w:p>
    <w:p>
      <w:pPr>
        <w:pStyle w:val="Heading1"/>
        <w:keepNext/>
        <w:spacing w:after="160" w:before="360"/>
      </w:pPr>
      <w:r>
        <w:rPr>
          <w:rFonts w:ascii="Arial" w:cs="Arial" w:eastAsia="Arial" w:hAnsi="Arial"/>
        </w:rPr>
        <w:t xml:space="preserve">Capítulo VI — Requisitos de habilitação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</w:rPr>
        <w:t xml:space="preserve">Art. 21.</w:t>
      </w:r>
      <w:r>
        <w:rPr>
          <w:rFonts w:ascii="Arial" w:cs="Arial" w:eastAsia="Arial" w:hAnsi="Arial"/>
        </w:rPr>
        <w:t xml:space="preserve"> A habilitação compreende a habilitação jurídica, a regularidade fiscal, social e trabalhista, a qualificação técnica mínima e as declarações, conforme o tipo de interessado: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33"/>
        <w:gridCol w:w="1157"/>
        <w:gridCol w:w="1349"/>
        <w:gridCol w:w="1349"/>
        <w:gridCol w:w="1350"/>
      </w:tblGrid>
      <w:tr>
        <w:trPr>
          <w:tblHeader/>
        </w:trPr>
        <w:tc>
          <w:tcPr>
            <w:tcW w:type="dxa" w:w="4433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Documento</w:t>
            </w:r>
          </w:p>
        </w:tc>
        <w:tc>
          <w:tcPr>
            <w:tcW w:type="dxa" w:w="1157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MEI</w:t>
            </w:r>
          </w:p>
        </w:tc>
        <w:tc>
          <w:tcPr>
            <w:tcW w:type="dxa" w:w="1349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 / EPP</w:t>
            </w:r>
          </w:p>
        </w:tc>
        <w:tc>
          <w:tcPr>
            <w:tcW w:type="dxa" w:w="1349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Cooperativa</w:t>
            </w:r>
          </w:p>
        </w:tc>
        <w:tc>
          <w:tcPr>
            <w:tcW w:type="dxa" w:w="1350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Pessoa física autônoma</w:t>
            </w:r>
          </w:p>
        </w:tc>
      </w:tr>
      <w:tr>
        <w:tc>
          <w:tcPr>
            <w:tcW w:type="dxa" w:w="443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Certificado da Condição de MEI (CCMEI)</w:t>
            </w:r>
          </w:p>
        </w:tc>
        <w:tc>
          <w:tcPr>
            <w:tcW w:type="dxa" w:w="115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✔</w:t>
            </w:r>
          </w:p>
        </w:tc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4433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Ato constitutivo (contrato social/estatuto) e última alteração; ata de eleição da diretoria</w:t>
            </w:r>
          </w:p>
        </w:tc>
        <w:tc>
          <w:tcPr>
            <w:tcW w:type="dxa" w:w="1157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349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✔</w:t>
            </w:r>
          </w:p>
        </w:tc>
        <w:tc>
          <w:tcPr>
            <w:tcW w:type="dxa" w:w="1349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✔</w:t>
            </w:r>
          </w:p>
        </w:tc>
        <w:tc>
          <w:tcPr>
            <w:tcW w:type="dxa" w:w="135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443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Comprovante de inscrição no CNPJ</w:t>
            </w:r>
          </w:p>
        </w:tc>
        <w:tc>
          <w:tcPr>
            <w:tcW w:type="dxa" w:w="115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✔</w:t>
            </w:r>
          </w:p>
        </w:tc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✔</w:t>
            </w:r>
          </w:p>
        </w:tc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✔</w:t>
            </w:r>
          </w:p>
        </w:tc>
        <w:tc>
          <w:tcPr>
            <w:tcW w:type="dxa" w:w="1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4433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Declaração de enquadramento como ME/EPP (ou certidão simplificada da Junta Comercial)</w:t>
            </w:r>
          </w:p>
        </w:tc>
        <w:tc>
          <w:tcPr>
            <w:tcW w:type="dxa" w:w="1157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349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✔</w:t>
            </w:r>
          </w:p>
        </w:tc>
        <w:tc>
          <w:tcPr>
            <w:tcW w:type="dxa" w:w="1349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 aplicável</w:t>
            </w:r>
          </w:p>
        </w:tc>
        <w:tc>
          <w:tcPr>
            <w:tcW w:type="dxa" w:w="135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443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Documento de identidade e CPF do titular, administrador ou pessoa física; comprovante de residência</w:t>
            </w:r>
          </w:p>
        </w:tc>
        <w:tc>
          <w:tcPr>
            <w:tcW w:type="dxa" w:w="115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✔</w:t>
            </w:r>
          </w:p>
        </w:tc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✔</w:t>
            </w:r>
          </w:p>
        </w:tc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✔</w:t>
            </w:r>
          </w:p>
        </w:tc>
        <w:tc>
          <w:tcPr>
            <w:tcW w:type="dxa" w:w="1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✔</w:t>
            </w:r>
          </w:p>
        </w:tc>
      </w:tr>
      <w:tr>
        <w:tc>
          <w:tcPr>
            <w:tcW w:type="dxa" w:w="4433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Certidão negativa (ou positiva com efeito de negativa) de débitos federais e dívida ativa da União</w:t>
            </w:r>
          </w:p>
        </w:tc>
        <w:tc>
          <w:tcPr>
            <w:tcW w:type="dxa" w:w="1157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✔</w:t>
            </w:r>
          </w:p>
        </w:tc>
        <w:tc>
          <w:tcPr>
            <w:tcW w:type="dxa" w:w="1349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✔</w:t>
            </w:r>
          </w:p>
        </w:tc>
        <w:tc>
          <w:tcPr>
            <w:tcW w:type="dxa" w:w="1349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✔</w:t>
            </w:r>
          </w:p>
        </w:tc>
        <w:tc>
          <w:tcPr>
            <w:tcW w:type="dxa" w:w="135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✔ (CPF)</w:t>
            </w:r>
          </w:p>
        </w:tc>
      </w:tr>
      <w:tr>
        <w:tc>
          <w:tcPr>
            <w:tcW w:type="dxa" w:w="443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Certificado de Regularidade do FGTS</w:t>
            </w:r>
          </w:p>
        </w:tc>
        <w:tc>
          <w:tcPr>
            <w:tcW w:type="dxa" w:w="115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✔</w:t>
            </w:r>
          </w:p>
        </w:tc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✔</w:t>
            </w:r>
          </w:p>
        </w:tc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✔</w:t>
            </w:r>
          </w:p>
        </w:tc>
        <w:tc>
          <w:tcPr>
            <w:tcW w:type="dxa" w:w="1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4433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Certidão Negativa de Débitos Trabalhistas (CNDT)</w:t>
            </w:r>
          </w:p>
        </w:tc>
        <w:tc>
          <w:tcPr>
            <w:tcW w:type="dxa" w:w="1157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✔</w:t>
            </w:r>
          </w:p>
        </w:tc>
        <w:tc>
          <w:tcPr>
            <w:tcW w:type="dxa" w:w="1349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✔</w:t>
            </w:r>
          </w:p>
        </w:tc>
        <w:tc>
          <w:tcPr>
            <w:tcW w:type="dxa" w:w="1349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✔</w:t>
            </w:r>
          </w:p>
        </w:tc>
        <w:tc>
          <w:tcPr>
            <w:tcW w:type="dxa" w:w="135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✔</w:t>
            </w:r>
          </w:p>
        </w:tc>
      </w:tr>
      <w:tr>
        <w:tc>
          <w:tcPr>
            <w:tcW w:type="dxa" w:w="443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Certidão de regularidade municipal (ISS) do domicílio, quando exigível</w:t>
            </w:r>
          </w:p>
        </w:tc>
        <w:tc>
          <w:tcPr>
            <w:tcW w:type="dxa" w:w="115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✔</w:t>
            </w:r>
          </w:p>
        </w:tc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✔</w:t>
            </w:r>
          </w:p>
        </w:tc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✔</w:t>
            </w:r>
          </w:p>
        </w:tc>
        <w:tc>
          <w:tcPr>
            <w:tcW w:type="dxa" w:w="1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 inscrito</w:t>
            </w:r>
          </w:p>
        </w:tc>
      </w:tr>
      <w:tr>
        <w:tc>
          <w:tcPr>
            <w:tcW w:type="dxa" w:w="4433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Inscrição municipal / alvará ou licença sanitária, quando a atividade exigir (alimentação, transporte)</w:t>
            </w:r>
          </w:p>
        </w:tc>
        <w:tc>
          <w:tcPr>
            <w:tcW w:type="dxa" w:w="1157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 aplicável</w:t>
            </w:r>
          </w:p>
        </w:tc>
        <w:tc>
          <w:tcPr>
            <w:tcW w:type="dxa" w:w="1349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 aplicável</w:t>
            </w:r>
          </w:p>
        </w:tc>
        <w:tc>
          <w:tcPr>
            <w:tcW w:type="dxa" w:w="1349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 aplicável</w:t>
            </w:r>
          </w:p>
        </w:tc>
        <w:tc>
          <w:tcPr>
            <w:tcW w:type="dxa" w:w="135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 aplicável</w:t>
            </w:r>
          </w:p>
        </w:tc>
      </w:tr>
      <w:tr>
        <w:tc>
          <w:tcPr>
            <w:tcW w:type="dxa" w:w="443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NIT/PIS/PASEP e comprovante de inscrição como contribuinte individual do INSS</w:t>
            </w:r>
          </w:p>
        </w:tc>
        <w:tc>
          <w:tcPr>
            <w:tcW w:type="dxa" w:w="115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✔</w:t>
            </w:r>
          </w:p>
        </w:tc>
      </w:tr>
      <w:tr>
        <w:tc>
          <w:tcPr>
            <w:tcW w:type="dxa" w:w="4433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Portfólio, currículo, atestados ou declarações de serviços anteriores (qualificação técnica mínima)</w:t>
            </w:r>
          </w:p>
        </w:tc>
        <w:tc>
          <w:tcPr>
            <w:tcW w:type="dxa" w:w="1157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recomendado</w:t>
            </w:r>
          </w:p>
        </w:tc>
        <w:tc>
          <w:tcPr>
            <w:tcW w:type="dxa" w:w="1349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recomendado</w:t>
            </w:r>
          </w:p>
        </w:tc>
        <w:tc>
          <w:tcPr>
            <w:tcW w:type="dxa" w:w="1349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recomendado</w:t>
            </w:r>
          </w:p>
        </w:tc>
        <w:tc>
          <w:tcPr>
            <w:tcW w:type="dxa" w:w="135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✔</w:t>
            </w:r>
          </w:p>
        </w:tc>
      </w:tr>
      <w:tr>
        <w:tc>
          <w:tcPr>
            <w:tcW w:type="dxa" w:w="443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Comprovante de conta bancária de titularidade do interessado</w:t>
            </w:r>
          </w:p>
        </w:tc>
        <w:tc>
          <w:tcPr>
            <w:tcW w:type="dxa" w:w="115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✔</w:t>
            </w:r>
          </w:p>
        </w:tc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✔</w:t>
            </w:r>
          </w:p>
        </w:tc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✔</w:t>
            </w:r>
          </w:p>
        </w:tc>
        <w:tc>
          <w:tcPr>
            <w:tcW w:type="dxa" w:w="13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✔</w:t>
            </w:r>
          </w:p>
        </w:tc>
      </w:tr>
      <w:tr>
        <w:tc>
          <w:tcPr>
            <w:tcW w:type="dxa" w:w="4433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Requerimento, Declaração Unificada, Declaração de Negócio Liderado por Mulher (opcional) e Termo de Adesão</w:t>
            </w:r>
          </w:p>
        </w:tc>
        <w:tc>
          <w:tcPr>
            <w:tcW w:type="dxa" w:w="1157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✔</w:t>
            </w:r>
          </w:p>
        </w:tc>
        <w:tc>
          <w:tcPr>
            <w:tcW w:type="dxa" w:w="1349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✔</w:t>
            </w:r>
          </w:p>
        </w:tc>
        <w:tc>
          <w:tcPr>
            <w:tcW w:type="dxa" w:w="1349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✔</w:t>
            </w:r>
          </w:p>
        </w:tc>
        <w:tc>
          <w:tcPr>
            <w:tcW w:type="dxa" w:w="135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✔</w:t>
            </w:r>
          </w:p>
        </w:tc>
      </w:tr>
    </w:tbl>
    <w:p>
      <w:pPr>
        <w:spacing w:after="120" w:line="276"/>
        <w:ind w:left="400"/>
        <w:jc w:val="both"/>
      </w:pPr>
      <w:r>
        <w:rPr>
          <w:rFonts w:ascii="Arial" w:cs="Arial" w:eastAsia="Arial" w:hAnsi="Arial"/>
          <w:b/>
          <w:bCs/>
        </w:rPr>
        <w:t xml:space="preserve">§ 1º</w:t>
      </w:r>
      <w:r>
        <w:rPr>
          <w:rFonts w:ascii="Arial" w:cs="Arial" w:eastAsia="Arial" w:hAnsi="Arial"/>
        </w:rPr>
        <w:t xml:space="preserve"> A Comissão verificará a autenticidade das certidões nos sítios eletrônicos oficiais, o que constitui meio legal de prova, e poderá sanar erros ou falhas que não alterem a substância dos documentos.</w:t>
      </w:r>
    </w:p>
    <w:p>
      <w:pPr>
        <w:spacing w:after="120" w:line="276"/>
        <w:ind w:left="400"/>
        <w:jc w:val="both"/>
      </w:pPr>
      <w:r>
        <w:rPr>
          <w:rFonts w:ascii="Arial" w:cs="Arial" w:eastAsia="Arial" w:hAnsi="Arial"/>
          <w:b/>
          <w:bCs/>
        </w:rPr>
        <w:t xml:space="preserve">§ 2º</w:t>
      </w:r>
      <w:r>
        <w:rPr>
          <w:rFonts w:ascii="Arial" w:cs="Arial" w:eastAsia="Arial" w:hAnsi="Arial"/>
        </w:rPr>
        <w:t xml:space="preserve"> As certidões vencidas durante a vigência do credenciamento serão renovadas pelo Instituto por consulta direta aos sítios oficiais sempre que possível; não sendo possível, o credenciado será notificado para apresentá-las em cinco dias úteis, sob pena de inativação temporária.</w:t>
      </w:r>
    </w:p>
    <w:p>
      <w:pPr>
        <w:spacing w:after="120" w:line="276"/>
        <w:ind w:left="400"/>
        <w:jc w:val="both"/>
      </w:pPr>
      <w:r>
        <w:rPr>
          <w:rFonts w:ascii="Arial" w:cs="Arial" w:eastAsia="Arial" w:hAnsi="Arial"/>
          <w:b/>
          <w:bCs/>
        </w:rPr>
        <w:t xml:space="preserve">§ 3º</w:t>
      </w:r>
      <w:r>
        <w:rPr>
          <w:rFonts w:ascii="Arial" w:cs="Arial" w:eastAsia="Arial" w:hAnsi="Arial"/>
        </w:rPr>
        <w:t xml:space="preserve"> A contratação de pessoa física autônoma limita-se a serviços de natureza eventual, artística, cultural, educacional ou técnica especializada, sem subordinação, habitualidade ou pessoalidade que caracterizem vínculo empregatício, e observará as retenções de INSS, IRRF e ISS aplicáveis ao RPA.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</w:rPr>
        <w:t xml:space="preserve">Art. 22.</w:t>
      </w:r>
      <w:r>
        <w:rPr>
          <w:rFonts w:ascii="Arial" w:cs="Arial" w:eastAsia="Arial" w:hAnsi="Arial"/>
        </w:rPr>
        <w:t xml:space="preserve"> O credenciamento terá validade de 24 meses, renovável por iguais períodos mediante atualização dos documentos e das declarações. A inativação temporária ocorrerá por desatualização cadastral, perda de regularidade ou instauração de processo sancionador, e cessará com a regularização.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</w:rPr>
        <w:t xml:space="preserve">Art. 23.</w:t>
      </w:r>
      <w:r>
        <w:rPr>
          <w:rFonts w:ascii="Arial" w:cs="Arial" w:eastAsia="Arial" w:hAnsi="Arial"/>
        </w:rPr>
        <w:t xml:space="preserve"> O descredenciamento ocorrerá a pedido do credenciado; por perda das condições de habilitação não regularizada em 30 dias; por descumprimento injustificado de ordem de fornecimento; por sanção superveniente de impedimento ou inidoneidade; ou por decisão em processo sancionador. O pedido de descredenciamento não exime o fornecedor das obrigações assumidas.</w:t>
      </w:r>
    </w:p>
    <w:p>
      <w:pPr>
        <w:pStyle w:val="Heading1"/>
        <w:keepNext/>
        <w:spacing w:after="160" w:before="360"/>
      </w:pPr>
      <w:r>
        <w:rPr>
          <w:rFonts w:ascii="Arial" w:cs="Arial" w:eastAsia="Arial" w:hAnsi="Arial"/>
        </w:rPr>
        <w:t xml:space="preserve">Capítulo VII — Infrações, sanções e processo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</w:rPr>
        <w:t xml:space="preserve">Art. 24.</w:t>
      </w:r>
      <w:r>
        <w:rPr>
          <w:rFonts w:ascii="Arial" w:cs="Arial" w:eastAsia="Arial" w:hAnsi="Arial"/>
        </w:rPr>
        <w:t xml:space="preserve"> Constituem infrações do credenciado ou contratado, apuradas com observância do contraditório e da ampla defesa:</w:t>
      </w:r>
    </w:p>
    <w:p>
      <w:pPr>
        <w:spacing w:after="80" w:line="276"/>
        <w:ind w:left="800"/>
        <w:jc w:val="both"/>
      </w:pPr>
      <w:r>
        <w:rPr>
          <w:rFonts w:ascii="Arial" w:cs="Arial" w:eastAsia="Arial" w:hAnsi="Arial"/>
          <w:b/>
          <w:bCs/>
        </w:rPr>
        <w:t xml:space="preserve">I –</w:t>
      </w:r>
      <w:r>
        <w:rPr>
          <w:rFonts w:ascii="Arial" w:cs="Arial" w:eastAsia="Arial" w:hAnsi="Arial"/>
        </w:rPr>
        <w:t xml:space="preserve"> dar causa à inexecução parcial ou total do objeto;</w:t>
      </w:r>
    </w:p>
    <w:p>
      <w:pPr>
        <w:spacing w:after="80" w:line="276"/>
        <w:ind w:left="800"/>
        <w:jc w:val="both"/>
      </w:pPr>
      <w:r>
        <w:rPr>
          <w:rFonts w:ascii="Arial" w:cs="Arial" w:eastAsia="Arial" w:hAnsi="Arial"/>
          <w:b/>
          <w:bCs/>
        </w:rPr>
        <w:t xml:space="preserve">II –</w:t>
      </w:r>
      <w:r>
        <w:rPr>
          <w:rFonts w:ascii="Arial" w:cs="Arial" w:eastAsia="Arial" w:hAnsi="Arial"/>
        </w:rPr>
        <w:t xml:space="preserve"> ensejar o retardamento injustificado da execução ou entrega;</w:t>
      </w:r>
    </w:p>
    <w:p>
      <w:pPr>
        <w:spacing w:after="80" w:line="276"/>
        <w:ind w:left="800"/>
        <w:jc w:val="both"/>
      </w:pPr>
      <w:r>
        <w:rPr>
          <w:rFonts w:ascii="Arial" w:cs="Arial" w:eastAsia="Arial" w:hAnsi="Arial"/>
          <w:b/>
          <w:bCs/>
        </w:rPr>
        <w:t xml:space="preserve">III –</w:t>
      </w:r>
      <w:r>
        <w:rPr>
          <w:rFonts w:ascii="Arial" w:cs="Arial" w:eastAsia="Arial" w:hAnsi="Arial"/>
        </w:rPr>
        <w:t xml:space="preserve"> não manter a proposta ou recusar-se, sem justificativa, a formalizar a contratação quando selecionado;</w:t>
      </w:r>
    </w:p>
    <w:p>
      <w:pPr>
        <w:spacing w:after="80" w:line="276"/>
        <w:ind w:left="800"/>
        <w:jc w:val="both"/>
      </w:pPr>
      <w:r>
        <w:rPr>
          <w:rFonts w:ascii="Arial" w:cs="Arial" w:eastAsia="Arial" w:hAnsi="Arial"/>
          <w:b/>
          <w:bCs/>
        </w:rPr>
        <w:t xml:space="preserve">IV –</w:t>
      </w:r>
      <w:r>
        <w:rPr>
          <w:rFonts w:ascii="Arial" w:cs="Arial" w:eastAsia="Arial" w:hAnsi="Arial"/>
        </w:rPr>
        <w:t xml:space="preserve"> deixar de apresentar documentação exigida ou apresentar documento ou declaração falsa, inclusive quanto ao porte, à liderança feminina ou ao território;</w:t>
      </w:r>
    </w:p>
    <w:p>
      <w:pPr>
        <w:spacing w:after="80" w:line="276"/>
        <w:ind w:left="800"/>
        <w:jc w:val="both"/>
      </w:pPr>
      <w:r>
        <w:rPr>
          <w:rFonts w:ascii="Arial" w:cs="Arial" w:eastAsia="Arial" w:hAnsi="Arial"/>
          <w:b/>
          <w:bCs/>
        </w:rPr>
        <w:t xml:space="preserve">V –</w:t>
      </w:r>
      <w:r>
        <w:rPr>
          <w:rFonts w:ascii="Arial" w:cs="Arial" w:eastAsia="Arial" w:hAnsi="Arial"/>
        </w:rPr>
        <w:t xml:space="preserve"> usufruir indevidamente de tratamento favorecido;</w:t>
      </w:r>
    </w:p>
    <w:p>
      <w:pPr>
        <w:spacing w:after="80" w:line="276"/>
        <w:ind w:left="800"/>
        <w:jc w:val="both"/>
      </w:pPr>
      <w:r>
        <w:rPr>
          <w:rFonts w:ascii="Arial" w:cs="Arial" w:eastAsia="Arial" w:hAnsi="Arial"/>
          <w:b/>
          <w:bCs/>
        </w:rPr>
        <w:t xml:space="preserve">VI –</w:t>
      </w:r>
      <w:r>
        <w:rPr>
          <w:rFonts w:ascii="Arial" w:cs="Arial" w:eastAsia="Arial" w:hAnsi="Arial"/>
        </w:rPr>
        <w:t xml:space="preserve"> fraudar a seleção ou a execução, agir em conluio ou comportar-se de modo inidôneo;</w:t>
      </w:r>
    </w:p>
    <w:p>
      <w:pPr>
        <w:spacing w:after="80" w:line="276"/>
        <w:ind w:left="800"/>
        <w:jc w:val="both"/>
      </w:pPr>
      <w:r>
        <w:rPr>
          <w:rFonts w:ascii="Arial" w:cs="Arial" w:eastAsia="Arial" w:hAnsi="Arial"/>
          <w:b/>
          <w:bCs/>
        </w:rPr>
        <w:t xml:space="preserve">VII –</w:t>
      </w:r>
      <w:r>
        <w:rPr>
          <w:rFonts w:ascii="Arial" w:cs="Arial" w:eastAsia="Arial" w:hAnsi="Arial"/>
        </w:rPr>
        <w:t xml:space="preserve"> praticar ato lesivo previsto no art. 5º da Lei nº 12.846/2013, oferecer vantagem a dirigente, empregado ou colaborador do Instituto ou a agente público;</w:t>
      </w:r>
    </w:p>
    <w:p>
      <w:pPr>
        <w:spacing w:after="80" w:line="276"/>
        <w:ind w:left="800"/>
        <w:jc w:val="both"/>
      </w:pPr>
      <w:r>
        <w:rPr>
          <w:rFonts w:ascii="Arial" w:cs="Arial" w:eastAsia="Arial" w:hAnsi="Arial"/>
          <w:b/>
          <w:bCs/>
        </w:rPr>
        <w:t xml:space="preserve">VIII –</w:t>
      </w:r>
      <w:r>
        <w:rPr>
          <w:rFonts w:ascii="Arial" w:cs="Arial" w:eastAsia="Arial" w:hAnsi="Arial"/>
        </w:rPr>
        <w:t xml:space="preserve"> violar dados pessoais de participantes dos projetos ou descumprir as obrigações de proteção de dados;</w:t>
      </w:r>
    </w:p>
    <w:p>
      <w:pPr>
        <w:spacing w:after="80" w:line="276"/>
        <w:ind w:left="800"/>
        <w:jc w:val="both"/>
      </w:pPr>
      <w:r>
        <w:rPr>
          <w:rFonts w:ascii="Arial" w:cs="Arial" w:eastAsia="Arial" w:hAnsi="Arial"/>
          <w:b/>
          <w:bCs/>
        </w:rPr>
        <w:t xml:space="preserve">IX –</w:t>
      </w:r>
      <w:r>
        <w:rPr>
          <w:rFonts w:ascii="Arial" w:cs="Arial" w:eastAsia="Arial" w:hAnsi="Arial"/>
        </w:rPr>
        <w:t xml:space="preserve"> descumprir normas de segurança, saúde, acessibilidade e sustentabilidade previstas na ordem de fornecimento.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</w:rPr>
        <w:t xml:space="preserve">Art. 25.</w:t>
      </w:r>
      <w:r>
        <w:rPr>
          <w:rFonts w:ascii="Arial" w:cs="Arial" w:eastAsia="Arial" w:hAnsi="Arial"/>
        </w:rPr>
        <w:t xml:space="preserve"> São sanções aplicáveis, isolada ou cumulativamente, conforme a gravidade, a reincidência e o dano: advertência escrita; multa de 2% a 10% do valor da ordem, quando nela prevista; suspensão do cadastro por até 24 meses; e descredenciamento, com impedimento de novo credenciamento por até 3 anos. As sanções serão registradas na Planilha de Gestão e, nas hipóteses de fraude e ato lesivo, comunicadas ao órgão parceiro e às autoridades competentes.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</w:rPr>
        <w:t xml:space="preserve">Art. 26.</w:t>
      </w:r>
      <w:r>
        <w:rPr>
          <w:rFonts w:ascii="Arial" w:cs="Arial" w:eastAsia="Arial" w:hAnsi="Arial"/>
        </w:rPr>
        <w:t xml:space="preserve"> O processo sancionador será instaurado pela Comissão, com notificação escrita ao fornecedor para defesa em cinco dias úteis; decisão motivada da Comissão em dez dias úteis; recurso à Diretoria em cinco dias úteis; e decisão final em dez dias úteis. Havendo risco iminente, a Comissão poderá inativar temporariamente o credenciado antes da defesa, comunicando-o imediatamente.</w:t>
      </w:r>
    </w:p>
    <w:p>
      <w:pPr>
        <w:pStyle w:val="Heading1"/>
        <w:keepNext/>
        <w:spacing w:after="160" w:before="360"/>
      </w:pPr>
      <w:r>
        <w:rPr>
          <w:rFonts w:ascii="Arial" w:cs="Arial" w:eastAsia="Arial" w:hAnsi="Arial"/>
        </w:rPr>
        <w:t xml:space="preserve">Capítulo VIII — Transparência, dados pessoais e monitoramento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</w:rPr>
        <w:t xml:space="preserve">Art. 27.</w:t>
      </w:r>
      <w:r>
        <w:rPr>
          <w:rFonts w:ascii="Arial" w:cs="Arial" w:eastAsia="Arial" w:hAnsi="Arial"/>
        </w:rPr>
        <w:t xml:space="preserve"> O Instituto publicará em seu sítio eletrônico: esta Política; o Edital-padrão e seus anexos; o Catálogo de linhas de fornecimento; a lista de credenciados; as chamadas da Faixa 3 e seus resultados; e o relatório semestral do Contrata + NATA, com indicadores de número de credenciados por linha, porte, gênero de liderança e território; valor contratado por faixa e por projeto; percentuais alcançados frente às metas de inclusão; tempo médio entre o DFD-NATA e a ordem; avaliação média dos fornecedores; e sanções aplicadas.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</w:rPr>
        <w:t xml:space="preserve">Art. 28.</w:t>
      </w:r>
      <w:r>
        <w:rPr>
          <w:rFonts w:ascii="Arial" w:cs="Arial" w:eastAsia="Arial" w:hAnsi="Arial"/>
        </w:rPr>
        <w:t xml:space="preserve"> Os dados pessoais coletados no credenciamento serão tratados com base na execução de procedimentos preliminares e de contrato e no cumprimento de obrigações legais e regulatórias de prestação de contas (art. 7º, II e V, da Lei nº 13.709/2018), limitados ao necessário, protegidos por controles de acesso, e conservados pelo prazo de guarda dos dossiês. A autodeclaração de raça/cor e de inscrição no CadÚnico é facultativa, usada exclusivamente para os critérios de equidade e para estatísticas agregadas, e não será publicada de forma individualizada.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</w:rPr>
        <w:t xml:space="preserve">Art. 29.</w:t>
      </w:r>
      <w:r>
        <w:rPr>
          <w:rFonts w:ascii="Arial" w:cs="Arial" w:eastAsia="Arial" w:hAnsi="Arial"/>
        </w:rPr>
        <w:t xml:space="preserve"> Denúncias sobre irregularidades no Contrata + NATA poderão ser apresentadas ao Controle Interno pelo canal indicado no sítio eletrônico, assegurado o sigilo do denunciante.</w:t>
      </w:r>
    </w:p>
    <w:p>
      <w:pPr>
        <w:pStyle w:val="Heading1"/>
        <w:keepNext/>
        <w:spacing w:after="160" w:before="360"/>
      </w:pPr>
      <w:r>
        <w:rPr>
          <w:rFonts w:ascii="Arial" w:cs="Arial" w:eastAsia="Arial" w:hAnsi="Arial"/>
        </w:rPr>
        <w:t xml:space="preserve">Capítulo IX — Disposições finais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</w:rPr>
        <w:t xml:space="preserve">Art. 30.</w:t>
      </w:r>
      <w:r>
        <w:rPr>
          <w:rFonts w:ascii="Arial" w:cs="Arial" w:eastAsia="Arial" w:hAnsi="Arial"/>
        </w:rPr>
        <w:t xml:space="preserve"> Esta Política será revisada anualmente pela Comissão, com proposta à Diretoria, considerando a atualização dos limites de valor pela União, as alterações nos regulamentos dos parceiros, os resultados dos indicadores e as contribuições dos credenciados.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</w:rPr>
        <w:t xml:space="preserve">Art. 31.</w:t>
      </w:r>
      <w:r>
        <w:rPr>
          <w:rFonts w:ascii="Arial" w:cs="Arial" w:eastAsia="Arial" w:hAnsi="Arial"/>
        </w:rPr>
        <w:t xml:space="preserve"> Os casos omissos serão decididos pela Diretoria, ouvida a Comissão, com base nos princípios do art. 4º e, subsidiariamente, na Lei nº 13.019/2014, no Decreto nº 8.726/2016, na Lei nº 14.133/2021 e na Lei Complementar nº 123/2006.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</w:rPr>
        <w:t xml:space="preserve">Art. 32.</w:t>
      </w:r>
      <w:r>
        <w:rPr>
          <w:rFonts w:ascii="Arial" w:cs="Arial" w:eastAsia="Arial" w:hAnsi="Arial"/>
        </w:rPr>
        <w:t xml:space="preserve"> Esta Política entra em vigor na data de sua aprovação pela Diretoria, aplicando-se às contratações iniciadas a partir de então, e será registrada em ata e anexada aos processos de prestação de contas quando solicitado pelo parceiro público.</w:t>
      </w:r>
    </w:p>
    <w:p>
      <w:pPr>
        <w:spacing w:after="300"/>
      </w:pPr>
    </w:p>
    <w:p>
      <w:pPr>
        <w:spacing w:after="120" w:line="276"/>
        <w:jc w:val="left"/>
      </w:pPr>
      <w:r>
        <w:rPr>
          <w:rFonts w:ascii="Arial" w:cs="Arial" w:eastAsia="Arial" w:hAnsi="Arial"/>
        </w:rPr>
        <w:t xml:space="preserve">Aprovada pela Diretoria Executiva do Instituto NATA em __</w:t>
      </w:r>
      <w:r>
        <w:rPr>
          <w:rFonts w:ascii="Arial" w:cs="Arial" w:eastAsia="Arial" w:hAnsi="Arial"/>
          <w:i/>
          <w:iCs/>
        </w:rPr>
        <w:t xml:space="preserve">/</w:t>
      </w:r>
      <w:r>
        <w:rPr>
          <w:rFonts w:ascii="Arial" w:cs="Arial" w:eastAsia="Arial" w:hAnsi="Arial"/>
          <w:i/>
          <w:iCs/>
        </w:rPr>
        <w:t xml:space="preserve">/</w:t>
      </w:r>
      <w:r>
        <w:rPr>
          <w:rFonts w:ascii="Arial" w:cs="Arial" w:eastAsia="Arial" w:hAnsi="Arial"/>
        </w:rPr>
        <w:t xml:space="preserve">____</w:t>
      </w:r>
      <w:r>
        <w:rPr>
          <w:rFonts w:ascii="Arial" w:cs="Arial" w:eastAsia="Arial" w:hAnsi="Arial"/>
          <w:i/>
          <w:iCs/>
        </w:rPr>
        <w:t xml:space="preserve">, conforme Ata nº </w:t>
      </w:r>
      <w:r>
        <w:rPr>
          <w:rFonts w:ascii="Arial" w:cs="Arial" w:eastAsia="Arial" w:hAnsi="Arial"/>
        </w:rPr>
        <w:t xml:space="preserve">______.</w:t>
      </w:r>
    </w:p>
    <w:p>
      <w:pPr>
        <w:spacing w:after="500"/>
      </w:pPr>
    </w:p>
    <w:p>
      <w:pPr>
        <w:spacing w:after="40" w:line="276"/>
        <w:jc w:val="center"/>
      </w:pPr>
      <w:r>
        <w:rPr>
          <w:rFonts w:ascii="Arial" w:cs="Arial" w:eastAsia="Arial" w:hAnsi="Arial"/>
        </w:rPr>
        <w:t xml:space="preserve">_____________________________________</w:t>
      </w:r>
    </w:p>
    <w:p>
      <w:pPr>
        <w:spacing w:after="300" w:line="276"/>
        <w:jc w:val="center"/>
      </w:pPr>
      <w:r>
        <w:rPr>
          <w:rFonts w:ascii="Arial" w:cs="Arial" w:eastAsia="Arial" w:hAnsi="Arial"/>
        </w:rPr>
        <w:t xml:space="preserve">Presidente</w:t>
      </w:r>
    </w:p>
    <w:p>
      <w:pPr>
        <w:spacing w:after="40" w:line="276"/>
        <w:jc w:val="center"/>
      </w:pPr>
      <w:r>
        <w:rPr>
          <w:rFonts w:ascii="Arial" w:cs="Arial" w:eastAsia="Arial" w:hAnsi="Arial"/>
        </w:rPr>
        <w:t xml:space="preserve">_____________________________________</w:t>
      </w:r>
    </w:p>
    <w:p>
      <w:pPr>
        <w:spacing w:after="120" w:line="276"/>
        <w:jc w:val="center"/>
      </w:pPr>
      <w:r>
        <w:rPr>
          <w:rFonts w:ascii="Arial" w:cs="Arial" w:eastAsia="Arial" w:hAnsi="Arial"/>
        </w:rPr>
        <w:t xml:space="preserve">Diretor(a) Administrativo-Financeiro(a)</w:t>
      </w:r>
    </w:p>
    <w:p>
      <w:r>
        <w:br w:type="page"/>
      </w:r>
    </w:p>
    <w:p>
      <w:pPr>
        <w:pStyle w:val="Heading1"/>
        <w:keepNext/>
        <w:spacing w:after="160" w:before="360"/>
      </w:pPr>
      <w:r>
        <w:rPr>
          <w:rFonts w:ascii="Arial" w:cs="Arial" w:eastAsia="Arial" w:hAnsi="Arial"/>
        </w:rPr>
        <w:t xml:space="preserve">Apêndice — Plano de implantação em 90 dias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2"/>
        <w:gridCol w:w="4819"/>
        <w:gridCol w:w="1735"/>
        <w:gridCol w:w="1542"/>
      </w:tblGrid>
      <w:tr>
        <w:trPr>
          <w:tblHeader/>
        </w:trPr>
        <w:tc>
          <w:tcPr>
            <w:tcW w:type="dxa" w:w="1542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Etapa</w:t>
            </w:r>
          </w:p>
        </w:tc>
        <w:tc>
          <w:tcPr>
            <w:tcW w:type="dxa" w:w="4819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Ações</w:t>
            </w:r>
          </w:p>
        </w:tc>
        <w:tc>
          <w:tcPr>
            <w:tcW w:type="dxa" w:w="1735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Responsável</w:t>
            </w:r>
          </w:p>
        </w:tc>
        <w:tc>
          <w:tcPr>
            <w:tcW w:type="dxa" w:w="1542"/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Prazo</w:t>
            </w:r>
          </w:p>
        </w:tc>
      </w:tr>
      <w:tr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Aprovação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Aprovar a Política em reunião de Diretoria; designar a Comissão por portaria; definir metas anuais de inclusão.</w:t>
            </w:r>
          </w:p>
        </w:tc>
        <w:tc>
          <w:tcPr>
            <w:tcW w:type="dxa" w:w="173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Diretoria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Dias 1–10</w:t>
            </w:r>
          </w:p>
        </w:tc>
      </w:tr>
      <w:tr>
        <w:tc>
          <w:tcPr>
            <w:tcW w:type="dxa" w:w="1542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 Publicação</w:t>
            </w:r>
          </w:p>
        </w:tc>
        <w:tc>
          <w:tcPr>
            <w:tcW w:type="dxa" w:w="4819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Publicar Política, Edital-padrão, Catálogo e formulários no sítio eletrônico; criar formulário online de requerimento; criar e-mail e WhatsApp do Contrata + NATA.</w:t>
            </w:r>
          </w:p>
        </w:tc>
        <w:tc>
          <w:tcPr>
            <w:tcW w:type="dxa" w:w="1735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Comissão + Comunicação</w:t>
            </w:r>
          </w:p>
        </w:tc>
        <w:tc>
          <w:tcPr>
            <w:tcW w:type="dxa" w:w="1542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Dias 10–25</w:t>
            </w:r>
          </w:p>
        </w:tc>
      </w:tr>
      <w:tr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 Mobilização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Reuniões com Sala do Empreendedor de Mesquita, Sebrae/RJ, coletivos de mulheres empreendedoras, associações de moradores e feiras locais; oficina "Como se credenciar".</w:t>
            </w:r>
          </w:p>
        </w:tc>
        <w:tc>
          <w:tcPr>
            <w:tcW w:type="dxa" w:w="173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Comissão + Coordenações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Dias 20–60</w:t>
            </w:r>
          </w:p>
        </w:tc>
      </w:tr>
      <w:tr>
        <w:tc>
          <w:tcPr>
            <w:tcW w:type="dxa" w:w="1542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4. Primeira rodada</w:t>
            </w:r>
          </w:p>
        </w:tc>
        <w:tc>
          <w:tcPr>
            <w:tcW w:type="dxa" w:w="4819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Receber e analisar requerimentos; publicar primeira lista de credenciados; alimentar o Banco de Preços.</w:t>
            </w:r>
          </w:p>
        </w:tc>
        <w:tc>
          <w:tcPr>
            <w:tcW w:type="dxa" w:w="1735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Comissão + Financeiro</w:t>
            </w:r>
          </w:p>
        </w:tc>
        <w:tc>
          <w:tcPr>
            <w:tcW w:type="dxa" w:w="1542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Dias 30–70</w:t>
            </w:r>
          </w:p>
        </w:tc>
      </w:tr>
      <w:tr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5. Operação assistida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Executar as primeiras contratações pelo novo fluxo; ajustar formulários; treinar gestores de demanda.</w:t>
            </w:r>
          </w:p>
        </w:tc>
        <w:tc>
          <w:tcPr>
            <w:tcW w:type="dxa" w:w="173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Comissão + Gestores</w:t>
            </w:r>
          </w:p>
        </w:tc>
        <w:tc>
          <w:tcPr>
            <w:tcW w:type="dxa" w:w="154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Dias 60–90</w:t>
            </w:r>
          </w:p>
        </w:tc>
      </w:tr>
      <w:tr>
        <w:tc>
          <w:tcPr>
            <w:tcW w:type="dxa" w:w="1542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6. Primeiro relatório</w:t>
            </w:r>
          </w:p>
        </w:tc>
        <w:tc>
          <w:tcPr>
            <w:tcW w:type="dxa" w:w="4819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Consolidar indicadores; apresentar à Diretoria; revisar a Política se necessário.</w:t>
            </w:r>
          </w:p>
        </w:tc>
        <w:tc>
          <w:tcPr>
            <w:tcW w:type="dxa" w:w="1735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Comissão</w:t>
            </w:r>
          </w:p>
        </w:tc>
        <w:tc>
          <w:tcPr>
            <w:tcW w:type="dxa" w:w="1542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Dia 90 e semestralmente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Página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6"/>
        <w:szCs w:val="16"/>
      </w:rPr>
      <w:t xml:space="preserve"> de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BBBBB" w:sz="4" w:space="4"/>
      </w:pBdr>
      <w:jc w:val="right"/>
    </w:pPr>
    <w:r>
      <w:rPr>
        <w:rFonts w:ascii="Arial" w:cs="Arial" w:eastAsia="Arial" w:hAnsi="Arial"/>
        <w:color w:val="666666"/>
        <w:sz w:val="16"/>
        <w:szCs w:val="16"/>
      </w:rPr>
      <w:t xml:space="preserve">Instituto NATA  |  Contrata + NATA  |  Política de Credenciamento e Contratação de Fornecedores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lowerRoman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4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720" w:hanging="360"/>
      </w:pPr>
    </w:lvl>
  </w:abstractNum>
  <w:abstractNum w:abstractNumId="45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720" w:hanging="360"/>
      </w:pPr>
    </w:lvl>
  </w:abstractNum>
  <w:abstractNum w:abstractNumId="46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720" w:hanging="360"/>
      </w:pPr>
    </w:lvl>
  </w:abstractNum>
  <w:abstractNum w:abstractNumId="47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720" w:hanging="360"/>
      </w:pPr>
    </w:lvl>
  </w:abstractNum>
  <w:abstractNum w:abstractNumId="48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720" w:hanging="360"/>
      </w:pPr>
    </w:lvl>
  </w:abstractNum>
  <w:abstractNum w:abstractNumId="49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720" w:hanging="360"/>
      </w:pPr>
    </w:lvl>
  </w:abstractNum>
  <w:abstractNum w:abstractNumId="50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720" w:hanging="360"/>
      </w:pPr>
    </w:lvl>
  </w:abstractNum>
  <w:abstractNum w:abstractNumId="51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720" w:hanging="360"/>
      </w:pPr>
    </w:lvl>
  </w:abstractNum>
  <w:abstractNum w:abstractNumId="52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720" w:hanging="360"/>
      </w:pPr>
    </w:lvl>
  </w:abstractNum>
  <w:abstractNum w:abstractNumId="53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720" w:hanging="360"/>
      </w:pPr>
    </w:lvl>
  </w:abstractNum>
  <w:abstractNum w:abstractNumId="54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720" w:hanging="360"/>
      </w:pPr>
    </w:lvl>
  </w:abstractNum>
  <w:abstractNum w:abstractNumId="55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720" w:hanging="360"/>
      </w:pPr>
    </w:lvl>
  </w:abstractNum>
  <w:abstractNum w:abstractNumId="56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720" w:hanging="360"/>
      </w:pPr>
    </w:lvl>
  </w:abstractNum>
  <w:abstractNum w:abstractNumId="57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720" w:hanging="360"/>
      </w:pPr>
    </w:lvl>
  </w:abstractNum>
  <w:abstractNum w:abstractNumId="58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720" w:hanging="360"/>
      </w:pPr>
    </w:lvl>
  </w:abstractNum>
  <w:abstractNum w:abstractNumId="59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720" w:hanging="360"/>
      </w:pPr>
    </w:lvl>
  </w:abstractNum>
  <w:abstractNum w:abstractNumId="60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720" w:hanging="360"/>
      </w:pPr>
    </w:lvl>
  </w:abstractNum>
  <w:abstractNum w:abstractNumId="61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720" w:hanging="360"/>
      </w:pPr>
    </w:lvl>
  </w:abstractNum>
  <w:abstractNum w:abstractNumId="62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720" w:hanging="360"/>
      </w:pPr>
    </w:lvl>
  </w:abstractNum>
  <w:abstractNum w:abstractNumId="63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720" w:hanging="360"/>
      </w:pPr>
    </w:lvl>
  </w:abstractNum>
  <w:abstractNum w:abstractNumId="64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720" w:hanging="360"/>
      </w:pPr>
    </w:lvl>
  </w:abstractNum>
  <w:abstractNum w:abstractNumId="65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720" w:hanging="360"/>
      </w:pPr>
    </w:lvl>
  </w:abstractNum>
  <w:abstractNum w:abstractNumId="66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720" w:hanging="360"/>
      </w:pPr>
    </w:lvl>
  </w:abstractNum>
  <w:abstractNum w:abstractNumId="67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720" w:hanging="360"/>
      </w:pPr>
    </w:lvl>
  </w:abstractNum>
  <w:abstractNum w:abstractNumId="68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720" w:hanging="360"/>
      </w:pPr>
    </w:lvl>
  </w:abstractNum>
  <w:abstractNum w:abstractNumId="69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720" w:hanging="360"/>
      </w:pPr>
    </w:lvl>
  </w:abstractNum>
  <w:abstractNum w:abstractNumId="70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720" w:hanging="360"/>
      </w:pPr>
    </w:lvl>
  </w:abstractNum>
  <w:abstractNum w:abstractNumId="71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720" w:hanging="360"/>
      </w:pPr>
    </w:lvl>
  </w:abstractNum>
  <w:abstractNum w:abstractNumId="72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720" w:hanging="360"/>
      </w:pPr>
    </w:lvl>
  </w:abstractNum>
  <w:abstractNum w:abstractNumId="73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720" w:hanging="360"/>
      </w:pPr>
    </w:lvl>
  </w:abstractNum>
  <w:abstractNum w:abstractNumId="74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720" w:hanging="360"/>
      </w:pPr>
    </w:lvl>
  </w:abstractNum>
  <w:abstractNum w:abstractNumId="75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720" w:hanging="360"/>
      </w:pPr>
    </w:lvl>
  </w:abstractNum>
  <w:abstractNum w:abstractNumId="76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720" w:hanging="360"/>
      </w:pPr>
    </w:lvl>
  </w:abstractNum>
  <w:abstractNum w:abstractNumId="77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720" w:hanging="360"/>
      </w:pPr>
    </w:lvl>
  </w:abstractNum>
  <w:abstractNum w:abstractNumId="78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720" w:hanging="360"/>
      </w:pPr>
    </w:lvl>
  </w:abstractNum>
  <w:abstractNum w:abstractNumId="79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720" w:hanging="360"/>
      </w:pPr>
    </w:lvl>
  </w:abstractNum>
  <w:abstractNum w:abstractNumId="80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720" w:hanging="360"/>
      </w:pPr>
    </w:lvl>
  </w:abstractNum>
  <w:abstractNum w:abstractNumId="81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720" w:hanging="360"/>
      </w:pPr>
    </w:lvl>
  </w:abstractNum>
  <w:abstractNum w:abstractNumId="82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720" w:hanging="360"/>
      </w:pPr>
    </w:lvl>
  </w:abstractNum>
  <w:abstractNum w:abstractNumId="83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Arial" w:cs="Arial" w:eastAsia="Arial" w:hAnsi="Arial"/>
      <w:b/>
      <w:bCs/>
      <w:color w:val="1B7F79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F3A5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Política de Credenciamento e Contratação de Fornecedores</dc:title>
  <dc:creator>Instituto NATA</dc:creator>
  <cp:lastModifiedBy>Un-named</cp:lastModifiedBy>
  <cp:revision>1</cp:revision>
  <dcterms:created xsi:type="dcterms:W3CDTF">2026-09-14T02:24:46.306Z</dcterms:created>
  <dcterms:modified xsi:type="dcterms:W3CDTF">2026-09-14T02:24:46.324Z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