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120"/>
      </w:pPr>
      <w:r>
        <w:rPr>
          <w:b/>
          <w:bCs/>
          <w:color w:val="3B6EA5"/>
          <w:spacing w:val="60"/>
          <w:sz w:val="22"/>
          <w:szCs w:val="22"/>
        </w:rPr>
        <w:t xml:space="preserve">INFORME EJECUTIVO</w:t>
      </w:r>
    </w:p>
    <w:p>
      <w:pPr>
        <w:spacing w:after="200"/>
      </w:pPr>
      <w:r>
        <w:rPr>
          <w:b/>
          <w:bCs/>
          <w:color w:val="1F2937"/>
          <w:sz w:val="60"/>
          <w:szCs w:val="60"/>
        </w:rPr>
        <w:t xml:space="preserve">Cartera de clientes de Olist</w:t>
      </w:r>
    </w:p>
    <w:p>
      <w:pPr>
        <w:pBdr>
          <w:bottom w:val="single" w:color="3B6EA5" w:sz="18" w:space="14"/>
        </w:pBdr>
        <w:spacing w:after="500"/>
      </w:pPr>
      <w:r>
        <w:rPr>
          <w:color w:val="6B7280"/>
          <w:sz w:val="30"/>
          <w:szCs w:val="30"/>
        </w:rPr>
        <w:t xml:space="preserve">Por qué los clientes no repiten y qué hacer al respecto</w:t>
      </w:r>
    </w:p>
    <w:p>
      <w:pPr>
        <w:spacing w:after="120" w:line="288"/>
      </w:pPr>
      <w:r>
        <w:rPr>
          <w:color w:val="1F2937"/>
          <w:sz w:val="22"/>
          <w:szCs w:val="22"/>
        </w:rPr>
        <w:t xml:space="preserve">Análisis de 96.203 pedidos entregados entre enero de 2017 y agosto de 2018</w:t>
      </w:r>
    </w:p>
    <w:p>
      <w:pPr>
        <w:spacing w:after="2600"/>
      </w:pPr>
    </w:p>
    <w:p>
      <w:pPr>
        <w:spacing w:after="120" w:line="288"/>
      </w:pPr>
      <w:r>
        <w:rPr>
          <w:b/>
          <w:bCs/>
          <w:color w:val="1F2937"/>
          <w:sz w:val="21"/>
          <w:szCs w:val="21"/>
        </w:rPr>
        <w:t xml:space="preserve">Elaborado por: Miguel Martín-Caro</w:t>
      </w:r>
    </w:p>
    <w:p>
      <w:pPr>
        <w:spacing w:after="120" w:line="288"/>
      </w:pPr>
      <w:r>
        <w:rPr>
          <w:color w:val="1F2937"/>
          <w:sz w:val="21"/>
          <w:szCs w:val="21"/>
        </w:rPr>
        <w:t xml:space="preserve">Fecha: octubre de 2026</w:t>
      </w:r>
    </w:p>
    <w:p>
      <w:pPr>
        <w:spacing w:after="500"/>
      </w:pPr>
    </w:p>
    <w:p>
      <w:pPr>
        <w:spacing w:after="120" w:line="288"/>
      </w:pPr>
      <w:r>
        <w:rPr>
          <w:i/>
          <w:iCs/>
          <w:color w:val="6B7280"/>
          <w:sz w:val="17"/>
          <w:szCs w:val="17"/>
        </w:rPr>
        <w:t xml:space="preserve">Proyecto de portfolio elaborado con el conjunto de datos público de Olist (Brazilian E-Commerce Public Dataset). No es un encargo real de la compañía. Los importes están en reales brasileños (R$).</w:t>
      </w:r>
    </w:p>
    <w:p>
      <w:r>
        <w:br w:type="page"/>
      </w:r>
    </w:p>
    <w:p>
      <w:pPr>
        <w:sectPr>
          <w:pgSz w:w="11906" w:h="16838" w:orient="portrait"/>
          <w:pgMar w:top="1247" w:right="1247" w:bottom="1247" w:left="1247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3B6EA5" w:sz="8" w:space="4"/>
        </w:pBdr>
        <w:spacing w:after="140" w:before="320"/>
      </w:pPr>
      <w:r>
        <w:rPr>
          <w:b/>
          <w:bCs/>
          <w:color w:val="3B6EA5"/>
          <w:sz w:val="30"/>
          <w:szCs w:val="30"/>
        </w:rPr>
        <w:t xml:space="preserve">1. Resumen ejecutivo</w:t>
      </w:r>
    </w:p>
    <w:p>
      <w:pPr>
        <w:spacing w:after="120" w:line="288"/>
      </w:pPr>
      <w:r>
        <w:rPr>
          <w:b w:val="false"/>
          <w:bCs w:val="false"/>
          <w:color w:val="1F2937"/>
          <w:sz w:val="21"/>
          <w:szCs w:val="21"/>
        </w:rPr>
        <w:t xml:space="preserve"/>
      </w:r>
      <w:r>
        <w:rPr>
          <w:b/>
          <w:bCs/>
          <w:color w:val="1F2937"/>
          <w:sz w:val="21"/>
          <w:szCs w:val="21"/>
        </w:rPr>
        <w:t xml:space="preserve">Pregunta de dirección.</w:t>
      </w:r>
      <w:r>
        <w:rPr>
          <w:b w:val="false"/>
          <w:bCs w:val="false"/>
          <w:color w:val="1F2937"/>
          <w:sz w:val="21"/>
          <w:szCs w:val="21"/>
        </w:rPr>
        <w:t xml:space="preserve"> Casi ningún cliente repite compra: ¿quiénes son nuestros clientes valiosos, por qué no vuelven y qué hacemos?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c>
          <w:tcPr>
            <w:tcW w:type="dxa" w:w="9412"/>
            <w:tcBorders>
              <w:top w:val="none"/>
              <w:left w:val="single" w:color="3B6EA5" w:sz="24"/>
              <w:bottom w:val="none"/>
              <w:right w:val="none"/>
            </w:tcBorders>
            <w:shd w:fill="EEF3F9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3B6EA5"/>
                <w:sz w:val="20"/>
                <w:szCs w:val="20"/>
              </w:rPr>
              <w:t xml:space="preserve">Conclusión</w:t>
            </w:r>
          </w:p>
          <w:p>
            <w:pPr>
              <w:spacing w:line="290"/>
            </w:pPr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Olist funciona hoy como un negocio de compra única: </w:t>
            </w:r>
            <w:r>
              <w:rPr>
                <w:b/>
                <w:bCs/>
                <w:color w:val="1F2937"/>
                <w:sz w:val="22"/>
                <w:szCs w:val="22"/>
              </w:rPr>
              <w:t xml:space="preserve">el 97 % de los clientes compra una sola vez</w:t>
            </w:r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. El principal factor que podemos gestionar es la experiencia de entrega: </w:t>
            </w:r>
            <w:r>
              <w:rPr>
                <w:b/>
                <w:bCs/>
                <w:color w:val="1F2937"/>
                <w:sz w:val="22"/>
                <w:szCs w:val="22"/>
              </w:rPr>
              <w:t xml:space="preserve">uno de cada ocho pedidos termina con 1 o 2 estrellas</w:t>
            </w:r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, y esa proporción sube al 78 % cuando el pedido llega con más de una semana de retraso. El valor, además, está concentrado: </w:t>
            </w:r>
            <w:r>
              <w:rPr>
                <w:b/>
                <w:bCs/>
                <w:color w:val="1F2937"/>
                <w:sz w:val="22"/>
                <w:szCs w:val="22"/>
              </w:rPr>
              <w:t xml:space="preserve">el 18 % de los clientes genera el 49 % de los ingresos</w:t>
            </w:r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.</w:t>
            </w:r>
          </w:p>
        </w:tc>
      </w:tr>
    </w:tbl>
    <w:p>
      <w:pPr>
        <w:spacing w:after="160"/>
      </w:pPr>
    </w:p>
    <w:p>
      <w:pPr>
        <w:pStyle w:val="Heading2"/>
        <w:spacing w:after="100" w:before="220"/>
      </w:pPr>
      <w:r>
        <w:rPr>
          <w:b/>
          <w:bCs/>
          <w:color w:val="1F2937"/>
          <w:sz w:val="23"/>
          <w:szCs w:val="23"/>
        </w:rPr>
        <w:t xml:space="preserve">Tres mensajes clave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 w:val="false"/>
          <w:bCs w:val="false"/>
          <w:color w:val="1F2937"/>
          <w:sz w:val="21"/>
          <w:szCs w:val="21"/>
        </w:rPr>
        <w:t xml:space="preserve"/>
      </w:r>
      <w:r>
        <w:rPr>
          <w:b/>
          <w:bCs/>
          <w:color w:val="1F2937"/>
          <w:sz w:val="21"/>
          <w:szCs w:val="21"/>
        </w:rPr>
        <w:t xml:space="preserve">No hay fidelización.</w:t>
      </w:r>
      <w:r>
        <w:rPr>
          <w:b w:val="false"/>
          <w:bCs w:val="false"/>
          <w:color w:val="1F2937"/>
          <w:sz w:val="21"/>
          <w:szCs w:val="21"/>
        </w:rPr>
        <w:t xml:space="preserve"> De 93.096 clientes, solo 2.789 han comprado más de una vez. Menos del 0,5 % de los clientes de un mes vuelve a comprar al mes siguiente.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 w:val="false"/>
          <w:bCs w:val="false"/>
          <w:color w:val="1F2937"/>
          <w:sz w:val="21"/>
          <w:szCs w:val="21"/>
        </w:rPr>
        <w:t xml:space="preserve"/>
      </w:r>
      <w:r>
        <w:rPr>
          <w:b/>
          <w:bCs/>
          <w:color w:val="1F2937"/>
          <w:sz w:val="21"/>
          <w:szCs w:val="21"/>
        </w:rPr>
        <w:t xml:space="preserve">La entrega decide la valoración.</w:t>
      </w:r>
      <w:r>
        <w:rPr>
          <w:b w:val="false"/>
          <w:bCs w:val="false"/>
          <w:color w:val="1F2937"/>
          <w:sz w:val="21"/>
          <w:szCs w:val="21"/>
        </w:rPr>
        <w:t xml:space="preserve"> Los pedidos a tiempo reciben mala nota en el 9,2 % de los casos; con 4 a 7 días de retraso, en el 61,3 %; con más de 7 días, en el 78,4 %. Los pedidos servidos por varios vendedores llegan al 47,1 % aunque casi nunca se retrasan.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 w:val="false"/>
          <w:bCs w:val="false"/>
          <w:color w:val="1F2937"/>
          <w:sz w:val="21"/>
          <w:szCs w:val="21"/>
        </w:rPr>
        <w:t xml:space="preserve"/>
      </w:r>
      <w:r>
        <w:rPr>
          <w:b/>
          <w:bCs/>
          <w:color w:val="1F2937"/>
          <w:sz w:val="21"/>
          <w:szCs w:val="21"/>
        </w:rPr>
        <w:t xml:space="preserve">El valor está concentrado e inactivo.</w:t>
      </w:r>
      <w:r>
        <w:rPr>
          <w:b w:val="false"/>
          <w:bCs w:val="false"/>
          <w:color w:val="1F2937"/>
          <w:sz w:val="21"/>
          <w:szCs w:val="21"/>
        </w:rPr>
        <w:t xml:space="preserve"> El segmento con más ingresos (28,7 %) lo forman 10.137 clientes de gasto alto que no compran desde hace más de seis meses.</w:t>
      </w:r>
    </w:p>
    <w:p>
      <w:pPr>
        <w:pStyle w:val="Heading2"/>
        <w:spacing w:after="100" w:before="220"/>
      </w:pPr>
      <w:r>
        <w:rPr>
          <w:b/>
          <w:bCs/>
          <w:color w:val="1F2937"/>
          <w:sz w:val="23"/>
          <w:szCs w:val="23"/>
        </w:rPr>
        <w:t xml:space="preserve">Recomendaciones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712"/>
        <w:gridCol w:w="2700"/>
      </w:tblGrid>
      <w:tr>
        <w:trPr>
          <w:tblHeader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3B6EA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Acción</w:t>
            </w:r>
          </w:p>
        </w:tc>
        <w:tc>
          <w:tcPr>
            <w:tcW w:type="dxa" w:w="37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3B6EA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Evidencia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3B6EA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Indicador de seguimiento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  <w:r>
              <w:rPr>
                <w:b/>
                <w:bCs/>
                <w:color w:val="1F2937"/>
                <w:sz w:val="19"/>
                <w:szCs w:val="19"/>
              </w:rPr>
              <w:t xml:space="preserve">1. Eliminar los retrasos de más de 3 días</w:t>
            </w: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37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5.162 pedidos; concentran 3.636 de las 12.228 malas notas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% de pedidos con más de 3 días de retraso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  <w:r>
              <w:rPr>
                <w:b/>
                <w:bCs/>
                <w:color w:val="1F2937"/>
                <w:sz w:val="19"/>
                <w:szCs w:val="19"/>
              </w:rPr>
              <w:t xml:space="preserve">2. Revisar los pedidos de varios vendedores</w:t>
            </w: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37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1.272 pedidos con un 47,1 % de mala nota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% de mala nota en pedidos multivendedor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  <w:r>
              <w:rPr>
                <w:b/>
                <w:bCs/>
                <w:color w:val="1F2937"/>
                <w:sz w:val="19"/>
                <w:szCs w:val="19"/>
              </w:rPr>
              <w:t xml:space="preserve">3. Contacto proactivo tras la entrega</w:t>
            </w: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37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El 10 % de pedidos con más riesgo según el modelo contiene el 41,6 % de las malas notas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Nota media de los pedidos contactados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  <w:r>
              <w:rPr>
                <w:b/>
                <w:bCs/>
                <w:color w:val="1F2937"/>
                <w:sz w:val="19"/>
                <w:szCs w:val="19"/>
              </w:rPr>
              <w:t xml:space="preserve">4. Reactivar a los clientes de alto valor inactivos</w:t>
            </w: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37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10.137 clientes; gasto medio de 436 R$; 28,7 % de los ingresos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Tasa de recompra del segmento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  <w:r>
              <w:rPr>
                <w:b/>
                <w:bCs/>
                <w:color w:val="1F2937"/>
                <w:sz w:val="19"/>
                <w:szCs w:val="19"/>
              </w:rPr>
              <w:t xml:space="preserve">5. Incentivar la segunda compra en 30 días</w:t>
            </w: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37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La mitad de las recompras ocurre en los primeros 30 días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% de clientes que repiten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B6EA5" w:sz="8" w:space="4"/>
        </w:pBdr>
        <w:spacing w:after="140" w:before="320"/>
      </w:pPr>
      <w:r>
        <w:rPr>
          <w:b/>
          <w:bCs/>
          <w:color w:val="3B6EA5"/>
          <w:sz w:val="30"/>
          <w:szCs w:val="30"/>
        </w:rPr>
        <w:t xml:space="preserve">2. Situación del negocio</w:t>
      </w:r>
    </w:p>
    <w:p>
      <w:pPr>
        <w:spacing w:after="120" w:line="288"/>
      </w:pPr>
      <w:r>
        <w:rPr>
          <w:b w:val="false"/>
          <w:bCs w:val="false"/>
          <w:color w:val="1F2937"/>
          <w:sz w:val="21"/>
          <w:szCs w:val="21"/>
        </w:rPr>
        <w:t xml:space="preserve">El análisis cubre los </w:t>
      </w:r>
      <w:r>
        <w:rPr>
          <w:b/>
          <w:bCs/>
          <w:color w:val="1F2937"/>
          <w:sz w:val="21"/>
          <w:szCs w:val="21"/>
        </w:rPr>
        <w:t xml:space="preserve">pedidos entregados entre enero de 2017 y agosto de 2018</w:t>
      </w:r>
      <w:r>
        <w:rPr>
          <w:b w:val="false"/>
          <w:bCs w:val="false"/>
          <w:color w:val="1F2937"/>
          <w:sz w:val="21"/>
          <w:szCs w:val="21"/>
        </w:rPr>
        <w:t xml:space="preserve">, el periodo con datos completos.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12"/>
        <w:gridCol w:w="3000"/>
      </w:tblGrid>
      <w:tr>
        <w:trPr>
          <w:tblHeader/>
        </w:trPr>
        <w:tc>
          <w:tcPr>
            <w:tcW w:type="dxa" w:w="64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3B6EA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Indicador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3B6EA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64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Ingresos (producto y envío)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jc w:val="righ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15,38 millones R$</w:t>
            </w:r>
          </w:p>
        </w:tc>
      </w:tr>
      <w:tr>
        <w:tc>
          <w:tcPr>
            <w:tcW w:type="dxa" w:w="64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Pedidos entregados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jc w:val="righ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96.203</w:t>
            </w:r>
          </w:p>
        </w:tc>
      </w:tr>
      <w:tr>
        <w:tc>
          <w:tcPr>
            <w:tcW w:type="dxa" w:w="64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Clientes únicos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jc w:val="righ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93.096</w:t>
            </w:r>
          </w:p>
        </w:tc>
      </w:tr>
      <w:tr>
        <w:tc>
          <w:tcPr>
            <w:tcW w:type="dxa" w:w="64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Ticket medio por pedido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jc w:val="righ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159,83 R$</w:t>
            </w:r>
          </w:p>
        </w:tc>
      </w:tr>
      <w:tr>
        <w:tc>
          <w:tcPr>
            <w:tcW w:type="dxa" w:w="64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Clientes que repiten compra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jc w:val="righ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3,0 %</w:t>
            </w:r>
          </w:p>
        </w:tc>
      </w:tr>
      <w:tr>
        <w:tc>
          <w:tcPr>
            <w:tcW w:type="dxa" w:w="64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Plazo medio de entrega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jc w:val="righ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12,5 días</w:t>
            </w:r>
          </w:p>
        </w:tc>
      </w:tr>
      <w:tr>
        <w:tc>
          <w:tcPr>
            <w:tcW w:type="dxa" w:w="64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Pedidos entregados con retraso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jc w:val="righ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8,1 %</w:t>
            </w:r>
          </w:p>
        </w:tc>
      </w:tr>
      <w:tr>
        <w:tc>
          <w:tcPr>
            <w:tcW w:type="dxa" w:w="64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Valoración media (de 1 a 5)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jc w:val="righ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4,16</w:t>
            </w:r>
          </w:p>
        </w:tc>
      </w:tr>
      <w:tr>
        <w:tc>
          <w:tcPr>
            <w:tcW w:type="dxa" w:w="64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Pedidos con mala nota (1 o 2 estrellas)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jc w:val="righ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12,8 %</w:t>
            </w:r>
          </w:p>
        </w:tc>
      </w:tr>
    </w:tbl>
    <w:p>
      <w:pPr>
        <w:spacing w:after="120"/>
      </w:pPr>
    </w:p>
    <w:p>
      <w:pPr>
        <w:spacing w:after="120" w:line="288"/>
      </w:pPr>
      <w:r>
        <w:rPr>
          <w:b w:val="false"/>
          <w:bCs w:val="false"/>
          <w:color w:val="1F2937"/>
          <w:sz w:val="21"/>
          <w:szCs w:val="21"/>
        </w:rPr>
        <w:t xml:space="preserve">Los ingresos mensuales se multiplicaron por nueve durante 2017, de 0,13 a 1,15 millones, con un máximo en noviembre por el Black Friday. </w:t>
      </w:r>
      <w:r>
        <w:rPr>
          <w:b/>
          <w:bCs/>
          <w:color w:val="1F2937"/>
          <w:sz w:val="21"/>
          <w:szCs w:val="21"/>
        </w:rPr>
        <w:t xml:space="preserve">Desde enero de 2018 el negocio se mantiene en torno a un millón mensual, sin crecimiento.</w:t>
      </w:r>
      <w:r>
        <w:rPr>
          <w:b w:val="false"/>
          <w:bCs w:val="false"/>
          <w:color w:val="1F2937"/>
          <w:sz w:val="21"/>
          <w:szCs w:val="21"/>
        </w:rPr>
        <w:t xml:space="preserve"> Con una base de clientes que no repite, crecer exige captar clientes nuevos de forma continua.</w:t>
      </w:r>
    </w:p>
    <w:p>
      <w:pPr>
        <w:spacing w:before="120"/>
        <w:jc w:val="center"/>
      </w:pPr>
      <w:r>
        <w:drawing>
          <wp:inline distT="0" distB="0" distL="0" distR="0">
            <wp:extent cx="5334000" cy="215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color w:val="6B7280"/>
          <w:sz w:val="17"/>
          <w:szCs w:val="17"/>
        </w:rPr>
        <w:t xml:space="preserve">Figura 1. Ingresos mensuales, en millones de reales.</w:t>
      </w:r>
    </w:p>
    <w:p>
      <w:pPr>
        <w:spacing w:after="120" w:line="288"/>
      </w:pPr>
      <w:r>
        <w:rPr>
          <w:b w:val="false"/>
          <w:bCs w:val="false"/>
          <w:color w:val="1F2937"/>
          <w:sz w:val="21"/>
          <w:szCs w:val="21"/>
        </w:rPr>
        <w:t xml:space="preserve">Las ventas están concentradas: el estado de São Paulo aporta el 37,4 % de los ingresos y, junto con Río de Janeiro y Minas Gerais, el 62,5 %. Siete de las 74 categorías suman la mitad de las ventas de producto, con «Salud y belleza», «Relojes y regalos» y «Cama, baño y mesa» a la cabeza.</w:t>
      </w:r>
    </w:p>
    <w:p>
      <w:r>
        <w:br w:type="page"/>
      </w:r>
    </w:p>
    <w:p>
      <w:pPr>
        <w:pStyle w:val="Heading1"/>
        <w:pBdr>
          <w:bottom w:val="single" w:color="3B6EA5" w:sz="8" w:space="4"/>
        </w:pBdr>
        <w:spacing w:after="140" w:before="320"/>
      </w:pPr>
      <w:r>
        <w:rPr>
          <w:b/>
          <w:bCs/>
          <w:color w:val="3B6EA5"/>
          <w:sz w:val="30"/>
          <w:szCs w:val="30"/>
        </w:rPr>
        <w:t xml:space="preserve">3. Los clientes no repiten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12"/>
        <w:gridCol w:w="2500"/>
        <w:gridCol w:w="2500"/>
      </w:tblGrid>
      <w:tr>
        <w:trPr>
          <w:tblHeader/>
        </w:trPr>
        <w:tc>
          <w:tcPr>
            <w:tcW w:type="dxa" w:w="44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3B6EA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Pedidos por cliente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3B6EA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Clientes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3B6EA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% del total</w:t>
            </w:r>
          </w:p>
        </w:tc>
      </w:tr>
      <w:tr>
        <w:tc>
          <w:tcPr>
            <w:tcW w:type="dxa" w:w="44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 pedido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jc w:val="righ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90.307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jc w:val="righ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97,00 %</w:t>
            </w:r>
          </w:p>
        </w:tc>
      </w:tr>
      <w:tr>
        <w:tc>
          <w:tcPr>
            <w:tcW w:type="dxa" w:w="44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2 pedidos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jc w:val="righ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2.562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jc w:val="righ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2,75 %</w:t>
            </w:r>
          </w:p>
        </w:tc>
      </w:tr>
      <w:tr>
        <w:tc>
          <w:tcPr>
            <w:tcW w:type="dxa" w:w="44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3 pedidos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jc w:val="righ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180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jc w:val="righ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0,19 %</w:t>
            </w:r>
          </w:p>
        </w:tc>
      </w:tr>
      <w:tr>
        <w:tc>
          <w:tcPr>
            <w:tcW w:type="dxa" w:w="44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4 o más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jc w:val="righ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47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jc w:val="righ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0,05 %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 w:val="false"/>
          <w:bCs w:val="false"/>
          <w:color w:val="1F2937"/>
          <w:sz w:val="21"/>
          <w:szCs w:val="21"/>
        </w:rPr>
        <w:t xml:space="preserve"/>
      </w:r>
      <w:r>
        <w:rPr>
          <w:b/>
          <w:bCs/>
          <w:color w:val="1F2937"/>
          <w:sz w:val="21"/>
          <w:szCs w:val="21"/>
        </w:rPr>
        <w:t xml:space="preserve">La retención es casi nula.</w:t>
      </w:r>
      <w:r>
        <w:rPr>
          <w:b w:val="false"/>
          <w:bCs w:val="false"/>
          <w:color w:val="1F2937"/>
          <w:sz w:val="21"/>
          <w:szCs w:val="21"/>
        </w:rPr>
        <w:t xml:space="preserve"> De los clientes que compran por primera vez en un mes, vuelve el 0,48 % al mes siguiente y entre el 0,2 % y el 0,3 % en los meses posteriores. Ninguna cohorte mensual supera el 0,7 %.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 w:val="false"/>
          <w:bCs w:val="false"/>
          <w:color w:val="1F2937"/>
          <w:sz w:val="21"/>
          <w:szCs w:val="21"/>
        </w:rPr>
        <w:t xml:space="preserve"/>
      </w:r>
      <w:r>
        <w:rPr>
          <w:b/>
          <w:bCs/>
          <w:color w:val="1F2937"/>
          <w:sz w:val="21"/>
          <w:szCs w:val="21"/>
        </w:rPr>
        <w:t xml:space="preserve">Parte de las recompras no lo son.</w:t>
      </w:r>
      <w:r>
        <w:rPr>
          <w:b w:val="false"/>
          <w:bCs w:val="false"/>
          <w:color w:val="1F2937"/>
          <w:sz w:val="21"/>
          <w:szCs w:val="21"/>
        </w:rPr>
        <w:t xml:space="preserve"> De las 3.107 recompras registradas, el 29,6 % se produce el mismo día que la compra anterior: son pedidos partidos, no clientes que regresan. La fidelidad real es inferior al 3 %.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 w:val="false"/>
          <w:bCs w:val="false"/>
          <w:color w:val="1F2937"/>
          <w:sz w:val="21"/>
          <w:szCs w:val="21"/>
        </w:rPr>
        <w:t xml:space="preserve"/>
      </w:r>
      <w:r>
        <w:rPr>
          <w:b/>
          <w:bCs/>
          <w:color w:val="1F2937"/>
          <w:sz w:val="21"/>
          <w:szCs w:val="21"/>
        </w:rPr>
        <w:t xml:space="preserve">Quien repite vale el doble.</w:t>
      </w:r>
      <w:r>
        <w:rPr>
          <w:b w:val="false"/>
          <w:bCs w:val="false"/>
          <w:color w:val="1F2937"/>
          <w:sz w:val="21"/>
          <w:szCs w:val="21"/>
        </w:rPr>
        <w:t xml:space="preserve"> Un cliente recurrente gasta de media 309 R$, frente a 161 R$ del cliente de compra única.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 w:val="false"/>
          <w:bCs w:val="false"/>
          <w:color w:val="1F2937"/>
          <w:sz w:val="21"/>
          <w:szCs w:val="21"/>
        </w:rPr>
        <w:t xml:space="preserve"/>
      </w:r>
      <w:r>
        <w:rPr>
          <w:b/>
          <w:bCs/>
          <w:color w:val="1F2937"/>
          <w:sz w:val="21"/>
          <w:szCs w:val="21"/>
        </w:rPr>
        <w:t xml:space="preserve">La ventana es corta.</w:t>
      </w:r>
      <w:r>
        <w:rPr>
          <w:b w:val="false"/>
          <w:bCs w:val="false"/>
          <w:color w:val="1F2937"/>
          <w:sz w:val="21"/>
          <w:szCs w:val="21"/>
        </w:rPr>
        <w:t xml:space="preserve"> La mitad de las recompras ocurre en los primeros 30 días.</w:t>
      </w:r>
    </w:p>
    <w:p>
      <w:pPr>
        <w:pStyle w:val="Heading1"/>
        <w:pBdr>
          <w:bottom w:val="single" w:color="3B6EA5" w:sz="8" w:space="4"/>
        </w:pBdr>
        <w:spacing w:after="140" w:before="320"/>
      </w:pPr>
      <w:r>
        <w:rPr>
          <w:b/>
          <w:bCs/>
          <w:color w:val="3B6EA5"/>
          <w:sz w:val="30"/>
          <w:szCs w:val="30"/>
        </w:rPr>
        <w:t xml:space="preserve">4. La entrega decide la valoración</w:t>
      </w:r>
    </w:p>
    <w:p>
      <w:pPr>
        <w:spacing w:after="120" w:line="288"/>
      </w:pPr>
      <w:r>
        <w:rPr>
          <w:b w:val="false"/>
          <w:bCs w:val="false"/>
          <w:color w:val="1F2937"/>
          <w:sz w:val="21"/>
          <w:szCs w:val="21"/>
        </w:rPr>
        <w:t xml:space="preserve">El 12,8 % de los pedidos valorados, 12.228 en total, recibe 1 o 2 estrellas. La relación con el cumplimiento del plazo es muy marcada: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12"/>
        <w:gridCol w:w="1700"/>
        <w:gridCol w:w="1700"/>
        <w:gridCol w:w="1800"/>
      </w:tblGrid>
      <w:tr>
        <w:trPr>
          <w:tblHeader/>
        </w:trPr>
        <w:tc>
          <w:tcPr>
            <w:tcW w:type="dxa" w:w="42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3B6EA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Entrega respecto a la fecha prometida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3B6EA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Pedidos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3B6EA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Nota media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3B6EA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% con mala nota</w:t>
            </w:r>
          </w:p>
        </w:tc>
      </w:tr>
      <w:tr>
        <w:tc>
          <w:tcPr>
            <w:tcW w:type="dxa" w:w="42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 tiempo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jc w:val="righ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88.381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jc w:val="righ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4,29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jc w:val="righ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9,2 %</w:t>
            </w:r>
          </w:p>
        </w:tc>
      </w:tr>
      <w:tr>
        <w:tc>
          <w:tcPr>
            <w:tcW w:type="dxa" w:w="42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 a 3 días tarde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jc w:val="righ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2.660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jc w:val="righ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3,77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jc w:val="righ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19,1 %</w:t>
            </w:r>
          </w:p>
        </w:tc>
      </w:tr>
      <w:tr>
        <w:tc>
          <w:tcPr>
            <w:tcW w:type="dxa" w:w="42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4 a 7 días tarde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jc w:val="righ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1.819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jc w:val="righ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2,32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jc w:val="righ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61,3 %</w:t>
            </w:r>
          </w:p>
        </w:tc>
      </w:tr>
      <w:tr>
        <w:tc>
          <w:tcPr>
            <w:tcW w:type="dxa" w:w="42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Más de 7 días tarde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jc w:val="righ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3.343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jc w:val="righ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1,73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jc w:val="righ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78,4 %</w:t>
            </w:r>
          </w:p>
        </w:tc>
      </w:tr>
    </w:tbl>
    <w:p>
      <w:pPr>
        <w:spacing w:before="120"/>
        <w:jc w:val="center"/>
      </w:pPr>
      <w:r>
        <w:drawing>
          <wp:inline distT="0" distB="0" distL="0" distR="0">
            <wp:extent cx="4000500" cy="22098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color w:val="6B7280"/>
          <w:sz w:val="17"/>
          <w:szCs w:val="17"/>
        </w:rPr>
        <w:t xml:space="preserve">Figura 2. Porcentaje de pedidos con 1 o 2 estrellas según el retraso.</w:t>
      </w:r>
    </w:p>
    <w:p>
      <w:pPr>
        <w:pStyle w:val="Heading2"/>
        <w:spacing w:after="100" w:before="220"/>
      </w:pPr>
      <w:r>
        <w:rPr>
          <w:b/>
          <w:bCs/>
          <w:color w:val="1F2937"/>
          <w:sz w:val="23"/>
          <w:szCs w:val="23"/>
        </w:rPr>
        <w:t xml:space="preserve">El retraso no lo explica todo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 w:val="false"/>
          <w:bCs w:val="false"/>
          <w:color w:val="1F2937"/>
          <w:sz w:val="21"/>
          <w:szCs w:val="21"/>
        </w:rPr>
        <w:t xml:space="preserve"/>
      </w:r>
      <w:r>
        <w:rPr>
          <w:b/>
          <w:bCs/>
          <w:color w:val="1F2937"/>
          <w:sz w:val="21"/>
          <w:szCs w:val="21"/>
        </w:rPr>
        <w:t xml:space="preserve">Solo un tercio de las malas notas corresponde a pedidos con retraso</w:t>
      </w:r>
      <w:r>
        <w:rPr>
          <w:b w:val="false"/>
          <w:bCs w:val="false"/>
          <w:color w:val="1F2937"/>
          <w:sz w:val="21"/>
          <w:szCs w:val="21"/>
        </w:rPr>
        <w:t xml:space="preserve"> (33,9 %). El 66,1 % restante llegó en plazo.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 w:val="false"/>
          <w:bCs w:val="false"/>
          <w:color w:val="1F2937"/>
          <w:sz w:val="21"/>
          <w:szCs w:val="21"/>
        </w:rPr>
        <w:t xml:space="preserve"/>
      </w:r>
      <w:r>
        <w:rPr>
          <w:b/>
          <w:bCs/>
          <w:color w:val="1F2937"/>
          <w:sz w:val="21"/>
          <w:szCs w:val="21"/>
        </w:rPr>
        <w:t xml:space="preserve">Los pedidos de varios vendedores son el segundo foco.</w:t>
      </w:r>
      <w:r>
        <w:rPr>
          <w:b w:val="false"/>
          <w:bCs w:val="false"/>
          <w:color w:val="1F2937"/>
          <w:sz w:val="21"/>
          <w:szCs w:val="21"/>
        </w:rPr>
        <w:t xml:space="preserve"> Tienen un 47,1 % de mala nota con solo un 1,4 % de retrasos; los de varios productos de un mismo vendedor, un 23,6 %; los de un producto, un 11,3 %. La hipótesis es que el cliente recibe el pedido en varios paquetes y valora antes de tenerlo completo; los datos no permiten confirmarla.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 w:val="false"/>
          <w:bCs w:val="false"/>
          <w:color w:val="1F2937"/>
          <w:sz w:val="21"/>
          <w:szCs w:val="21"/>
        </w:rPr>
        <w:t xml:space="preserve"/>
      </w:r>
      <w:r>
        <w:rPr>
          <w:b/>
          <w:bCs/>
          <w:color w:val="1F2937"/>
          <w:sz w:val="21"/>
          <w:szCs w:val="21"/>
        </w:rPr>
        <w:t xml:space="preserve">Tardar mucho penaliza aunque se cumpla el plazo.</w:t>
      </w:r>
      <w:r>
        <w:rPr>
          <w:b w:val="false"/>
          <w:bCs w:val="false"/>
          <w:color w:val="1F2937"/>
          <w:sz w:val="21"/>
          <w:szCs w:val="21"/>
        </w:rPr>
        <w:t xml:space="preserve"> Entre los pedidos a tiempo, la mala nota pasa del 7,4 % cuando llegan en una semana al 21,8 % cuando tardan más de 30 días.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 w:val="false"/>
          <w:bCs w:val="false"/>
          <w:color w:val="1F2937"/>
          <w:sz w:val="21"/>
          <w:szCs w:val="21"/>
        </w:rPr>
        <w:t xml:space="preserve"/>
      </w:r>
      <w:r>
        <w:rPr>
          <w:b/>
          <w:bCs/>
          <w:color w:val="1F2937"/>
          <w:sz w:val="21"/>
          <w:szCs w:val="21"/>
        </w:rPr>
        <w:t xml:space="preserve">Hubo una crisis logística en febrero y marzo de 2018:</w:t>
      </w:r>
      <w:r>
        <w:rPr>
          <w:b w:val="false"/>
          <w:bCs w:val="false"/>
          <w:color w:val="1F2937"/>
          <w:sz w:val="21"/>
          <w:szCs w:val="21"/>
        </w:rPr>
        <w:t xml:space="preserve"> los retrasos subieron al 16,0 % y al 21,4 %, y la nota media cayó a 3,88 y 3,81.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 w:val="false"/>
          <w:bCs w:val="false"/>
          <w:color w:val="1F2937"/>
          <w:sz w:val="21"/>
          <w:szCs w:val="21"/>
        </w:rPr>
        <w:t xml:space="preserve"/>
      </w:r>
      <w:r>
        <w:rPr>
          <w:b/>
          <w:bCs/>
          <w:color w:val="1F2937"/>
          <w:sz w:val="21"/>
          <w:szCs w:val="21"/>
        </w:rPr>
        <w:t xml:space="preserve">El norte y el nordeste esperan más:</w:t>
      </w:r>
      <w:r>
        <w:rPr>
          <w:b w:val="false"/>
          <w:bCs w:val="false"/>
          <w:color w:val="1F2937"/>
          <w:sz w:val="21"/>
          <w:szCs w:val="21"/>
        </w:rPr>
        <w:t xml:space="preserve"> 23,8 días de media en Pará y 19,3 en Bahía, frente a 8,7 en São Paulo.</w:t>
      </w:r>
    </w:p>
    <w:p>
      <w:pPr>
        <w:pStyle w:val="Heading1"/>
        <w:pBdr>
          <w:bottom w:val="single" w:color="3B6EA5" w:sz="8" w:space="4"/>
        </w:pBdr>
        <w:spacing w:after="140" w:before="320"/>
      </w:pPr>
      <w:r>
        <w:rPr>
          <w:b/>
          <w:bCs/>
          <w:color w:val="3B6EA5"/>
          <w:sz w:val="30"/>
          <w:szCs w:val="30"/>
        </w:rPr>
        <w:t xml:space="preserve">5. Dónde está el valor</w:t>
      </w:r>
    </w:p>
    <w:p>
      <w:pPr>
        <w:spacing w:after="120" w:line="288"/>
      </w:pPr>
      <w:r>
        <w:rPr>
          <w:b w:val="false"/>
          <w:bCs w:val="false"/>
          <w:color w:val="1F2937"/>
          <w:sz w:val="21"/>
          <w:szCs w:val="21"/>
        </w:rPr>
        <w:t xml:space="preserve">Se han segmentado los clientes por recencia, frecuencia y gasto (RFM). Como casi todos tienen una sola compra, la segmentación se apoya sobre todo en cuánto gastaron y cuándo.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1500"/>
        <w:gridCol w:w="1500"/>
        <w:gridCol w:w="1600"/>
        <w:gridCol w:w="1600"/>
      </w:tblGrid>
      <w:tr>
        <w:trPr>
          <w:tblHeader/>
        </w:trPr>
        <w:tc>
          <w:tcPr>
            <w:tcW w:type="dxa" w:w="32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3B6EA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Segmento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3B6EA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Clientes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3B6EA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% clientes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3B6EA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% ingresos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3B6EA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Gasto medio</w:t>
            </w:r>
          </w:p>
        </w:tc>
      </w:tr>
      <w:tr>
        <w:tc>
          <w:tcPr>
            <w:tcW w:type="dxa" w:w="32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Alto valor inactivo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jc w:val="righ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10.137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jc w:val="righ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10,9 %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jc w:val="righ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28,7 %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jc w:val="righ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436 R$</w:t>
            </w:r>
          </w:p>
        </w:tc>
      </w:tr>
      <w:tr>
        <w:tc>
          <w:tcPr>
            <w:tcW w:type="dxa" w:w="32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Inactivos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jc w:val="righ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43.948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jc w:val="righ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47,2 %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jc w:val="righ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27,0 %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jc w:val="righ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94 R$</w:t>
            </w:r>
          </w:p>
        </w:tc>
      </w:tr>
      <w:tr>
        <w:tc>
          <w:tcPr>
            <w:tcW w:type="dxa" w:w="32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Alto valor reciente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jc w:val="righ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6.950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jc w:val="righ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7,5 %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jc w:val="righ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20,3 %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jc w:val="righ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450 R$</w:t>
            </w:r>
          </w:p>
        </w:tc>
      </w:tr>
      <w:tr>
        <w:tc>
          <w:tcPr>
            <w:tcW w:type="dxa" w:w="32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Recientes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jc w:val="righ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29.272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jc w:val="righ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31,4 %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jc w:val="righ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18,4 %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jc w:val="righ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97 R$</w:t>
            </w:r>
          </w:p>
        </w:tc>
      </w:tr>
      <w:tr>
        <w:tc>
          <w:tcPr>
            <w:tcW w:type="dxa" w:w="32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Recurrentes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jc w:val="righ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2.789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jc w:val="righ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3,0 %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jc w:val="righ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5,6 %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jc w:val="righ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309 R$</w:t>
            </w:r>
          </w:p>
        </w:tc>
      </w:tr>
    </w:tbl>
    <w:p>
      <w:pPr>
        <w:spacing w:before="120"/>
        <w:jc w:val="center"/>
      </w:pPr>
      <w:r>
        <w:drawing>
          <wp:inline distT="0" distB="0" distL="0" distR="0">
            <wp:extent cx="4762500" cy="229552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color w:val="6B7280"/>
          <w:sz w:val="17"/>
          <w:szCs w:val="17"/>
        </w:rPr>
        <w:t xml:space="preserve">Figura 3. Peso de cada segmento en número de clientes y en ingresos.</w:t>
      </w:r>
    </w:p>
    <w:p>
      <w:pPr>
        <w:spacing w:after="120" w:line="288"/>
      </w:pPr>
      <w:r>
        <w:rPr>
          <w:b w:val="false"/>
          <w:bCs w:val="false"/>
          <w:color w:val="1F2937"/>
          <w:sz w:val="21"/>
          <w:szCs w:val="21"/>
        </w:rPr>
        <w:t xml:space="preserve">Los dos segmentos de alto valor reúnen al </w:t>
      </w:r>
      <w:r>
        <w:rPr>
          <w:b/>
          <w:bCs/>
          <w:color w:val="1F2937"/>
          <w:sz w:val="21"/>
          <w:szCs w:val="21"/>
        </w:rPr>
        <w:t xml:space="preserve">18,4 % de los clientes y el 49,0 % de los ingresos</w:t>
      </w:r>
      <w:r>
        <w:rPr>
          <w:b w:val="false"/>
          <w:bCs w:val="false"/>
          <w:color w:val="1F2937"/>
          <w:sz w:val="21"/>
          <w:szCs w:val="21"/>
        </w:rPr>
        <w:t xml:space="preserve">. Un análisis de agrupación automática (K-means) identifica además, sin reglas previas, un grupo de </w:t>
      </w:r>
      <w:r>
        <w:rPr>
          <w:b/>
          <w:bCs/>
          <w:color w:val="1F2937"/>
          <w:sz w:val="21"/>
          <w:szCs w:val="21"/>
        </w:rPr>
        <w:t xml:space="preserve">14.271 clientes insatisfechos</w:t>
      </w:r>
      <w:r>
        <w:rPr>
          <w:b w:val="false"/>
          <w:bCs w:val="false"/>
          <w:color w:val="1F2937"/>
          <w:sz w:val="21"/>
          <w:szCs w:val="21"/>
        </w:rPr>
        <w:t xml:space="preserve">: nota media de 1,65, esperaron 22 días de media frente a 10-12 del resto y gastaron más que la media (196 R$ frente a unos 155 R$).</w:t>
      </w:r>
    </w:p>
    <w:p>
      <w:r>
        <w:br w:type="page"/>
      </w:r>
    </w:p>
    <w:p>
      <w:pPr>
        <w:pStyle w:val="Heading1"/>
        <w:pBdr>
          <w:bottom w:val="single" w:color="3B6EA5" w:sz="8" w:space="4"/>
        </w:pBdr>
        <w:spacing w:after="140" w:before="320"/>
      </w:pPr>
      <w:r>
        <w:rPr>
          <w:b/>
          <w:bCs/>
          <w:color w:val="3B6EA5"/>
          <w:sz w:val="30"/>
          <w:szCs w:val="30"/>
        </w:rPr>
        <w:t xml:space="preserve">6. Anticipar las malas valoraciones</w:t>
      </w:r>
    </w:p>
    <w:p>
      <w:pPr>
        <w:spacing w:after="120" w:line="288"/>
      </w:pPr>
      <w:r>
        <w:rPr>
          <w:b w:val="false"/>
          <w:bCs w:val="false"/>
          <w:color w:val="1F2937"/>
          <w:sz w:val="21"/>
          <w:szCs w:val="21"/>
        </w:rPr>
        <w:t xml:space="preserve">Se ha entrenado un modelo que estima, una vez entregado el pedido, la probabilidad de que el cliente ponga 1 o 2 estrellas. Su utilidad es priorizar a quién contacta atención al cliente.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12"/>
        <w:gridCol w:w="2600"/>
        <w:gridCol w:w="2800"/>
      </w:tblGrid>
      <w:tr>
        <w:trPr>
          <w:tblHeader/>
        </w:trPr>
        <w:tc>
          <w:tcPr>
            <w:tcW w:type="dxa" w:w="40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3B6EA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 se contacta con el...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3B6EA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Malas notas alcanzadas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3B6EA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Tasa de mala nota en el grupo</w:t>
            </w:r>
          </w:p>
        </w:tc>
      </w:tr>
      <w:tr>
        <w:tc>
          <w:tcPr>
            <w:tcW w:type="dxa" w:w="40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5 % de pedidos con más riesgo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jc w:val="righ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28,2 %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jc w:val="righ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72,3 %</w:t>
            </w:r>
          </w:p>
        </w:tc>
      </w:tr>
      <w:tr>
        <w:tc>
          <w:tcPr>
            <w:tcW w:type="dxa" w:w="40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10 %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jc w:val="righ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41,6 %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jc w:val="righ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53,3 %</w:t>
            </w:r>
          </w:p>
        </w:tc>
      </w:tr>
      <w:tr>
        <w:tc>
          <w:tcPr>
            <w:tcW w:type="dxa" w:w="40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20 %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jc w:val="righ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55,3 %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jc w:val="righ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35,3 %</w:t>
            </w:r>
          </w:p>
        </w:tc>
      </w:tr>
      <w:tr>
        <w:tc>
          <w:tcPr>
            <w:tcW w:type="dxa" w:w="40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Selección al azar del 10 %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jc w:val="righ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10,0 %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jc w:val="righ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12,8 %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 w:val="false"/>
          <w:bCs w:val="false"/>
          <w:color w:val="1F2937"/>
          <w:sz w:val="21"/>
          <w:szCs w:val="21"/>
        </w:rPr>
        <w:t xml:space="preserve"/>
      </w:r>
      <w:r>
        <w:rPr>
          <w:b/>
          <w:bCs/>
          <w:color w:val="1F2937"/>
          <w:sz w:val="21"/>
          <w:szCs w:val="21"/>
        </w:rPr>
        <w:t xml:space="preserve">Capacidad de ordenación moderada.</w:t>
      </w:r>
      <w:r>
        <w:rPr>
          <w:b w:val="false"/>
          <w:bCs w:val="false"/>
          <w:color w:val="1F2937"/>
          <w:sz w:val="21"/>
          <w:szCs w:val="21"/>
        </w:rPr>
        <w:t xml:space="preserve"> El área bajo la curva ROC es de 0,753 con partición aleatoria y baja a 0,698 cuando se entrena con el pasado y se evalúa con los cuatro meses siguientes, que es la prueba realista.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 w:val="false"/>
          <w:bCs w:val="false"/>
          <w:color w:val="1F2937"/>
          <w:sz w:val="21"/>
          <w:szCs w:val="21"/>
        </w:rPr>
        <w:t xml:space="preserve"/>
      </w:r>
      <w:r>
        <w:rPr>
          <w:b/>
          <w:bCs/>
          <w:color w:val="1F2937"/>
          <w:sz w:val="21"/>
          <w:szCs w:val="21"/>
        </w:rPr>
        <w:t xml:space="preserve">La entrega es lo que más pesa:</w:t>
      </w:r>
      <w:r>
        <w:rPr>
          <w:b w:val="false"/>
          <w:bCs w:val="false"/>
          <w:color w:val="1F2937"/>
          <w:sz w:val="21"/>
          <w:szCs w:val="21"/>
        </w:rPr>
        <w:t xml:space="preserve"> los días de retraso y el plazo total suman más de la mitad de la importancia del modelo.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 w:val="false"/>
          <w:bCs w:val="false"/>
          <w:color w:val="1F2937"/>
          <w:sz w:val="21"/>
          <w:szCs w:val="21"/>
        </w:rPr>
        <w:t xml:space="preserve"/>
      </w:r>
      <w:r>
        <w:rPr>
          <w:b/>
          <w:bCs/>
          <w:color w:val="1F2937"/>
          <w:sz w:val="21"/>
          <w:szCs w:val="21"/>
        </w:rPr>
        <w:t xml:space="preserve">Antes de la entrega apenas se puede predecir</w:t>
      </w:r>
      <w:r>
        <w:rPr>
          <w:b w:val="false"/>
          <w:bCs w:val="false"/>
          <w:color w:val="1F2937"/>
          <w:sz w:val="21"/>
          <w:szCs w:val="21"/>
        </w:rPr>
        <w:t xml:space="preserve"> (0,636). El momento útil para actuar es justo después de entregar.</w:t>
      </w:r>
    </w:p>
    <w:p>
      <w:pPr>
        <w:pStyle w:val="Heading1"/>
        <w:pBdr>
          <w:bottom w:val="single" w:color="3B6EA5" w:sz="8" w:space="4"/>
        </w:pBdr>
        <w:spacing w:after="140" w:before="320"/>
      </w:pPr>
      <w:r>
        <w:rPr>
          <w:b/>
          <w:bCs/>
          <w:color w:val="3B6EA5"/>
          <w:sz w:val="30"/>
          <w:szCs w:val="30"/>
        </w:rPr>
        <w:t xml:space="preserve">7. Recomendaciones</w:t>
      </w:r>
    </w:p>
    <w:p>
      <w:pPr>
        <w:pStyle w:val="Heading2"/>
        <w:spacing w:after="100" w:before="220"/>
      </w:pPr>
      <w:r>
        <w:rPr>
          <w:b/>
          <w:bCs/>
          <w:color w:val="1F2937"/>
          <w:sz w:val="23"/>
          <w:szCs w:val="23"/>
        </w:rPr>
        <w:t xml:space="preserve">1. Eliminar los retrasos de más de 3 días</w:t>
      </w:r>
    </w:p>
    <w:p>
      <w:pPr>
        <w:spacing w:after="120" w:line="288"/>
      </w:pPr>
      <w:r>
        <w:rPr>
          <w:b w:val="false"/>
          <w:bCs w:val="false"/>
          <w:color w:val="1F2937"/>
          <w:sz w:val="21"/>
          <w:szCs w:val="21"/>
        </w:rPr>
        <w:t xml:space="preserve">Son 5.162 pedidos (5,4 %) y concentran 3.636 malas notas, el 29,7 % del total. Prioridad: los transportistas y rutas de los estados con más retraso (Río de Janeiro, 13,5 %; Bahía, 14,0 %) y un plan de capacidad para picos como el Black Friday, que registró un 14,3 % de retrasos.</w:t>
      </w:r>
    </w:p>
    <w:p>
      <w:pPr>
        <w:pStyle w:val="Heading2"/>
        <w:spacing w:after="100" w:before="220"/>
      </w:pPr>
      <w:r>
        <w:rPr>
          <w:b/>
          <w:bCs/>
          <w:color w:val="1F2937"/>
          <w:sz w:val="23"/>
          <w:szCs w:val="23"/>
        </w:rPr>
        <w:t xml:space="preserve">2. Revisar los pedidos de varios vendedores</w:t>
      </w:r>
    </w:p>
    <w:p>
      <w:pPr>
        <w:spacing w:after="120" w:line="288"/>
      </w:pPr>
      <w:r>
        <w:rPr>
          <w:b w:val="false"/>
          <w:bCs w:val="false"/>
          <w:color w:val="1F2937"/>
          <w:sz w:val="21"/>
          <w:szCs w:val="21"/>
        </w:rPr>
        <w:t xml:space="preserve">Antes de invertir, comprobar la hipótesis de las entregas parciales con una muestra de comentarios de clientes. Si se confirma: avisar de que el pedido llegará en varios envíos y pedir la valoración solo cuando esté completo.</w:t>
      </w:r>
    </w:p>
    <w:p>
      <w:pPr>
        <w:pStyle w:val="Heading2"/>
        <w:spacing w:after="100" w:before="220"/>
      </w:pPr>
      <w:r>
        <w:rPr>
          <w:b/>
          <w:bCs/>
          <w:color w:val="1F2937"/>
          <w:sz w:val="23"/>
          <w:szCs w:val="23"/>
        </w:rPr>
        <w:t xml:space="preserve">3. Contacto proactivo tras la entrega</w:t>
      </w:r>
    </w:p>
    <w:p>
      <w:pPr>
        <w:spacing w:after="120" w:line="288"/>
      </w:pPr>
      <w:r>
        <w:rPr>
          <w:b w:val="false"/>
          <w:bCs w:val="false"/>
          <w:color w:val="1F2937"/>
          <w:sz w:val="21"/>
          <w:szCs w:val="21"/>
        </w:rPr>
        <w:t xml:space="preserve">Usar el modelo para contactar con el 10 % de pedidos de más riesgo antes de que valoren. Empezar con una prueba controlada: contactar a la mitad del grupo de riesgo y comparar su nota con la otra mitad.</w:t>
      </w:r>
    </w:p>
    <w:p>
      <w:pPr>
        <w:pStyle w:val="Heading2"/>
        <w:spacing w:after="100" w:before="220"/>
      </w:pPr>
      <w:r>
        <w:rPr>
          <w:b/>
          <w:bCs/>
          <w:color w:val="1F2937"/>
          <w:sz w:val="23"/>
          <w:szCs w:val="23"/>
        </w:rPr>
        <w:t xml:space="preserve">4. Reactivar a los clientes de alto valor inactivos</w:t>
      </w:r>
    </w:p>
    <w:p>
      <w:pPr>
        <w:spacing w:after="120" w:line="288"/>
      </w:pPr>
      <w:r>
        <w:rPr>
          <w:b w:val="false"/>
          <w:bCs w:val="false"/>
          <w:color w:val="1F2937"/>
          <w:sz w:val="21"/>
          <w:szCs w:val="21"/>
        </w:rPr>
        <w:t xml:space="preserve">10.137 clientes con un gasto medio de 436 R$. Campaña dirigida, excluyendo a quienes dejaron mala nota sin resolver, y medida frente a un grupo de control.</w:t>
      </w:r>
    </w:p>
    <w:p>
      <w:pPr>
        <w:pStyle w:val="Heading2"/>
        <w:spacing w:after="100" w:before="220"/>
      </w:pPr>
      <w:r>
        <w:rPr>
          <w:b/>
          <w:bCs/>
          <w:color w:val="1F2937"/>
          <w:sz w:val="23"/>
          <w:szCs w:val="23"/>
        </w:rPr>
        <w:t xml:space="preserve">5. Incentivar la segunda compra en los primeros 30 días</w:t>
      </w:r>
    </w:p>
    <w:p>
      <w:pPr>
        <w:spacing w:after="120" w:line="288"/>
      </w:pPr>
      <w:r>
        <w:rPr>
          <w:b w:val="false"/>
          <w:bCs w:val="false"/>
          <w:color w:val="1F2937"/>
          <w:sz w:val="21"/>
          <w:szCs w:val="21"/>
        </w:rPr>
        <w:t xml:space="preserve">Es la ventana en la que se produce la mitad de las recompras. Una oferta de segunda compra tras una entrega bien valorada actúa sobre el cliente satisfecho en el momento adecuado.</w:t>
      </w:r>
    </w:p>
    <w:p>
      <w:r>
        <w:br w:type="page"/>
      </w:r>
    </w:p>
    <w:p>
      <w:pPr>
        <w:pStyle w:val="Heading1"/>
        <w:pBdr>
          <w:bottom w:val="single" w:color="3B6EA5" w:sz="8" w:space="4"/>
        </w:pBdr>
        <w:spacing w:after="140" w:before="320"/>
      </w:pPr>
      <w:r>
        <w:rPr>
          <w:b/>
          <w:bCs/>
          <w:color w:val="3B6EA5"/>
          <w:sz w:val="30"/>
          <w:szCs w:val="30"/>
        </w:rPr>
        <w:t xml:space="preserve">8. Metodología y limitaciones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 w:val="false"/>
          <w:bCs w:val="false"/>
          <w:color w:val="1F2937"/>
          <w:sz w:val="21"/>
          <w:szCs w:val="21"/>
        </w:rPr>
        <w:t xml:space="preserve"/>
      </w:r>
      <w:r>
        <w:rPr>
          <w:b/>
          <w:bCs/>
          <w:color w:val="1F2937"/>
          <w:sz w:val="21"/>
          <w:szCs w:val="21"/>
        </w:rPr>
        <w:t xml:space="preserve">Datos:</w:t>
      </w:r>
      <w:r>
        <w:rPr>
          <w:b w:val="false"/>
          <w:bCs w:val="false"/>
          <w:color w:val="1F2937"/>
          <w:sz w:val="21"/>
          <w:szCs w:val="21"/>
        </w:rPr>
        <w:t xml:space="preserve"> nueve tablas del conjunto público de Olist (pedidos, clientes, productos, pagos y valoraciones), con 99.441 pedidos.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 w:val="false"/>
          <w:bCs w:val="false"/>
          <w:color w:val="1F2937"/>
          <w:sz w:val="21"/>
          <w:szCs w:val="21"/>
        </w:rPr>
        <w:t xml:space="preserve"/>
      </w:r>
      <w:r>
        <w:rPr>
          <w:b/>
          <w:bCs/>
          <w:color w:val="1F2937"/>
          <w:sz w:val="21"/>
          <w:szCs w:val="21"/>
        </w:rPr>
        <w:t xml:space="preserve">Limpieza:</w:t>
      </w:r>
      <w:r>
        <w:rPr>
          <w:b w:val="false"/>
          <w:bCs w:val="false"/>
          <w:color w:val="1F2937"/>
          <w:sz w:val="21"/>
          <w:szCs w:val="21"/>
        </w:rPr>
        <w:t xml:space="preserve"> se conservan los pedidos entregados de enero de 2017 a agosto de 2018, 96.203 (96,7 % del total). Se eliminaron 8 pedidos con datos contradictorios y 551 valoraciones duplicadas. Los valores extremos reales se mantienen.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 w:val="false"/>
          <w:bCs w:val="false"/>
          <w:color w:val="1F2937"/>
          <w:sz w:val="21"/>
          <w:szCs w:val="21"/>
        </w:rPr>
        <w:t xml:space="preserve"/>
      </w:r>
      <w:r>
        <w:rPr>
          <w:b/>
          <w:bCs/>
          <w:color w:val="1F2937"/>
          <w:sz w:val="21"/>
          <w:szCs w:val="21"/>
        </w:rPr>
        <w:t xml:space="preserve">Herramientas:</w:t>
      </w:r>
      <w:r>
        <w:rPr>
          <w:b w:val="false"/>
          <w:bCs w:val="false"/>
          <w:color w:val="1F2937"/>
          <w:sz w:val="21"/>
          <w:szCs w:val="21"/>
        </w:rPr>
        <w:t xml:space="preserve"> SQL (SQLite) para la exploración, Python (pandas y scikit-learn) para limpieza, análisis y modelo, y Power BI para el cuadro de mando. Las cifras principales se han contrastado entre las tres herramientas.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 w:val="false"/>
          <w:bCs w:val="false"/>
          <w:color w:val="1F2937"/>
          <w:sz w:val="21"/>
          <w:szCs w:val="21"/>
        </w:rPr>
        <w:t xml:space="preserve"/>
      </w:r>
      <w:r>
        <w:rPr>
          <w:b/>
          <w:bCs/>
          <w:color w:val="1F2937"/>
          <w:sz w:val="21"/>
          <w:szCs w:val="21"/>
        </w:rPr>
        <w:t xml:space="preserve">No hay datos de costes ni de márgenes,</w:t>
      </w:r>
      <w:r>
        <w:rPr>
          <w:b w:val="false"/>
          <w:bCs w:val="false"/>
          <w:color w:val="1F2937"/>
          <w:sz w:val="21"/>
          <w:szCs w:val="21"/>
        </w:rPr>
        <w:t xml:space="preserve"> por lo que este informe no cuantifica el retorno económico de las recomendaciones.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 w:val="false"/>
          <w:bCs w:val="false"/>
          <w:color w:val="1F2937"/>
          <w:sz w:val="21"/>
          <w:szCs w:val="21"/>
        </w:rPr>
        <w:t xml:space="preserve"/>
      </w:r>
      <w:r>
        <w:rPr>
          <w:b/>
          <w:bCs/>
          <w:color w:val="1F2937"/>
          <w:sz w:val="21"/>
          <w:szCs w:val="21"/>
        </w:rPr>
        <w:t xml:space="preserve">Las relaciones descritas son asociaciones,</w:t>
      </w:r>
      <w:r>
        <w:rPr>
          <w:b w:val="false"/>
          <w:bCs w:val="false"/>
          <w:color w:val="1F2937"/>
          <w:sz w:val="21"/>
          <w:szCs w:val="21"/>
        </w:rPr>
        <w:t xml:space="preserve"> no demuestran causa. La explicación de los pedidos multivendedor es una hipótesis.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 w:val="false"/>
          <w:bCs w:val="false"/>
          <w:color w:val="1F2937"/>
          <w:sz w:val="21"/>
          <w:szCs w:val="21"/>
        </w:rPr>
        <w:t xml:space="preserve"/>
      </w:r>
      <w:r>
        <w:rPr>
          <w:b/>
          <w:bCs/>
          <w:color w:val="1F2937"/>
          <w:sz w:val="21"/>
          <w:szCs w:val="21"/>
        </w:rPr>
        <w:t xml:space="preserve">Los datos terminan en 2018.</w:t>
      </w:r>
      <w:r>
        <w:rPr>
          <w:b w:val="false"/>
          <w:bCs w:val="false"/>
          <w:color w:val="1F2937"/>
          <w:sz w:val="21"/>
          <w:szCs w:val="21"/>
        </w:rPr>
        <w:t xml:space="preserve"> Las conclusiones describen ese periodo.</w:t>
      </w:r>
    </w:p>
    <w:p>
      <w:r>
        <w:br w:type="page"/>
      </w:r>
    </w:p>
    <w:p>
      <w:pPr>
        <w:pStyle w:val="Heading1"/>
        <w:pBdr>
          <w:bottom w:val="single" w:color="3B6EA5" w:sz="8" w:space="4"/>
        </w:pBdr>
        <w:spacing w:after="140" w:before="320"/>
      </w:pPr>
      <w:r>
        <w:rPr>
          <w:b/>
          <w:bCs/>
          <w:color w:val="3B6EA5"/>
          <w:sz w:val="30"/>
          <w:szCs w:val="30"/>
        </w:rPr>
        <w:t xml:space="preserve">Anexo. Cuadro de mando</w:t>
      </w:r>
    </w:p>
    <w:p>
      <w:pPr>
        <w:spacing w:after="120" w:line="288"/>
      </w:pPr>
      <w:r>
        <w:rPr>
          <w:b w:val="false"/>
          <w:bCs w:val="false"/>
          <w:color w:val="1F2937"/>
          <w:sz w:val="21"/>
          <w:szCs w:val="21"/>
        </w:rPr>
        <w:t xml:space="preserve">El cuadro de mando de Power BI que acompaña a este informe tiene cuatro páginas interactivas, con filtros por año, estado y categoría.</w:t>
      </w:r>
    </w:p>
    <w:p>
      <w:pPr>
        <w:spacing w:before="120"/>
        <w:jc w:val="center"/>
      </w:pPr>
      <w:r>
        <w:drawing>
          <wp:inline distT="0" distB="0" distL="0" distR="0">
            <wp:extent cx="5810250" cy="3267075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color w:val="6B7280"/>
          <w:sz w:val="17"/>
          <w:szCs w:val="17"/>
        </w:rPr>
        <w:t xml:space="preserve">Página 1. Resumen de ventas.</w:t>
      </w:r>
    </w:p>
    <w:p>
      <w:pPr>
        <w:spacing w:before="120"/>
        <w:jc w:val="center"/>
      </w:pPr>
      <w:r>
        <w:drawing>
          <wp:inline distT="0" distB="0" distL="0" distR="0">
            <wp:extent cx="5810250" cy="3267075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color w:val="6B7280"/>
          <w:sz w:val="17"/>
          <w:szCs w:val="17"/>
        </w:rPr>
        <w:t xml:space="preserve">Página 2. Experiencia del cliente.</w:t>
      </w:r>
    </w:p>
    <w:sectPr>
      <w:headerReference w:type="default" r:id="rId6"/>
      <w:footerReference w:type="default" r:id="rId7"/>
      <w:pgSz w:w="11906" w:h="16838" w:orient="portrait"/>
      <w:pgMar w:top="1400" w:right="1247" w:bottom="1247" w:left="1247" w:header="708" w:footer="708" w:gutter="0"/>
      <w:pgNumType w:start="2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4" w:space="4"/>
      </w:pBdr>
      <w:jc w:val="right"/>
    </w:pPr>
    <w:r>
      <w:rPr>
        <w:color w:val="6B7280"/>
        <w:sz w:val="16"/>
        <w:szCs w:val="16"/>
      </w:rPr>
      <w:t xml:space="preserve">Olist · Informe ejecutivo de cartera de clientes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3a423119aed9a3713af6d7bcecbf95497b263d6e.png"/><Relationship Id="rId10" Type="http://schemas.openxmlformats.org/officeDocument/2006/relationships/image" Target="media/ad547392e9beb1090c4426527a72dcfaba5f4c42.png"/><Relationship Id="rId11" Type="http://schemas.openxmlformats.org/officeDocument/2006/relationships/image" Target="media/81d49d898233324325d1cf17d05efe03bf63ce58.png"/><Relationship Id="rId12" Type="http://schemas.openxmlformats.org/officeDocument/2006/relationships/image" Target="media/b37f46f28fd55a2a4687f7856a680b4d7229e98a.png"/><Relationship Id="rId13" Type="http://schemas.openxmlformats.org/officeDocument/2006/relationships/image" Target="media/02166bac7988061de403fbbe093261092b5e9a03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ejecutivo - Cartera de clientes de Olist</dc:title>
  <dc:creator>Miguel Martín-Caro</dc:creator>
  <cp:lastModifiedBy>Un-named</cp:lastModifiedBy>
  <cp:revision>1</cp:revision>
  <dcterms:created xsi:type="dcterms:W3CDTF">2026-10-03T19:32:58.716Z</dcterms:created>
  <dcterms:modified xsi:type="dcterms:W3CDTF">2026-10-03T19:32:58.716Z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