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08" w:rsidRDefault="00E24242">
      <w:pPr>
        <w:pStyle w:val="Sinespaciado"/>
        <w:ind w:left="-426" w:right="-516"/>
        <w:jc w:val="both"/>
      </w:pPr>
      <w:bookmarkStart w:id="0" w:name="_GoBack"/>
      <w:bookmarkEnd w:id="0"/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</w:p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 w:rsidR="00EA5068">
        <w:rPr>
          <w:rFonts w:cs="Arial"/>
          <w:i/>
        </w:rPr>
        <w:t>Organícese de acuerdo a los propósitos</w:t>
      </w:r>
      <w:r>
        <w:rPr>
          <w:rFonts w:cs="Arial"/>
          <w:i/>
        </w:rPr>
        <w:t>”</w:t>
      </w:r>
    </w:p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 w:rsidR="00EA5068">
        <w:rPr>
          <w:rFonts w:cs="Arial"/>
        </w:rPr>
        <w:t>Lucas 5:38</w:t>
      </w:r>
    </w:p>
    <w:p w:rsidR="00F97708" w:rsidRDefault="00E24242">
      <w:pPr>
        <w:pStyle w:val="Sinespaciado"/>
        <w:ind w:left="-426" w:right="-516"/>
        <w:jc w:val="center"/>
        <w:rPr>
          <w:rFonts w:cs="Arial"/>
          <w:b/>
        </w:rPr>
      </w:pPr>
      <w:r>
        <w:rPr>
          <w:rFonts w:cs="Arial"/>
          <w:b/>
        </w:rPr>
        <w:t>INTRODUCCION</w:t>
      </w:r>
    </w:p>
    <w:p w:rsidR="000D7E8E" w:rsidRDefault="00EA5068">
      <w:pPr>
        <w:pStyle w:val="Sinespaciado"/>
        <w:ind w:left="-426" w:right="-516"/>
        <w:jc w:val="both"/>
      </w:pPr>
      <w:r>
        <w:t xml:space="preserve">Para que cualquier renovación en la Iglesia perdure, debe existir una estructura que la </w:t>
      </w:r>
      <w:r w:rsidR="00C1028E">
        <w:t>nutra y la apoye. Sin un sistema y una estructura para equilibrar intencionalmente los cinco propósitos, la Iglesia tendrá la tendencia de recalcar excesivamente el propósito que mejor exprese los dones y la pasión del líder</w:t>
      </w:r>
      <w:r>
        <w:t xml:space="preserve">. </w:t>
      </w:r>
    </w:p>
    <w:p w:rsidR="00D374D7" w:rsidRDefault="00D374D7">
      <w:pPr>
        <w:pStyle w:val="Sinespaciado"/>
        <w:ind w:left="-426" w:right="-516"/>
        <w:jc w:val="both"/>
      </w:pPr>
    </w:p>
    <w:p w:rsidR="00F97708" w:rsidRDefault="00C1028E">
      <w:pPr>
        <w:pStyle w:val="Sinespaciado"/>
        <w:numPr>
          <w:ilvl w:val="0"/>
          <w:numId w:val="1"/>
        </w:numPr>
        <w:ind w:right="-516"/>
        <w:jc w:val="both"/>
      </w:pPr>
      <w:r>
        <w:rPr>
          <w:b/>
        </w:rPr>
        <w:t>LA IGLESIA GANADORA DE ALMAS</w:t>
      </w:r>
    </w:p>
    <w:p w:rsidR="00247C35" w:rsidRDefault="00C1028E" w:rsidP="00247C35">
      <w:pPr>
        <w:pStyle w:val="Sinespaciado"/>
        <w:ind w:right="-516"/>
      </w:pPr>
      <w:r>
        <w:t>Si el líder considera su rol primario ser evangelista, entonces la Iglesia se convertirá en una Iglesia ganadora de almas</w:t>
      </w:r>
      <w:r w:rsidR="00E24242">
        <w:t xml:space="preserve">. </w:t>
      </w:r>
    </w:p>
    <w:p w:rsidR="00F97708" w:rsidRDefault="00F14E64" w:rsidP="00247C35">
      <w:pPr>
        <w:pStyle w:val="Sinespaciado"/>
        <w:numPr>
          <w:ilvl w:val="1"/>
          <w:numId w:val="1"/>
        </w:numPr>
        <w:jc w:val="both"/>
      </w:pPr>
      <w:r>
        <w:rPr>
          <w:rFonts w:cs="Arial"/>
        </w:rPr>
        <w:t xml:space="preserve">Términos a escuchar: Testificar, evangelizar, salación, decisión por Cristo, visitación, llamado al altar y cruzadas. </w:t>
      </w:r>
    </w:p>
    <w:p w:rsidR="00F97708" w:rsidRPr="00F14E64" w:rsidRDefault="00F14E64" w:rsidP="00F14E64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b/>
        </w:rPr>
      </w:pPr>
      <w:r>
        <w:rPr>
          <w:rFonts w:cs="Arial"/>
        </w:rPr>
        <w:t xml:space="preserve">En la Iglesia ganadora de almas todo lo que no sea evangelismo queda relegado a un segundo plano. </w:t>
      </w:r>
    </w:p>
    <w:p w:rsidR="00F14E64" w:rsidRDefault="00F14E64" w:rsidP="00F14E64">
      <w:pPr>
        <w:pStyle w:val="Sinespaciado"/>
        <w:ind w:left="792" w:right="-516"/>
        <w:jc w:val="both"/>
        <w:rPr>
          <w:rFonts w:cs="Arial"/>
          <w:b/>
        </w:rPr>
      </w:pPr>
    </w:p>
    <w:p w:rsidR="00F97708" w:rsidRDefault="00F14E64">
      <w:pPr>
        <w:pStyle w:val="Sinespaciado"/>
        <w:numPr>
          <w:ilvl w:val="0"/>
          <w:numId w:val="1"/>
        </w:numPr>
        <w:ind w:right="-516"/>
        <w:jc w:val="both"/>
      </w:pPr>
      <w:r>
        <w:rPr>
          <w:b/>
        </w:rPr>
        <w:t>LA IGLESIA QUE EXPERIMENTA A DIOS</w:t>
      </w:r>
    </w:p>
    <w:p w:rsidR="00247C35" w:rsidRPr="007E0177" w:rsidRDefault="00F14E64" w:rsidP="00247C35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Si la pasión y los dones de líder se encuentran el área de la adoración, instintivamente guiará a la Iglesia a convertirse en una Iglesia “Que experimente a Dios”. </w:t>
      </w:r>
      <w:r w:rsidR="001E4EA2">
        <w:rPr>
          <w:rFonts w:cs="Arial"/>
        </w:rPr>
        <w:t xml:space="preserve">  </w:t>
      </w:r>
    </w:p>
    <w:p w:rsidR="00247C35" w:rsidRDefault="00F710FF" w:rsidP="00247C35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El tema central de e</w:t>
      </w:r>
      <w:r w:rsidR="00F14E64">
        <w:rPr>
          <w:rFonts w:cs="Arial"/>
        </w:rPr>
        <w:t xml:space="preserve">sta Iglesia es experimentar la presencia y el poder de Dios </w:t>
      </w:r>
      <w:r>
        <w:rPr>
          <w:rFonts w:cs="Arial"/>
        </w:rPr>
        <w:t xml:space="preserve">en la adoración. </w:t>
      </w:r>
    </w:p>
    <w:p w:rsidR="009C3185" w:rsidRDefault="00F710FF" w:rsidP="00247C35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Las palabras clave de esta Iglesia son:</w:t>
      </w:r>
      <w:r w:rsidR="009C3185">
        <w:rPr>
          <w:rFonts w:cs="Arial"/>
        </w:rPr>
        <w:t xml:space="preserve"> Alabanza, adoración, música, dones espirituales, espíritu poder y avivamiento. </w:t>
      </w:r>
    </w:p>
    <w:p w:rsidR="009C3185" w:rsidRDefault="009C3185" w:rsidP="009C3185">
      <w:pPr>
        <w:pStyle w:val="Sinespaciado"/>
        <w:ind w:left="792" w:right="-516"/>
        <w:jc w:val="both"/>
        <w:rPr>
          <w:rFonts w:cs="Arial"/>
        </w:rPr>
      </w:pPr>
    </w:p>
    <w:p w:rsidR="009C3185" w:rsidRPr="009C3185" w:rsidRDefault="009C3185" w:rsidP="009C3185">
      <w:pPr>
        <w:pStyle w:val="Sinespaciado"/>
        <w:numPr>
          <w:ilvl w:val="0"/>
          <w:numId w:val="1"/>
        </w:numPr>
        <w:ind w:right="-516"/>
        <w:jc w:val="both"/>
        <w:rPr>
          <w:rFonts w:cs="Arial"/>
        </w:rPr>
      </w:pPr>
      <w:r>
        <w:rPr>
          <w:rFonts w:cs="Arial"/>
          <w:b/>
        </w:rPr>
        <w:t>LA IGLESIA DEL CULTO FAMILIAR</w:t>
      </w:r>
    </w:p>
    <w:p w:rsidR="00D374D7" w:rsidRDefault="005E4A86" w:rsidP="009C3185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>Una Iglesia que principalmente se centra en la comunión es lo que se puede llamar la Iglesia del culto familiar.</w:t>
      </w:r>
    </w:p>
    <w:p w:rsidR="005E4A86" w:rsidRDefault="005E4A86" w:rsidP="005E4A86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Esta formación está dada por el líder que es muy sociable, que ama a las personas y que pasa el mayor tiempo cuidando a las personas. </w:t>
      </w:r>
    </w:p>
    <w:p w:rsidR="005E4A86" w:rsidRDefault="005E4A86" w:rsidP="005E4A86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Las palabras claves de ésta Iglesia son: amor, pertenencia, comunión, cuidado, relaciones, grupos pequeños y diversión.</w:t>
      </w:r>
    </w:p>
    <w:p w:rsidR="005E4A86" w:rsidRDefault="005E4A86" w:rsidP="005E4A86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Para ésta Iglesia las reuniones son más importantes que las metas. </w:t>
      </w:r>
    </w:p>
    <w:p w:rsidR="005E4A86" w:rsidRPr="005E4A86" w:rsidRDefault="005E4A86" w:rsidP="005E4A86">
      <w:pPr>
        <w:pStyle w:val="Sinespaciado"/>
        <w:ind w:right="-516"/>
        <w:jc w:val="both"/>
        <w:rPr>
          <w:rFonts w:cs="Arial"/>
        </w:rPr>
      </w:pPr>
    </w:p>
    <w:p w:rsidR="00F97708" w:rsidRDefault="00E24242" w:rsidP="006B23D8">
      <w:pPr>
        <w:pStyle w:val="Sinespaciado"/>
        <w:ind w:left="360" w:right="-516"/>
        <w:jc w:val="center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247C35" w:rsidRDefault="00D374D7">
      <w:pPr>
        <w:pStyle w:val="Sinespaciado"/>
        <w:ind w:left="-426" w:right="-516"/>
        <w:jc w:val="both"/>
      </w:pPr>
      <w:r>
        <w:t>Muchas Iglesia están cumpliendo su propósito, pero en alguna forma se enfocan más en alguno de ellos</w:t>
      </w:r>
      <w:r w:rsidR="006B23D8">
        <w:t>.</w:t>
      </w:r>
      <w:r>
        <w:t xml:space="preserve"> Es probable que una Iglesia de solamente estas características no haga mucho. Meditemos en ello. </w:t>
      </w:r>
      <w:r w:rsidR="006B23D8">
        <w:t xml:space="preserve"> </w:t>
      </w:r>
    </w:p>
    <w:p w:rsidR="00F97708" w:rsidRDefault="00E24242">
      <w:pPr>
        <w:pStyle w:val="Sinespaciado"/>
        <w:ind w:left="-426" w:right="-516"/>
        <w:jc w:val="both"/>
      </w:pPr>
      <w:r>
        <w:t xml:space="preserve"> </w:t>
      </w:r>
    </w:p>
    <w:p w:rsidR="00F97708" w:rsidRDefault="007E0177" w:rsidP="006B23D8">
      <w:pPr>
        <w:widowControl/>
        <w:suppressAutoHyphens w:val="0"/>
        <w:rPr>
          <w:rFonts w:ascii="Times New Roman" w:eastAsia="Times New Roman" w:hAnsi="Times New Roman" w:cs="Times New Roman"/>
          <w:b/>
          <w:lang w:eastAsia="es-GT" w:bidi="ar-SA"/>
        </w:rPr>
      </w:pPr>
      <w:r>
        <w:rPr>
          <w:rFonts w:ascii="Times New Roman" w:eastAsia="Times New Roman" w:hAnsi="Times New Roman" w:cs="Times New Roman"/>
          <w:b/>
          <w:lang w:eastAsia="es-GT" w:bidi="ar-SA"/>
        </w:rPr>
        <w:t>Equilibrio</w:t>
      </w:r>
    </w:p>
    <w:p w:rsidR="007E0177" w:rsidRPr="007E0177" w:rsidRDefault="007E0177" w:rsidP="006B23D8">
      <w:pPr>
        <w:widowControl/>
        <w:suppressAutoHyphens w:val="0"/>
        <w:rPr>
          <w:rStyle w:val="nacep"/>
          <w:rFonts w:asciiTheme="minorHAnsi" w:hAnsiTheme="minorHAnsi"/>
          <w:spacing w:val="4"/>
          <w:lang w:val="es-ES"/>
        </w:rPr>
      </w:pPr>
      <w:r w:rsidRPr="007E0177">
        <w:rPr>
          <w:rStyle w:val="nacep"/>
          <w:rFonts w:asciiTheme="minorHAnsi" w:hAnsiTheme="minorHAnsi"/>
          <w:spacing w:val="4"/>
          <w:lang w:val="es-ES"/>
        </w:rPr>
        <w:t xml:space="preserve">1. </w:t>
      </w:r>
      <w:r w:rsidRPr="007E0177">
        <w:rPr>
          <w:rFonts w:asciiTheme="minorHAnsi" w:hAnsiTheme="minorHAnsi"/>
          <w:spacing w:val="4"/>
          <w:lang w:val="es-ES"/>
        </w:rPr>
        <w:t>m. Estado de un cuerpo cuando fuerzas encontradas que obran en él se compensan destruyéndose mutuamente.</w:t>
      </w:r>
    </w:p>
    <w:p w:rsidR="006B23D8" w:rsidRPr="007E0177" w:rsidRDefault="007E0177" w:rsidP="006B23D8">
      <w:pPr>
        <w:widowControl/>
        <w:suppressAutoHyphens w:val="0"/>
        <w:rPr>
          <w:rFonts w:asciiTheme="minorHAnsi" w:hAnsiTheme="minorHAnsi"/>
        </w:rPr>
      </w:pPr>
      <w:r w:rsidRPr="007E0177">
        <w:rPr>
          <w:rStyle w:val="nacep"/>
          <w:rFonts w:asciiTheme="minorHAnsi" w:hAnsiTheme="minorHAnsi"/>
          <w:spacing w:val="4"/>
          <w:lang w:val="es-ES"/>
        </w:rPr>
        <w:t xml:space="preserve">8. </w:t>
      </w:r>
      <w:r w:rsidRPr="007E0177">
        <w:rPr>
          <w:rFonts w:asciiTheme="minorHAnsi" w:hAnsiTheme="minorHAnsi"/>
          <w:spacing w:val="4"/>
          <w:lang w:val="es-ES"/>
        </w:rPr>
        <w:t>m. pl. Actos de contemporización, prudencia o astucia, encaminados a sostener una situación, actitud, opinión, etc., insegura o dificultosa</w:t>
      </w:r>
      <w:r w:rsidR="008E301B" w:rsidRPr="007E0177">
        <w:rPr>
          <w:rFonts w:asciiTheme="minorHAnsi" w:hAnsiTheme="minorHAnsi"/>
        </w:rPr>
        <w:t>.</w:t>
      </w:r>
    </w:p>
    <w:p w:rsidR="00F97708" w:rsidRDefault="00E24242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tbl>
      <w:tblPr>
        <w:tblW w:w="10081" w:type="dxa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528"/>
        <w:gridCol w:w="3675"/>
        <w:gridCol w:w="1504"/>
        <w:gridCol w:w="1636"/>
        <w:gridCol w:w="1738"/>
      </w:tblGrid>
      <w:tr w:rsidR="00F97708" w:rsidTr="007E01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F97708" w:rsidTr="007E0177">
        <w:trPr>
          <w:trHeight w:val="3404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F97708">
            <w:pPr>
              <w:spacing w:line="100" w:lineRule="atLeast"/>
              <w:jc w:val="center"/>
            </w:pP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186583" w:rsidRDefault="00186583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99757F" w:rsidRDefault="0099757F">
            <w:pPr>
              <w:spacing w:line="100" w:lineRule="atLeast"/>
              <w:jc w:val="both"/>
              <w:rPr>
                <w:rFonts w:cs="Arial"/>
              </w:rPr>
            </w:pPr>
          </w:p>
          <w:p w:rsidR="00186583" w:rsidRDefault="00186583">
            <w:pPr>
              <w:spacing w:line="100" w:lineRule="atLeast"/>
              <w:jc w:val="both"/>
              <w:rPr>
                <w:rFonts w:cs="Arial"/>
              </w:rPr>
            </w:pPr>
          </w:p>
          <w:p w:rsidR="00186583" w:rsidRDefault="00186583">
            <w:pPr>
              <w:spacing w:line="100" w:lineRule="atLeast"/>
              <w:jc w:val="both"/>
              <w:rPr>
                <w:rFonts w:cs="Arial"/>
              </w:rPr>
            </w:pPr>
          </w:p>
          <w:p w:rsidR="0099757F" w:rsidRPr="0099757F" w:rsidRDefault="0099757F">
            <w:pPr>
              <w:spacing w:line="100" w:lineRule="atLeast"/>
              <w:jc w:val="both"/>
              <w:rPr>
                <w:b/>
              </w:rPr>
            </w:pPr>
            <w:r w:rsidRPr="0099757F">
              <w:rPr>
                <w:rFonts w:cs="Arial"/>
                <w:b/>
              </w:rPr>
              <w:t>Actitudinal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</w:pPr>
            <w:r>
              <w:t>.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8E301B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F97708" w:rsidP="00186583">
            <w:pPr>
              <w:spacing w:line="100" w:lineRule="atLeast"/>
              <w:jc w:val="both"/>
            </w:pPr>
          </w:p>
        </w:tc>
      </w:tr>
    </w:tbl>
    <w:p w:rsidR="00F97708" w:rsidRDefault="00F97708" w:rsidP="007E0177">
      <w:pPr>
        <w:pStyle w:val="Sinespaciado"/>
        <w:ind w:right="-516"/>
        <w:jc w:val="both"/>
        <w:rPr>
          <w:rFonts w:cs="Arial"/>
        </w:rPr>
      </w:pPr>
    </w:p>
    <w:p w:rsidR="0073016A" w:rsidRDefault="0073016A" w:rsidP="0073016A">
      <w:pPr>
        <w:pStyle w:val="Sinespaciado"/>
        <w:ind w:left="-426" w:right="-516"/>
        <w:jc w:val="both"/>
      </w:pPr>
      <w:r>
        <w:rPr>
          <w:rFonts w:cs="Arial"/>
          <w:b/>
        </w:rPr>
        <w:lastRenderedPageBreak/>
        <w:t>Tema general</w:t>
      </w:r>
      <w:r>
        <w:rPr>
          <w:rFonts w:cs="Arial"/>
        </w:rPr>
        <w:t>: Una sociedad  con propósito</w:t>
      </w:r>
    </w:p>
    <w:p w:rsidR="0073016A" w:rsidRDefault="0073016A" w:rsidP="0073016A">
      <w:pPr>
        <w:pStyle w:val="Sinespaciado"/>
        <w:ind w:left="-426" w:right="-516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“Organícese de acuerdo a los propósitos”</w:t>
      </w:r>
    </w:p>
    <w:p w:rsidR="0073016A" w:rsidRDefault="0073016A" w:rsidP="0073016A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Lucas 5:38</w:t>
      </w:r>
    </w:p>
    <w:p w:rsidR="0073016A" w:rsidRDefault="0073016A" w:rsidP="0073016A">
      <w:pPr>
        <w:pStyle w:val="Sinespaciado"/>
        <w:ind w:left="-426" w:right="-516"/>
        <w:jc w:val="center"/>
        <w:rPr>
          <w:rFonts w:cs="Arial"/>
          <w:b/>
        </w:rPr>
      </w:pPr>
      <w:r>
        <w:rPr>
          <w:rFonts w:cs="Arial"/>
          <w:b/>
        </w:rPr>
        <w:t>INTRODUCCION</w:t>
      </w:r>
    </w:p>
    <w:p w:rsidR="0073016A" w:rsidRDefault="0073016A" w:rsidP="0073016A">
      <w:pPr>
        <w:pStyle w:val="Sinespaciado"/>
        <w:ind w:left="-426" w:right="-516"/>
        <w:jc w:val="both"/>
      </w:pPr>
      <w:r>
        <w:t xml:space="preserve">Para que cualquier renovación en la sociedad  perdure, debe existir una estructura que la nutra y la apoye. Sin un sistema y una estructura para equilibrar intencionalmente los cinco propósitos, la sociedad tendrá la tendencia de recalcar excesivamente el propósito que mejor exprese los dones y la pasión del líder. </w:t>
      </w:r>
    </w:p>
    <w:p w:rsidR="0073016A" w:rsidRDefault="0073016A" w:rsidP="0073016A">
      <w:pPr>
        <w:pStyle w:val="Sinespaciado"/>
        <w:numPr>
          <w:ilvl w:val="0"/>
          <w:numId w:val="1"/>
        </w:numPr>
        <w:ind w:right="-516"/>
        <w:jc w:val="both"/>
      </w:pPr>
      <w:r>
        <w:t>LA SOCIEDAD QUE SOLO DESEA MAS PERSONAS</w:t>
      </w:r>
    </w:p>
    <w:p w:rsidR="0073016A" w:rsidRDefault="0073016A" w:rsidP="0073016A">
      <w:pPr>
        <w:pStyle w:val="Sinespaciado"/>
        <w:ind w:right="-516"/>
      </w:pPr>
      <w:r>
        <w:t xml:space="preserve">Si el líder considera su rol primario  es ser atraer personas, entonces la sociedad se convertirá en una sociedad  con muchas personas. </w:t>
      </w:r>
    </w:p>
    <w:p w:rsidR="0073016A" w:rsidRDefault="0073016A" w:rsidP="0073016A">
      <w:pPr>
        <w:pStyle w:val="Sinespaciado"/>
        <w:numPr>
          <w:ilvl w:val="1"/>
          <w:numId w:val="1"/>
        </w:numPr>
        <w:jc w:val="both"/>
      </w:pPr>
      <w:r>
        <w:rPr>
          <w:rFonts w:cs="Arial"/>
        </w:rPr>
        <w:t>Términos a escuchar: hablar bien de nosotros mismos, atraer a personas</w:t>
      </w:r>
      <w:proofErr w:type="gramStart"/>
      <w:r>
        <w:rPr>
          <w:rFonts w:cs="Arial"/>
        </w:rPr>
        <w:t>, ,</w:t>
      </w:r>
      <w:proofErr w:type="gramEnd"/>
      <w:r>
        <w:rPr>
          <w:rFonts w:cs="Arial"/>
        </w:rPr>
        <w:t xml:space="preserve"> decisión por una mejor vida, corteses , etc. </w:t>
      </w:r>
    </w:p>
    <w:p w:rsidR="0073016A" w:rsidRPr="00F14E64" w:rsidRDefault="0073016A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b/>
        </w:rPr>
      </w:pPr>
      <w:r>
        <w:rPr>
          <w:rFonts w:cs="Arial"/>
        </w:rPr>
        <w:t xml:space="preserve">En la sociedad  ganadora de personas todo lo que no sea atraer personas queda relegado a un segundo plano. </w:t>
      </w:r>
    </w:p>
    <w:p w:rsidR="0073016A" w:rsidRDefault="0073016A" w:rsidP="0073016A">
      <w:pPr>
        <w:pStyle w:val="Sinespaciado"/>
        <w:ind w:left="792" w:right="-516"/>
        <w:jc w:val="both"/>
        <w:rPr>
          <w:rFonts w:cs="Arial"/>
          <w:b/>
        </w:rPr>
      </w:pPr>
    </w:p>
    <w:p w:rsidR="0073016A" w:rsidRDefault="0073016A" w:rsidP="0073016A">
      <w:pPr>
        <w:pStyle w:val="Sinespaciado"/>
        <w:numPr>
          <w:ilvl w:val="0"/>
          <w:numId w:val="1"/>
        </w:numPr>
        <w:ind w:right="-516"/>
        <w:jc w:val="both"/>
      </w:pPr>
      <w:r>
        <w:rPr>
          <w:b/>
        </w:rPr>
        <w:t>LA SOCIEDAD  QUE EXPERIMENTA LO SOBRE NATURAL</w:t>
      </w:r>
    </w:p>
    <w:p w:rsidR="0073016A" w:rsidRPr="007E0177" w:rsidRDefault="0073016A" w:rsidP="0073016A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Si la pasión y lo SOBRE NATURAL es el carácter del líder, instintivamente guiará a la sociedad a convertirse en una sociedad  “Que experimente  LO SOBRE NATURAL”.   </w:t>
      </w:r>
    </w:p>
    <w:p w:rsidR="0073016A" w:rsidRDefault="0073016A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El tema central de esta SOCIEDAD es experimentar la presencia y el poder de lo sobrenatural. </w:t>
      </w:r>
    </w:p>
    <w:p w:rsidR="0073016A" w:rsidRDefault="0073016A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Las palabras claves de esta sociedad es: Alabanza, adoración, música, dones espirituales, espíritu poder</w:t>
      </w:r>
      <w:proofErr w:type="gramStart"/>
      <w:r>
        <w:rPr>
          <w:rFonts w:cs="Arial"/>
        </w:rPr>
        <w:t>..</w:t>
      </w:r>
      <w:proofErr w:type="gramEnd"/>
      <w:r>
        <w:rPr>
          <w:rFonts w:cs="Arial"/>
        </w:rPr>
        <w:t xml:space="preserve"> </w:t>
      </w:r>
    </w:p>
    <w:p w:rsidR="0073016A" w:rsidRDefault="0073016A" w:rsidP="0073016A">
      <w:pPr>
        <w:pStyle w:val="Sinespaciado"/>
        <w:ind w:left="792" w:right="-516"/>
        <w:jc w:val="both"/>
        <w:rPr>
          <w:rFonts w:cs="Arial"/>
        </w:rPr>
      </w:pPr>
    </w:p>
    <w:p w:rsidR="0073016A" w:rsidRPr="009C3185" w:rsidRDefault="00186583" w:rsidP="0073016A">
      <w:pPr>
        <w:pStyle w:val="Sinespaciado"/>
        <w:numPr>
          <w:ilvl w:val="0"/>
          <w:numId w:val="1"/>
        </w:numPr>
        <w:ind w:right="-516"/>
        <w:jc w:val="both"/>
        <w:rPr>
          <w:rFonts w:cs="Arial"/>
        </w:rPr>
      </w:pPr>
      <w:r>
        <w:rPr>
          <w:rFonts w:cs="Arial"/>
          <w:b/>
        </w:rPr>
        <w:t>LA SOCIEDAD QUE SE INCLINA POR TODO LO SOCIAL</w:t>
      </w:r>
    </w:p>
    <w:p w:rsidR="0073016A" w:rsidRDefault="0073016A" w:rsidP="0073016A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Una </w:t>
      </w:r>
      <w:r w:rsidR="00186583">
        <w:rPr>
          <w:rFonts w:cs="Arial"/>
        </w:rPr>
        <w:t xml:space="preserve">SOCIEDAD </w:t>
      </w:r>
      <w:r>
        <w:rPr>
          <w:rFonts w:cs="Arial"/>
        </w:rPr>
        <w:t xml:space="preserve"> que principalmente se centra en la comunión es l</w:t>
      </w:r>
      <w:r w:rsidR="00186583">
        <w:rPr>
          <w:rFonts w:cs="Arial"/>
        </w:rPr>
        <w:t xml:space="preserve">o que se puede llamar </w:t>
      </w:r>
      <w:proofErr w:type="spellStart"/>
      <w:proofErr w:type="gramStart"/>
      <w:r w:rsidR="00186583">
        <w:rPr>
          <w:rFonts w:cs="Arial"/>
        </w:rPr>
        <w:t>la</w:t>
      </w:r>
      <w:proofErr w:type="spellEnd"/>
      <w:r w:rsidR="00186583">
        <w:rPr>
          <w:rFonts w:cs="Arial"/>
        </w:rPr>
        <w:t xml:space="preserve"> grupos sociales</w:t>
      </w:r>
      <w:proofErr w:type="gramEnd"/>
      <w:r w:rsidR="00186583">
        <w:rPr>
          <w:rFonts w:cs="Arial"/>
        </w:rPr>
        <w:t xml:space="preserve"> o círculos sociales.</w:t>
      </w:r>
    </w:p>
    <w:p w:rsidR="0073016A" w:rsidRDefault="0073016A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Esta formación está dada por el líder que es muy sociable, que ama a las personas y que pasa el mayor tiempo cuidando a las personas. </w:t>
      </w:r>
    </w:p>
    <w:p w:rsidR="0073016A" w:rsidRDefault="0073016A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Las palabras</w:t>
      </w:r>
      <w:r w:rsidR="00186583">
        <w:rPr>
          <w:rFonts w:cs="Arial"/>
        </w:rPr>
        <w:t xml:space="preserve"> claves de ésta sociedad</w:t>
      </w:r>
      <w:r>
        <w:rPr>
          <w:rFonts w:cs="Arial"/>
        </w:rPr>
        <w:t xml:space="preserve"> son: amor, pertenencia, comunión, cuidado, relaciones, grupos pequeños y diversión.</w:t>
      </w:r>
    </w:p>
    <w:p w:rsidR="0073016A" w:rsidRDefault="00186583" w:rsidP="0073016A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Para ésta sociedad</w:t>
      </w:r>
      <w:r w:rsidR="0073016A">
        <w:rPr>
          <w:rFonts w:cs="Arial"/>
        </w:rPr>
        <w:t xml:space="preserve"> las reuniones son más importantes que las metas. </w:t>
      </w:r>
    </w:p>
    <w:p w:rsidR="0073016A" w:rsidRPr="005E4A86" w:rsidRDefault="0073016A" w:rsidP="0073016A">
      <w:pPr>
        <w:pStyle w:val="Sinespaciado"/>
        <w:ind w:right="-516"/>
        <w:jc w:val="both"/>
        <w:rPr>
          <w:rFonts w:cs="Arial"/>
        </w:rPr>
      </w:pPr>
    </w:p>
    <w:p w:rsidR="0073016A" w:rsidRDefault="0073016A" w:rsidP="0073016A">
      <w:pPr>
        <w:pStyle w:val="Sinespaciado"/>
        <w:ind w:left="360" w:right="-516"/>
        <w:jc w:val="center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186583" w:rsidRDefault="00186583" w:rsidP="00186583">
      <w:pPr>
        <w:pStyle w:val="Sinespaciado"/>
        <w:ind w:left="-426" w:right="-516"/>
        <w:jc w:val="both"/>
      </w:pPr>
      <w:r>
        <w:t>Muchas sociedades</w:t>
      </w:r>
      <w:r w:rsidR="0073016A">
        <w:t xml:space="preserve"> están cumpliendo su propósito, pero en alguna forma se enfocan más en alguno de ellos.</w:t>
      </w:r>
      <w:r>
        <w:t xml:space="preserve"> Es probable que una sociedad </w:t>
      </w:r>
      <w:r w:rsidR="0073016A">
        <w:t xml:space="preserve"> de solamente estas características no haga mucho. Meditemos en ello.  </w:t>
      </w:r>
    </w:p>
    <w:p w:rsidR="00186583" w:rsidRDefault="00186583" w:rsidP="00186583">
      <w:pPr>
        <w:pStyle w:val="Sinespaciado"/>
        <w:ind w:left="-426" w:right="-516"/>
        <w:jc w:val="both"/>
      </w:pPr>
    </w:p>
    <w:p w:rsidR="00186583" w:rsidRPr="00186583" w:rsidRDefault="00186583" w:rsidP="00186583">
      <w:pPr>
        <w:pStyle w:val="Sinespaciado"/>
        <w:ind w:left="-426" w:right="-516"/>
        <w:jc w:val="both"/>
      </w:pPr>
      <w:r>
        <w:t xml:space="preserve">DICCIONARIO DRAE: EQUILIBRIO: </w:t>
      </w:r>
      <w:r>
        <w:rPr>
          <w:rFonts w:ascii="Georgia" w:eastAsia="Calibri" w:hAnsi="Georgia" w:cs="Georgia"/>
          <w:sz w:val="22"/>
        </w:rPr>
        <w:t>Actos de contemporización, prudencia o astucia, encaminados a sostener una situación, actitud, opinión, etc., insegura o dificultosa.</w:t>
      </w:r>
    </w:p>
    <w:p w:rsidR="0073016A" w:rsidRDefault="0073016A" w:rsidP="0073016A">
      <w:pPr>
        <w:pStyle w:val="Sinespaciado"/>
        <w:ind w:left="-426" w:right="-516"/>
        <w:jc w:val="both"/>
      </w:pPr>
    </w:p>
    <w:p w:rsidR="00186583" w:rsidRDefault="00186583" w:rsidP="0073016A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</w:p>
    <w:p w:rsidR="0073016A" w:rsidRDefault="0073016A" w:rsidP="0073016A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tbl>
      <w:tblPr>
        <w:tblW w:w="10081" w:type="dxa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528"/>
        <w:gridCol w:w="3675"/>
        <w:gridCol w:w="1504"/>
        <w:gridCol w:w="1636"/>
        <w:gridCol w:w="1738"/>
      </w:tblGrid>
      <w:tr w:rsidR="0073016A" w:rsidTr="00345A56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73016A" w:rsidTr="00345A56">
        <w:trPr>
          <w:trHeight w:val="3404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center"/>
            </w:pPr>
            <w:r>
              <w:t>Equilibrio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73016A" w:rsidRDefault="0073016A" w:rsidP="00345A56">
            <w:pPr>
              <w:spacing w:line="100" w:lineRule="atLeast"/>
              <w:jc w:val="both"/>
            </w:pPr>
          </w:p>
          <w:p w:rsidR="00186583" w:rsidRDefault="00186583" w:rsidP="00345A56">
            <w:pPr>
              <w:spacing w:line="100" w:lineRule="atLeast"/>
              <w:jc w:val="both"/>
            </w:pPr>
          </w:p>
          <w:p w:rsidR="0073016A" w:rsidRDefault="0073016A" w:rsidP="00345A56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73016A" w:rsidRDefault="0073016A" w:rsidP="00345A56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186583" w:rsidRDefault="00186583" w:rsidP="00345A56">
            <w:pPr>
              <w:spacing w:line="100" w:lineRule="atLeast"/>
              <w:jc w:val="both"/>
            </w:pPr>
          </w:p>
          <w:p w:rsidR="00186583" w:rsidRDefault="00186583" w:rsidP="00345A56">
            <w:pPr>
              <w:spacing w:line="100" w:lineRule="atLeast"/>
              <w:jc w:val="both"/>
            </w:pPr>
          </w:p>
          <w:p w:rsidR="0073016A" w:rsidRDefault="0073016A" w:rsidP="00345A56">
            <w:pPr>
              <w:spacing w:line="100" w:lineRule="atLeast"/>
              <w:jc w:val="both"/>
              <w:rPr>
                <w:rFonts w:cs="Arial"/>
              </w:rPr>
            </w:pPr>
          </w:p>
          <w:p w:rsidR="0073016A" w:rsidRPr="0099757F" w:rsidRDefault="0073016A" w:rsidP="00345A56">
            <w:pPr>
              <w:spacing w:line="100" w:lineRule="atLeast"/>
              <w:jc w:val="both"/>
              <w:rPr>
                <w:b/>
              </w:rPr>
            </w:pPr>
            <w:r w:rsidRPr="0099757F">
              <w:rPr>
                <w:rFonts w:cs="Arial"/>
                <w:b/>
              </w:rPr>
              <w:t>Actitudinal</w:t>
            </w:r>
          </w:p>
          <w:p w:rsidR="0073016A" w:rsidRDefault="0073016A" w:rsidP="00345A56">
            <w:pPr>
              <w:spacing w:line="100" w:lineRule="atLeast"/>
              <w:jc w:val="both"/>
              <w:rPr>
                <w:rFonts w:cs="Arial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</w:pPr>
            <w:r>
              <w:t>.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345A56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73016A" w:rsidRDefault="0073016A" w:rsidP="00186583">
            <w:pPr>
              <w:spacing w:line="100" w:lineRule="atLeast"/>
              <w:jc w:val="both"/>
            </w:pPr>
          </w:p>
        </w:tc>
      </w:tr>
    </w:tbl>
    <w:p w:rsidR="0073016A" w:rsidRDefault="0073016A" w:rsidP="007E0177">
      <w:pPr>
        <w:pStyle w:val="Sinespaciado"/>
        <w:ind w:right="-516"/>
        <w:jc w:val="both"/>
        <w:rPr>
          <w:rFonts w:cs="Arial"/>
        </w:rPr>
      </w:pPr>
    </w:p>
    <w:sectPr w:rsidR="0073016A">
      <w:headerReference w:type="default" r:id="rId8"/>
      <w:pgSz w:w="12240" w:h="1872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31C" w:rsidRDefault="0035031C">
      <w:r>
        <w:separator/>
      </w:r>
    </w:p>
  </w:endnote>
  <w:endnote w:type="continuationSeparator" w:id="0">
    <w:p w:rsidR="0035031C" w:rsidRDefault="0035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31C" w:rsidRDefault="0035031C">
      <w:r>
        <w:separator/>
      </w:r>
    </w:p>
  </w:footnote>
  <w:footnote w:type="continuationSeparator" w:id="0">
    <w:p w:rsidR="0035031C" w:rsidRDefault="0035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3D8" w:rsidRDefault="006B23D8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noProof/>
        <w:sz w:val="22"/>
        <w:szCs w:val="24"/>
        <w:lang w:eastAsia="es-GT" w:bidi="ar-SA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B23D8" w:rsidRPr="0032392B" w:rsidRDefault="00EA5068" w:rsidP="0032392B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sz w:val="22"/>
        <w:szCs w:val="24"/>
      </w:rPr>
      <w:t>ESTUDIO No.21</w:t>
    </w:r>
    <w:r w:rsidR="007E0177">
      <w:rPr>
        <w:rFonts w:ascii="Arial" w:hAnsi="Arial" w:cs="Arial"/>
        <w:b/>
        <w:sz w:val="22"/>
        <w:szCs w:val="24"/>
      </w:rPr>
      <w:t xml:space="preserve"> Equilibrio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715"/>
    <w:multiLevelType w:val="multilevel"/>
    <w:tmpl w:val="6D8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871215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1C434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EB44CB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A508BD"/>
    <w:multiLevelType w:val="multilevel"/>
    <w:tmpl w:val="B5FAA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08"/>
    <w:rsid w:val="000D7E8E"/>
    <w:rsid w:val="001348DC"/>
    <w:rsid w:val="00186583"/>
    <w:rsid w:val="00193D64"/>
    <w:rsid w:val="001B1F13"/>
    <w:rsid w:val="001E4EA2"/>
    <w:rsid w:val="00247C35"/>
    <w:rsid w:val="0032392B"/>
    <w:rsid w:val="0035031C"/>
    <w:rsid w:val="005E4A86"/>
    <w:rsid w:val="00646352"/>
    <w:rsid w:val="006B23D8"/>
    <w:rsid w:val="0073016A"/>
    <w:rsid w:val="007E0177"/>
    <w:rsid w:val="008D344F"/>
    <w:rsid w:val="008E301B"/>
    <w:rsid w:val="009202E7"/>
    <w:rsid w:val="00931B9E"/>
    <w:rsid w:val="009850A5"/>
    <w:rsid w:val="0099757F"/>
    <w:rsid w:val="009C3185"/>
    <w:rsid w:val="00C1028E"/>
    <w:rsid w:val="00D374D7"/>
    <w:rsid w:val="00E04982"/>
    <w:rsid w:val="00E24242"/>
    <w:rsid w:val="00E81422"/>
    <w:rsid w:val="00EA5068"/>
    <w:rsid w:val="00F14E64"/>
    <w:rsid w:val="00F25CBA"/>
    <w:rsid w:val="00F710FF"/>
    <w:rsid w:val="00F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16A"/>
    <w:pPr>
      <w:widowControl w:val="0"/>
      <w:suppressAutoHyphens/>
      <w:spacing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Encabezado"/>
  </w:style>
  <w:style w:type="character" w:customStyle="1" w:styleId="EncabezadoCar">
    <w:name w:val="Encabezado Car"/>
    <w:basedOn w:val="Fuentedeprrafopredeter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WenQuanYi Zen Hei Sharp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rFonts w:eastAsia="WenQuanYi Zen Hei Sharp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FreeSan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inespaciado">
    <w:name w:val="No Spacing"/>
    <w:pPr>
      <w:suppressAutoHyphens/>
      <w:spacing w:line="100" w:lineRule="atLeast"/>
    </w:pPr>
    <w:rPr>
      <w:rFonts w:eastAsia="WenQuanYi Zen Hei Sharp" w:cs="FreeSans"/>
      <w:color w:val="00000A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rrafodelista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Contenidodelatabla">
    <w:name w:val="Contenido de la tabla"/>
    <w:basedOn w:val="Normal"/>
  </w:style>
  <w:style w:type="character" w:customStyle="1" w:styleId="nacep">
    <w:name w:val="n_acep"/>
    <w:basedOn w:val="Fuentedeprrafopredeter"/>
    <w:rsid w:val="008E3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16A"/>
    <w:pPr>
      <w:widowControl w:val="0"/>
      <w:suppressAutoHyphens/>
      <w:spacing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Encabezado"/>
  </w:style>
  <w:style w:type="character" w:customStyle="1" w:styleId="EncabezadoCar">
    <w:name w:val="Encabezado Car"/>
    <w:basedOn w:val="Fuentedeprrafopredeter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WenQuanYi Zen Hei Sharp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rFonts w:eastAsia="WenQuanYi Zen Hei Sharp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FreeSan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inespaciado">
    <w:name w:val="No Spacing"/>
    <w:pPr>
      <w:suppressAutoHyphens/>
      <w:spacing w:line="100" w:lineRule="atLeast"/>
    </w:pPr>
    <w:rPr>
      <w:rFonts w:eastAsia="WenQuanYi Zen Hei Sharp" w:cs="FreeSans"/>
      <w:color w:val="00000A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rrafodelista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Contenidodelatabla">
    <w:name w:val="Contenido de la tabla"/>
    <w:basedOn w:val="Normal"/>
  </w:style>
  <w:style w:type="character" w:customStyle="1" w:styleId="nacep">
    <w:name w:val="n_acep"/>
    <w:basedOn w:val="Fuentedeprrafopredeter"/>
    <w:rsid w:val="008E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2016-07-12T01:49:00Z</cp:lastPrinted>
  <dcterms:created xsi:type="dcterms:W3CDTF">2016-07-24T03:33:00Z</dcterms:created>
  <dcterms:modified xsi:type="dcterms:W3CDTF">2016-07-24T03:33:00Z</dcterms:modified>
  <dc:language>es-GT</dc:language>
</cp:coreProperties>
</file>