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2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Masthead"/>
      </w:tblPr>
      <w:tblGrid>
        <w:gridCol w:w="70"/>
        <w:gridCol w:w="3706"/>
        <w:gridCol w:w="3718"/>
        <w:gridCol w:w="70"/>
        <w:gridCol w:w="3706"/>
      </w:tblGrid>
      <w:tr w:rsidR="002A2B86" w:rsidTr="003F7CA7">
        <w:trPr>
          <w:gridAfter w:val="3"/>
          <w:wAfter w:w="7494" w:type="dxa"/>
          <w:cantSplit/>
          <w:trHeight w:hRule="exact" w:val="1973"/>
          <w:jc w:val="center"/>
        </w:trPr>
        <w:tc>
          <w:tcPr>
            <w:tcW w:w="70" w:type="dxa"/>
            <w:tcBorders>
              <w:left w:val="single" w:sz="4" w:space="0" w:color="FFFFFF" w:themeColor="background1"/>
              <w:right w:val="single" w:sz="4" w:space="0" w:color="FFFFFF" w:themeColor="background1"/>
            </w:tcBorders>
            <w:tcMar>
              <w:left w:w="0" w:type="dxa"/>
              <w:right w:w="0" w:type="dxa"/>
            </w:tcMar>
          </w:tcPr>
          <w:p w:rsidR="002A2B86" w:rsidRDefault="002A2B86" w:rsidP="003F7CA7">
            <w:pPr>
              <w:pStyle w:val="NoSpacing"/>
            </w:pPr>
            <w:bookmarkStart w:id="0" w:name="_GoBack"/>
            <w:bookmarkEnd w:id="0"/>
          </w:p>
        </w:tc>
        <w:tc>
          <w:tcPr>
            <w:tcW w:w="37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81BD" w:themeFill="accent1"/>
          </w:tcPr>
          <w:tbl>
            <w:tblPr>
              <w:tblpPr w:leftFromText="180" w:rightFromText="180" w:horzAnchor="margin" w:tblpY="-840"/>
              <w:tblOverlap w:val="never"/>
              <w:tblW w:w="6097" w:type="dxa"/>
              <w:tblLayout w:type="fixed"/>
              <w:tblLook w:val="04A0" w:firstRow="1" w:lastRow="0" w:firstColumn="1" w:lastColumn="0" w:noHBand="0" w:noVBand="1"/>
            </w:tblPr>
            <w:tblGrid>
              <w:gridCol w:w="6097"/>
            </w:tblGrid>
            <w:tr w:rsidR="002A2B86" w:rsidTr="00806E16">
              <w:trPr>
                <w:trHeight w:val="501"/>
              </w:trPr>
              <w:tc>
                <w:tcPr>
                  <w:tcW w:w="5000" w:type="pct"/>
                </w:tcPr>
                <w:p w:rsidR="002A2B86" w:rsidRDefault="002A2B86" w:rsidP="003F7CA7">
                  <w:pPr>
                    <w:pStyle w:val="Subtitle"/>
                    <w:jc w:val="left"/>
                    <w:rPr>
                      <w:sz w:val="48"/>
                      <w:szCs w:val="48"/>
                    </w:rPr>
                  </w:pPr>
                  <w:r>
                    <w:rPr>
                      <w:sz w:val="48"/>
                      <w:szCs w:val="48"/>
                    </w:rPr>
                    <w:t xml:space="preserve">GWH </w:t>
                  </w:r>
                </w:p>
                <w:p w:rsidR="002A2B86" w:rsidRDefault="002A2B86" w:rsidP="003F7CA7">
                  <w:pPr>
                    <w:pStyle w:val="Subtitle"/>
                    <w:jc w:val="left"/>
                    <w:rPr>
                      <w:sz w:val="48"/>
                      <w:szCs w:val="48"/>
                    </w:rPr>
                  </w:pPr>
                  <w:r w:rsidRPr="002A2B86">
                    <w:rPr>
                      <w:sz w:val="48"/>
                      <w:szCs w:val="48"/>
                    </w:rPr>
                    <w:t xml:space="preserve">NatSSIPs </w:t>
                  </w:r>
                </w:p>
                <w:p w:rsidR="002A2B86" w:rsidRPr="002A2B86" w:rsidRDefault="002A2B86" w:rsidP="003F7CA7">
                  <w:pPr>
                    <w:pStyle w:val="Subtitle"/>
                    <w:jc w:val="left"/>
                    <w:rPr>
                      <w:sz w:val="48"/>
                      <w:szCs w:val="48"/>
                    </w:rPr>
                  </w:pPr>
                  <w:r w:rsidRPr="002A2B86">
                    <w:rPr>
                      <w:sz w:val="48"/>
                      <w:szCs w:val="48"/>
                    </w:rPr>
                    <w:t>Update</w:t>
                  </w:r>
                </w:p>
              </w:tc>
            </w:tr>
          </w:tbl>
          <w:p w:rsidR="002A2B86" w:rsidRDefault="002A2B86" w:rsidP="003F7CA7">
            <w:pPr>
              <w:pStyle w:val="Subtitle"/>
            </w:pPr>
          </w:p>
        </w:tc>
      </w:tr>
      <w:tr w:rsidR="002A2B86" w:rsidTr="003F7CA7">
        <w:trPr>
          <w:cantSplit/>
          <w:trHeight w:hRule="exact" w:val="26"/>
          <w:jc w:val="center"/>
        </w:trPr>
        <w:tc>
          <w:tcPr>
            <w:tcW w:w="7494" w:type="dxa"/>
            <w:gridSpan w:val="3"/>
            <w:tcBorders>
              <w:top w:val="single" w:sz="4" w:space="0" w:color="FFFFFF" w:themeColor="background1"/>
            </w:tcBorders>
          </w:tcPr>
          <w:p w:rsidR="002A2B86" w:rsidRDefault="002A2B86" w:rsidP="003F7CA7">
            <w:pPr>
              <w:pStyle w:val="NoSpacing"/>
            </w:pPr>
            <w:r>
              <w:t>444rw</w:t>
            </w:r>
          </w:p>
        </w:tc>
        <w:tc>
          <w:tcPr>
            <w:tcW w:w="70" w:type="dxa"/>
          </w:tcPr>
          <w:p w:rsidR="002A2B86" w:rsidRDefault="002A2B86" w:rsidP="003F7CA7">
            <w:pPr>
              <w:pStyle w:val="NoSpacing"/>
            </w:pPr>
          </w:p>
        </w:tc>
        <w:tc>
          <w:tcPr>
            <w:tcW w:w="3706" w:type="dxa"/>
            <w:tcBorders>
              <w:top w:val="single" w:sz="4" w:space="0" w:color="FFFFFF" w:themeColor="background1"/>
            </w:tcBorders>
          </w:tcPr>
          <w:p w:rsidR="002A2B86" w:rsidRDefault="002A2B86" w:rsidP="003F7CA7">
            <w:pPr>
              <w:pStyle w:val="NoSpacing"/>
            </w:pPr>
          </w:p>
        </w:tc>
      </w:tr>
      <w:tr w:rsidR="002A2B86" w:rsidTr="003F7CA7">
        <w:trPr>
          <w:gridAfter w:val="4"/>
          <w:wAfter w:w="11200" w:type="dxa"/>
          <w:cantSplit/>
          <w:trHeight w:val="130"/>
          <w:jc w:val="center"/>
        </w:trPr>
        <w:tc>
          <w:tcPr>
            <w:tcW w:w="70" w:type="dxa"/>
            <w:tcMar>
              <w:left w:w="0" w:type="dxa"/>
              <w:right w:w="0" w:type="dxa"/>
            </w:tcMar>
            <w:vAlign w:val="center"/>
          </w:tcPr>
          <w:p w:rsidR="002A2B86" w:rsidRDefault="002A2B86" w:rsidP="003F7CA7">
            <w:pPr>
              <w:pStyle w:val="NoSpacing"/>
            </w:pPr>
          </w:p>
        </w:tc>
      </w:tr>
    </w:tbl>
    <w:p w:rsidR="002A2B86" w:rsidRDefault="002A2B86" w:rsidP="00806E16">
      <w:pPr>
        <w:pStyle w:val="Heading1"/>
        <w:spacing w:before="0"/>
      </w:pPr>
      <w:r>
        <w:t>NatSSIPs and LocSSIPs- So what are they exactly?</w:t>
      </w:r>
    </w:p>
    <w:p w:rsidR="002A2B86" w:rsidRDefault="002A2B86" w:rsidP="002A2B86">
      <w:r>
        <w:t>The new national standards from NHS England are designed to improve procedural safety and ultimately reduce Never Events.</w:t>
      </w:r>
    </w:p>
    <w:p w:rsidR="002A2B86" w:rsidRDefault="002A2B86" w:rsidP="002A2B86">
      <w:r>
        <w:t>The standards were to be adopted by all NHS Trusts from September 2016, NatSSIPs and locally developed LocSSIPs will allow organisations to standardise the processes that underpin patient safety.</w:t>
      </w:r>
    </w:p>
    <w:p w:rsidR="002A2B86" w:rsidRDefault="002A2B86" w:rsidP="002A2B86">
      <w:r>
        <w:t xml:space="preserve">Organisations should develop Local Safety Standards for Invasive Procedures (LocSSIPs) that include the key steps outlined in the NatSSIPs Document. </w:t>
      </w:r>
    </w:p>
    <w:p w:rsidR="002A2B86" w:rsidRDefault="002A2B86" w:rsidP="002A2B86">
      <w:r>
        <w:t>The NatSSIPs build on the WHO Safer Surgery Checklist and extend it to more patients undergoing care in hospitals.</w:t>
      </w:r>
    </w:p>
    <w:p w:rsidR="002A2B86" w:rsidRDefault="002A2B86" w:rsidP="002A2B86">
      <w:pPr>
        <w:pStyle w:val="Heading2"/>
      </w:pPr>
      <w:r>
        <w:t>What are the steps and standards?</w:t>
      </w:r>
    </w:p>
    <w:p w:rsidR="002A2B86" w:rsidRDefault="002A2B86" w:rsidP="002A2B86">
      <w:pPr>
        <w:pStyle w:val="ListParagraph"/>
        <w:numPr>
          <w:ilvl w:val="0"/>
          <w:numId w:val="1"/>
        </w:numPr>
        <w:sectPr w:rsidR="002A2B86">
          <w:headerReference w:type="default" r:id="rId8"/>
          <w:pgSz w:w="11906" w:h="16838"/>
          <w:pgMar w:top="1440" w:right="1440" w:bottom="1440" w:left="1440" w:header="708" w:footer="708" w:gutter="0"/>
          <w:cols w:space="708"/>
          <w:docGrid w:linePitch="360"/>
        </w:sectPr>
      </w:pPr>
    </w:p>
    <w:p w:rsidR="002A2B86" w:rsidRPr="002A2B86" w:rsidRDefault="002A2B86" w:rsidP="002A2B86">
      <w:pPr>
        <w:pStyle w:val="ListParagraph"/>
        <w:numPr>
          <w:ilvl w:val="0"/>
          <w:numId w:val="1"/>
        </w:numPr>
      </w:pPr>
      <w:r w:rsidRPr="002A2B86">
        <w:lastRenderedPageBreak/>
        <w:t>Governance and audit</w:t>
      </w:r>
    </w:p>
    <w:p w:rsidR="002A2B86" w:rsidRPr="002A2B86" w:rsidRDefault="002A2B86" w:rsidP="002A2B86">
      <w:pPr>
        <w:pStyle w:val="ListParagraph"/>
        <w:numPr>
          <w:ilvl w:val="0"/>
          <w:numId w:val="1"/>
        </w:numPr>
      </w:pPr>
      <w:r w:rsidRPr="002A2B86">
        <w:t>Documentation</w:t>
      </w:r>
    </w:p>
    <w:p w:rsidR="002A2B86" w:rsidRPr="002A2B86" w:rsidRDefault="002A2B86" w:rsidP="002A2B86">
      <w:pPr>
        <w:pStyle w:val="ListParagraph"/>
        <w:numPr>
          <w:ilvl w:val="0"/>
          <w:numId w:val="1"/>
        </w:numPr>
      </w:pPr>
      <w:r w:rsidRPr="002A2B86">
        <w:t>Workforce</w:t>
      </w:r>
    </w:p>
    <w:p w:rsidR="002A2B86" w:rsidRPr="002A2B86" w:rsidRDefault="002A2B86" w:rsidP="002A2B86">
      <w:pPr>
        <w:pStyle w:val="ListParagraph"/>
        <w:numPr>
          <w:ilvl w:val="0"/>
          <w:numId w:val="1"/>
        </w:numPr>
      </w:pPr>
      <w:r w:rsidRPr="002A2B86">
        <w:t>Scheduling and list management</w:t>
      </w:r>
    </w:p>
    <w:p w:rsidR="002A2B86" w:rsidRPr="002A2B86" w:rsidRDefault="002A2B86" w:rsidP="002A2B86">
      <w:pPr>
        <w:pStyle w:val="ListParagraph"/>
        <w:numPr>
          <w:ilvl w:val="0"/>
          <w:numId w:val="1"/>
        </w:numPr>
      </w:pPr>
      <w:r w:rsidRPr="002A2B86">
        <w:t>Handovers and information at transfer</w:t>
      </w:r>
    </w:p>
    <w:p w:rsidR="002A2B86" w:rsidRPr="002A2B86" w:rsidRDefault="002A2B86" w:rsidP="002A2B86">
      <w:pPr>
        <w:pStyle w:val="ListParagraph"/>
        <w:numPr>
          <w:ilvl w:val="0"/>
          <w:numId w:val="1"/>
        </w:numPr>
      </w:pPr>
      <w:r w:rsidRPr="002A2B86">
        <w:t>Site marking</w:t>
      </w:r>
    </w:p>
    <w:p w:rsidR="002A2B86" w:rsidRPr="002A2B86" w:rsidRDefault="002A2B86" w:rsidP="002A2B86">
      <w:pPr>
        <w:pStyle w:val="ListParagraph"/>
        <w:numPr>
          <w:ilvl w:val="0"/>
          <w:numId w:val="1"/>
        </w:numPr>
      </w:pPr>
      <w:r w:rsidRPr="002A2B86">
        <w:lastRenderedPageBreak/>
        <w:t>Safety briefing</w:t>
      </w:r>
    </w:p>
    <w:p w:rsidR="002A2B86" w:rsidRPr="002A2B86" w:rsidRDefault="002A2B86" w:rsidP="002A2B86">
      <w:pPr>
        <w:pStyle w:val="ListParagraph"/>
        <w:numPr>
          <w:ilvl w:val="0"/>
          <w:numId w:val="1"/>
        </w:numPr>
      </w:pPr>
      <w:r w:rsidRPr="002A2B86">
        <w:t>Sign in</w:t>
      </w:r>
    </w:p>
    <w:p w:rsidR="002A2B86" w:rsidRPr="002A2B86" w:rsidRDefault="002A2B86" w:rsidP="002A2B86">
      <w:pPr>
        <w:pStyle w:val="ListParagraph"/>
        <w:numPr>
          <w:ilvl w:val="0"/>
          <w:numId w:val="1"/>
        </w:numPr>
      </w:pPr>
      <w:r w:rsidRPr="002A2B86">
        <w:t>Time out</w:t>
      </w:r>
    </w:p>
    <w:p w:rsidR="002A2B86" w:rsidRPr="002A2B86" w:rsidRDefault="002A2B86" w:rsidP="002A2B86">
      <w:pPr>
        <w:pStyle w:val="ListParagraph"/>
        <w:numPr>
          <w:ilvl w:val="0"/>
          <w:numId w:val="1"/>
        </w:numPr>
      </w:pPr>
      <w:r w:rsidRPr="002A2B86">
        <w:t xml:space="preserve">Sign out </w:t>
      </w:r>
    </w:p>
    <w:p w:rsidR="002A2B86" w:rsidRPr="002A2B86" w:rsidRDefault="002A2B86" w:rsidP="002A2B86">
      <w:pPr>
        <w:pStyle w:val="ListParagraph"/>
        <w:numPr>
          <w:ilvl w:val="0"/>
          <w:numId w:val="1"/>
        </w:numPr>
      </w:pPr>
      <w:r w:rsidRPr="002A2B86">
        <w:t>Prosthesis verification</w:t>
      </w:r>
    </w:p>
    <w:p w:rsidR="002A2B86" w:rsidRPr="002A2B86" w:rsidRDefault="002A2B86" w:rsidP="002A2B86">
      <w:pPr>
        <w:pStyle w:val="ListParagraph"/>
        <w:numPr>
          <w:ilvl w:val="0"/>
          <w:numId w:val="1"/>
        </w:numPr>
      </w:pPr>
      <w:r w:rsidRPr="002A2B86">
        <w:t>Prevention of retained foreign objects</w:t>
      </w:r>
    </w:p>
    <w:p w:rsidR="002A2B86" w:rsidRPr="002A2B86" w:rsidRDefault="002A2B86" w:rsidP="002A2B86">
      <w:pPr>
        <w:pStyle w:val="ListParagraph"/>
        <w:numPr>
          <w:ilvl w:val="0"/>
          <w:numId w:val="1"/>
        </w:numPr>
      </w:pPr>
      <w:r w:rsidRPr="002A2B86">
        <w:t>Debriefing</w:t>
      </w:r>
    </w:p>
    <w:p w:rsidR="002A2B86" w:rsidRDefault="002A2B86" w:rsidP="002A2B86">
      <w:pPr>
        <w:sectPr w:rsidR="002A2B86" w:rsidSect="002A2B86">
          <w:type w:val="continuous"/>
          <w:pgSz w:w="11906" w:h="16838"/>
          <w:pgMar w:top="1440" w:right="1440" w:bottom="1440" w:left="1440" w:header="708" w:footer="708" w:gutter="0"/>
          <w:cols w:num="2" w:space="708"/>
          <w:docGrid w:linePitch="360"/>
        </w:sectPr>
      </w:pPr>
    </w:p>
    <w:p w:rsidR="002A2B86" w:rsidRDefault="002A2B86" w:rsidP="002A2B86">
      <w:pPr>
        <w:pStyle w:val="Heading1"/>
      </w:pPr>
      <w:r>
        <w:lastRenderedPageBreak/>
        <w:t>Who do they apply to?</w:t>
      </w:r>
    </w:p>
    <w:p w:rsidR="002A2B86" w:rsidRDefault="002A2B86" w:rsidP="002A2B86">
      <w:r>
        <w:t>Everyone involved in invasive procedures!</w:t>
      </w:r>
    </w:p>
    <w:p w:rsidR="002A2B86" w:rsidRDefault="002A2B86" w:rsidP="00806E16">
      <w:pPr>
        <w:pStyle w:val="Heading1"/>
        <w:spacing w:before="240"/>
      </w:pPr>
      <w:r>
        <w:t>What are invasive procedures?</w:t>
      </w:r>
    </w:p>
    <w:p w:rsidR="002A2B86" w:rsidRDefault="002A2B86" w:rsidP="002A2B86">
      <w:r>
        <w:t>•All surgical and interventional procedures performed in operating theatres, outpatient treatment areas, labour ward delivery rooms, and other procedural areas within an organisation.</w:t>
      </w:r>
      <w:r>
        <w:br/>
        <w:t>• Surgical repair of episiotomy or genital tract trauma associated with vaginal delivery.</w:t>
      </w:r>
      <w:r>
        <w:br/>
        <w:t>• Invasive cardiological procedures such as cardiac catheterisation, angioplasty and stent insertion.</w:t>
      </w:r>
      <w:r>
        <w:br/>
        <w:t>• Endoscopic procedures such as gastroscopy and colonoscopy.</w:t>
      </w:r>
      <w:r>
        <w:br/>
        <w:t>• Interventional radiological procedures.</w:t>
      </w:r>
      <w:r>
        <w:br/>
        <w:t>• Thoracic interventions such as bronchoscopy and the insertion of chest drains.</w:t>
      </w:r>
      <w:r>
        <w:br/>
        <w:t>• Biopsies and other invasive tissue sampling.</w:t>
      </w:r>
    </w:p>
    <w:p w:rsidR="002A2B86" w:rsidRPr="002A2B86" w:rsidRDefault="002A2B86" w:rsidP="002A2B86">
      <w:r>
        <w:t xml:space="preserve">It is not intended that NatSSIPs and LocSSIPs address procedures that involve the simple penetration of the skin or entry of a body cavity, such as the insertion of an intravenous line or a urinary catheter, or the use of ionising radiation, such as the taking of a plain X-ray. </w:t>
      </w:r>
    </w:p>
    <w:p w:rsidR="002A2B86" w:rsidRDefault="002A2B86" w:rsidP="002A2B86">
      <w:pPr>
        <w:pStyle w:val="Heading1"/>
      </w:pPr>
      <w:r>
        <w:lastRenderedPageBreak/>
        <w:t xml:space="preserve">Progress with implementing NatSSIPs/LocSSIPs at GWH </w:t>
      </w:r>
    </w:p>
    <w:p w:rsidR="002A2B86" w:rsidRPr="002A2B86" w:rsidRDefault="002A2B86" w:rsidP="002A2B86">
      <w:pPr>
        <w:pStyle w:val="Heading2"/>
      </w:pPr>
      <w:r>
        <w:t>Speciality Level Self-Assessments-</w:t>
      </w:r>
    </w:p>
    <w:p w:rsidR="002A2B86" w:rsidRDefault="002A2B86">
      <w:r>
        <w:t xml:space="preserve">All departments have been asked to undertake a self-assessment against the National Safety Standards for invasive procedures by December 2016. Part of this review required teams to identify priorities for improvement. Many areas have now completed this first piece of work and are progressing with improvements where needed. If you need any support or advice on completing your self-assessment, please contact </w:t>
      </w:r>
      <w:r w:rsidRPr="002A2B86">
        <w:rPr>
          <w:b/>
        </w:rPr>
        <w:t>Daniel Boden on x5382</w:t>
      </w:r>
      <w:r>
        <w:t>.</w:t>
      </w:r>
    </w:p>
    <w:tbl>
      <w:tblPr>
        <w:tblW w:w="9280" w:type="dxa"/>
        <w:tblInd w:w="103" w:type="dxa"/>
        <w:tblLook w:val="04A0" w:firstRow="1" w:lastRow="0" w:firstColumn="1" w:lastColumn="0" w:noHBand="0" w:noVBand="1"/>
      </w:tblPr>
      <w:tblGrid>
        <w:gridCol w:w="2283"/>
        <w:gridCol w:w="1351"/>
        <w:gridCol w:w="1328"/>
        <w:gridCol w:w="1439"/>
        <w:gridCol w:w="1439"/>
        <w:gridCol w:w="1440"/>
      </w:tblGrid>
      <w:tr w:rsidR="002A2B86" w:rsidRPr="002A2B86" w:rsidTr="002A2B86">
        <w:trPr>
          <w:trHeight w:val="900"/>
        </w:trPr>
        <w:tc>
          <w:tcPr>
            <w:tcW w:w="2320" w:type="dxa"/>
            <w:tcBorders>
              <w:top w:val="single" w:sz="4" w:space="0" w:color="auto"/>
              <w:left w:val="single" w:sz="4" w:space="0" w:color="auto"/>
              <w:bottom w:val="single" w:sz="4" w:space="0" w:color="auto"/>
              <w:right w:val="single" w:sz="4" w:space="0" w:color="auto"/>
            </w:tcBorders>
            <w:shd w:val="clear" w:color="000000" w:fill="C4D79B"/>
            <w:vAlign w:val="bottom"/>
            <w:hideMark/>
          </w:tcPr>
          <w:p w:rsidR="002A2B86" w:rsidRPr="002A2B86" w:rsidRDefault="002A2B86" w:rsidP="002A2B86">
            <w:pPr>
              <w:spacing w:after="0" w:line="240" w:lineRule="auto"/>
              <w:rPr>
                <w:rFonts w:ascii="Calibri" w:eastAsia="Times New Roman" w:hAnsi="Calibri" w:cs="Calibri"/>
                <w:lang w:eastAsia="en-GB"/>
              </w:rPr>
            </w:pPr>
            <w:r w:rsidRPr="002A2B86">
              <w:rPr>
                <w:rFonts w:ascii="Calibri" w:eastAsia="Times New Roman" w:hAnsi="Calibri" w:cs="Calibri"/>
                <w:lang w:eastAsia="en-GB"/>
              </w:rPr>
              <w:t>Department/Speciality</w:t>
            </w:r>
          </w:p>
        </w:tc>
        <w:tc>
          <w:tcPr>
            <w:tcW w:w="1380" w:type="dxa"/>
            <w:tcBorders>
              <w:top w:val="single" w:sz="4" w:space="0" w:color="auto"/>
              <w:left w:val="nil"/>
              <w:bottom w:val="single" w:sz="4" w:space="0" w:color="auto"/>
              <w:right w:val="single" w:sz="4" w:space="0" w:color="auto"/>
            </w:tcBorders>
            <w:shd w:val="clear" w:color="000000" w:fill="C4D79B"/>
            <w:vAlign w:val="bottom"/>
            <w:hideMark/>
          </w:tcPr>
          <w:p w:rsidR="002A2B86" w:rsidRPr="002A2B86" w:rsidRDefault="002A2B86" w:rsidP="002A2B86">
            <w:pPr>
              <w:spacing w:after="0" w:line="240" w:lineRule="auto"/>
              <w:rPr>
                <w:rFonts w:ascii="Calibri" w:eastAsia="Times New Roman" w:hAnsi="Calibri" w:cs="Calibri"/>
                <w:lang w:eastAsia="en-GB"/>
              </w:rPr>
            </w:pPr>
            <w:r w:rsidRPr="002A2B86">
              <w:rPr>
                <w:rFonts w:ascii="Calibri" w:eastAsia="Times New Roman" w:hAnsi="Calibri" w:cs="Calibri"/>
                <w:lang w:eastAsia="en-GB"/>
              </w:rPr>
              <w:t>Self-Assessment commenced</w:t>
            </w:r>
          </w:p>
        </w:tc>
        <w:tc>
          <w:tcPr>
            <w:tcW w:w="1380" w:type="dxa"/>
            <w:tcBorders>
              <w:top w:val="single" w:sz="4" w:space="0" w:color="auto"/>
              <w:left w:val="nil"/>
              <w:bottom w:val="single" w:sz="4" w:space="0" w:color="auto"/>
              <w:right w:val="single" w:sz="4" w:space="0" w:color="auto"/>
            </w:tcBorders>
            <w:shd w:val="clear" w:color="000000" w:fill="C4D79B"/>
            <w:vAlign w:val="bottom"/>
            <w:hideMark/>
          </w:tcPr>
          <w:p w:rsidR="002A2B86" w:rsidRPr="002A2B86" w:rsidRDefault="002A2B86" w:rsidP="002A2B86">
            <w:pPr>
              <w:spacing w:after="0" w:line="240" w:lineRule="auto"/>
              <w:rPr>
                <w:rFonts w:ascii="Calibri" w:eastAsia="Times New Roman" w:hAnsi="Calibri" w:cs="Calibri"/>
                <w:lang w:eastAsia="en-GB"/>
              </w:rPr>
            </w:pPr>
            <w:r w:rsidRPr="002A2B86">
              <w:rPr>
                <w:rFonts w:ascii="Calibri" w:eastAsia="Times New Roman" w:hAnsi="Calibri" w:cs="Calibri"/>
                <w:lang w:eastAsia="en-GB"/>
              </w:rPr>
              <w:t>Self-Assessment complete</w:t>
            </w:r>
          </w:p>
        </w:tc>
        <w:tc>
          <w:tcPr>
            <w:tcW w:w="1380" w:type="dxa"/>
            <w:tcBorders>
              <w:top w:val="single" w:sz="4" w:space="0" w:color="auto"/>
              <w:left w:val="nil"/>
              <w:bottom w:val="single" w:sz="4" w:space="0" w:color="auto"/>
              <w:right w:val="single" w:sz="4" w:space="0" w:color="auto"/>
            </w:tcBorders>
            <w:shd w:val="clear" w:color="000000" w:fill="C4D79B"/>
            <w:vAlign w:val="bottom"/>
            <w:hideMark/>
          </w:tcPr>
          <w:p w:rsidR="002A2B86" w:rsidRPr="002A2B86" w:rsidRDefault="002A2B86" w:rsidP="002A2B86">
            <w:pPr>
              <w:spacing w:after="0" w:line="240" w:lineRule="auto"/>
              <w:rPr>
                <w:rFonts w:ascii="Calibri" w:eastAsia="Times New Roman" w:hAnsi="Calibri" w:cs="Calibri"/>
                <w:lang w:eastAsia="en-GB"/>
              </w:rPr>
            </w:pPr>
            <w:r w:rsidRPr="002A2B86">
              <w:rPr>
                <w:rFonts w:ascii="Calibri" w:eastAsia="Times New Roman" w:hAnsi="Calibri" w:cs="Calibri"/>
                <w:lang w:eastAsia="en-GB"/>
              </w:rPr>
              <w:t>Improvement priority identified</w:t>
            </w:r>
          </w:p>
        </w:tc>
        <w:tc>
          <w:tcPr>
            <w:tcW w:w="1380" w:type="dxa"/>
            <w:tcBorders>
              <w:top w:val="single" w:sz="4" w:space="0" w:color="auto"/>
              <w:left w:val="nil"/>
              <w:bottom w:val="single" w:sz="4" w:space="0" w:color="auto"/>
              <w:right w:val="single" w:sz="4" w:space="0" w:color="auto"/>
            </w:tcBorders>
            <w:shd w:val="clear" w:color="000000" w:fill="C4D79B"/>
            <w:vAlign w:val="bottom"/>
            <w:hideMark/>
          </w:tcPr>
          <w:p w:rsidR="002A2B86" w:rsidRPr="002A2B86" w:rsidRDefault="002A2B86" w:rsidP="002A2B86">
            <w:pPr>
              <w:spacing w:after="0" w:line="240" w:lineRule="auto"/>
              <w:rPr>
                <w:rFonts w:ascii="Calibri" w:eastAsia="Times New Roman" w:hAnsi="Calibri" w:cs="Calibri"/>
                <w:lang w:eastAsia="en-GB"/>
              </w:rPr>
            </w:pPr>
            <w:r w:rsidRPr="002A2B86">
              <w:rPr>
                <w:rFonts w:ascii="Calibri" w:eastAsia="Times New Roman" w:hAnsi="Calibri" w:cs="Calibri"/>
                <w:lang w:eastAsia="en-GB"/>
              </w:rPr>
              <w:t>Improvement activity commenced</w:t>
            </w:r>
          </w:p>
        </w:tc>
        <w:tc>
          <w:tcPr>
            <w:tcW w:w="1440" w:type="dxa"/>
            <w:tcBorders>
              <w:top w:val="single" w:sz="4" w:space="0" w:color="auto"/>
              <w:left w:val="nil"/>
              <w:bottom w:val="single" w:sz="4" w:space="0" w:color="auto"/>
              <w:right w:val="single" w:sz="4" w:space="0" w:color="auto"/>
            </w:tcBorders>
            <w:shd w:val="clear" w:color="000000" w:fill="C4D79B"/>
            <w:vAlign w:val="bottom"/>
            <w:hideMark/>
          </w:tcPr>
          <w:p w:rsidR="002A2B86" w:rsidRPr="002A2B86" w:rsidRDefault="002A2B86" w:rsidP="002A2B86">
            <w:pPr>
              <w:spacing w:after="0" w:line="240" w:lineRule="auto"/>
              <w:rPr>
                <w:rFonts w:ascii="Calibri" w:eastAsia="Times New Roman" w:hAnsi="Calibri" w:cs="Calibri"/>
                <w:lang w:eastAsia="en-GB"/>
              </w:rPr>
            </w:pPr>
            <w:r w:rsidRPr="002A2B86">
              <w:rPr>
                <w:rFonts w:ascii="Calibri" w:eastAsia="Times New Roman" w:hAnsi="Calibri" w:cs="Calibri"/>
                <w:lang w:eastAsia="en-GB"/>
              </w:rPr>
              <w:t>LOCSSIPS drafted</w:t>
            </w:r>
          </w:p>
        </w:tc>
      </w:tr>
      <w:tr w:rsidR="002A2B86" w:rsidRPr="002A2B86" w:rsidTr="002A2B86">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Breast Care</w:t>
            </w:r>
          </w:p>
        </w:tc>
        <w:tc>
          <w:tcPr>
            <w:tcW w:w="1380" w:type="dxa"/>
            <w:tcBorders>
              <w:top w:val="nil"/>
              <w:left w:val="single" w:sz="4" w:space="0" w:color="auto"/>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r>
      <w:tr w:rsidR="002A2B86" w:rsidRPr="002A2B86" w:rsidTr="002A2B86">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Cardiology (Cath Lab)</w:t>
            </w:r>
          </w:p>
        </w:tc>
        <w:tc>
          <w:tcPr>
            <w:tcW w:w="1380" w:type="dxa"/>
            <w:tcBorders>
              <w:top w:val="nil"/>
              <w:left w:val="single" w:sz="4" w:space="0" w:color="auto"/>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r>
      <w:tr w:rsidR="002A2B86" w:rsidRPr="002A2B86" w:rsidTr="002A2B86">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Community Dentistry</w:t>
            </w:r>
          </w:p>
        </w:tc>
        <w:tc>
          <w:tcPr>
            <w:tcW w:w="1380" w:type="dxa"/>
            <w:tcBorders>
              <w:top w:val="nil"/>
              <w:left w:val="single" w:sz="4" w:space="0" w:color="auto"/>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r>
      <w:tr w:rsidR="002A2B86" w:rsidRPr="002A2B86" w:rsidTr="002A2B86">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 xml:space="preserve">Cystoscopy </w:t>
            </w:r>
          </w:p>
        </w:tc>
        <w:tc>
          <w:tcPr>
            <w:tcW w:w="1380" w:type="dxa"/>
            <w:tcBorders>
              <w:top w:val="nil"/>
              <w:left w:val="single" w:sz="4" w:space="0" w:color="auto"/>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r>
      <w:tr w:rsidR="002A2B86" w:rsidRPr="002A2B86" w:rsidTr="002A2B86">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Dermatology (Plastics)</w:t>
            </w:r>
          </w:p>
        </w:tc>
        <w:tc>
          <w:tcPr>
            <w:tcW w:w="1380" w:type="dxa"/>
            <w:tcBorders>
              <w:top w:val="nil"/>
              <w:left w:val="single" w:sz="4" w:space="0" w:color="auto"/>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r>
      <w:tr w:rsidR="002A2B86" w:rsidRPr="002A2B86" w:rsidTr="002A2B86">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DSU (in unit not theatre)</w:t>
            </w:r>
          </w:p>
        </w:tc>
        <w:tc>
          <w:tcPr>
            <w:tcW w:w="1380" w:type="dxa"/>
            <w:tcBorders>
              <w:top w:val="nil"/>
              <w:left w:val="single" w:sz="4" w:space="0" w:color="auto"/>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r>
      <w:tr w:rsidR="002A2B86" w:rsidRPr="002A2B86" w:rsidTr="002A2B86">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ED</w:t>
            </w:r>
          </w:p>
        </w:tc>
        <w:tc>
          <w:tcPr>
            <w:tcW w:w="1380" w:type="dxa"/>
            <w:tcBorders>
              <w:top w:val="nil"/>
              <w:left w:val="single" w:sz="4" w:space="0" w:color="auto"/>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r>
      <w:tr w:rsidR="002A2B86" w:rsidRPr="002A2B86" w:rsidTr="002A2B86">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 xml:space="preserve">Endoscopy </w:t>
            </w:r>
          </w:p>
        </w:tc>
        <w:tc>
          <w:tcPr>
            <w:tcW w:w="1380" w:type="dxa"/>
            <w:tcBorders>
              <w:top w:val="nil"/>
              <w:left w:val="single" w:sz="4" w:space="0" w:color="auto"/>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YES</w:t>
            </w:r>
          </w:p>
        </w:tc>
      </w:tr>
      <w:tr w:rsidR="002A2B86" w:rsidRPr="002A2B86" w:rsidTr="002A2B86">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ENT OPD</w:t>
            </w:r>
          </w:p>
        </w:tc>
        <w:tc>
          <w:tcPr>
            <w:tcW w:w="1380" w:type="dxa"/>
            <w:tcBorders>
              <w:top w:val="nil"/>
              <w:left w:val="single" w:sz="4" w:space="0" w:color="auto"/>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YES</w:t>
            </w:r>
          </w:p>
        </w:tc>
      </w:tr>
      <w:tr w:rsidR="002A2B86" w:rsidRPr="002A2B86" w:rsidTr="002A2B86">
        <w:trPr>
          <w:trHeight w:val="315"/>
        </w:trPr>
        <w:tc>
          <w:tcPr>
            <w:tcW w:w="2320" w:type="dxa"/>
            <w:tcBorders>
              <w:top w:val="nil"/>
              <w:left w:val="single" w:sz="8" w:space="0" w:color="auto"/>
              <w:bottom w:val="single" w:sz="8" w:space="0" w:color="auto"/>
              <w:right w:val="single" w:sz="8" w:space="0" w:color="auto"/>
            </w:tcBorders>
            <w:shd w:val="clear" w:color="000000" w:fill="FFFFFF"/>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Gynaecology</w:t>
            </w:r>
          </w:p>
        </w:tc>
        <w:tc>
          <w:tcPr>
            <w:tcW w:w="1380" w:type="dxa"/>
            <w:tcBorders>
              <w:top w:val="nil"/>
              <w:left w:val="single" w:sz="4" w:space="0" w:color="auto"/>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r>
      <w:tr w:rsidR="002A2B86" w:rsidRPr="002A2B86" w:rsidTr="002A2B86">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Haematology</w:t>
            </w:r>
          </w:p>
        </w:tc>
        <w:tc>
          <w:tcPr>
            <w:tcW w:w="1380" w:type="dxa"/>
            <w:tcBorders>
              <w:top w:val="nil"/>
              <w:left w:val="single" w:sz="4" w:space="0" w:color="auto"/>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auto" w:fill="auto"/>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auto" w:fill="auto"/>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r>
      <w:tr w:rsidR="002A2B86" w:rsidRPr="002A2B86" w:rsidTr="002A2B86">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 xml:space="preserve">ICU </w:t>
            </w:r>
          </w:p>
        </w:tc>
        <w:tc>
          <w:tcPr>
            <w:tcW w:w="1380" w:type="dxa"/>
            <w:tcBorders>
              <w:top w:val="nil"/>
              <w:left w:val="single" w:sz="4" w:space="0" w:color="auto"/>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YES</w:t>
            </w:r>
          </w:p>
        </w:tc>
      </w:tr>
      <w:tr w:rsidR="002A2B86" w:rsidRPr="002A2B86" w:rsidTr="002A2B86">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Main Theatres</w:t>
            </w:r>
          </w:p>
        </w:tc>
        <w:tc>
          <w:tcPr>
            <w:tcW w:w="1380" w:type="dxa"/>
            <w:tcBorders>
              <w:top w:val="nil"/>
              <w:left w:val="single" w:sz="4" w:space="0" w:color="auto"/>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r>
      <w:tr w:rsidR="002A2B86" w:rsidRPr="002A2B86" w:rsidTr="002A2B86">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Maternity</w:t>
            </w:r>
          </w:p>
        </w:tc>
        <w:tc>
          <w:tcPr>
            <w:tcW w:w="1380" w:type="dxa"/>
            <w:tcBorders>
              <w:top w:val="nil"/>
              <w:left w:val="single" w:sz="4" w:space="0" w:color="auto"/>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r>
      <w:tr w:rsidR="002A2B86" w:rsidRPr="002A2B86" w:rsidTr="002A2B86">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Ophthalmology OPD</w:t>
            </w:r>
          </w:p>
        </w:tc>
        <w:tc>
          <w:tcPr>
            <w:tcW w:w="1380" w:type="dxa"/>
            <w:tcBorders>
              <w:top w:val="nil"/>
              <w:left w:val="single" w:sz="4" w:space="0" w:color="auto"/>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r>
      <w:tr w:rsidR="002A2B86" w:rsidRPr="002A2B86" w:rsidTr="002A2B86">
        <w:trPr>
          <w:trHeight w:val="52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Oral Surgery (Oral Theatres and OPD)</w:t>
            </w:r>
          </w:p>
        </w:tc>
        <w:tc>
          <w:tcPr>
            <w:tcW w:w="1380" w:type="dxa"/>
            <w:tcBorders>
              <w:top w:val="nil"/>
              <w:left w:val="single" w:sz="4" w:space="0" w:color="auto"/>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YES</w:t>
            </w:r>
          </w:p>
        </w:tc>
      </w:tr>
      <w:tr w:rsidR="002A2B86" w:rsidRPr="002A2B86" w:rsidTr="002A2B86">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PICC</w:t>
            </w:r>
          </w:p>
        </w:tc>
        <w:tc>
          <w:tcPr>
            <w:tcW w:w="1380" w:type="dxa"/>
            <w:tcBorders>
              <w:top w:val="nil"/>
              <w:left w:val="single" w:sz="4" w:space="0" w:color="auto"/>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r>
      <w:tr w:rsidR="002A2B86" w:rsidRPr="002A2B86" w:rsidTr="002A2B86">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Radiology</w:t>
            </w:r>
          </w:p>
        </w:tc>
        <w:tc>
          <w:tcPr>
            <w:tcW w:w="1380" w:type="dxa"/>
            <w:tcBorders>
              <w:top w:val="nil"/>
              <w:left w:val="single" w:sz="4" w:space="0" w:color="auto"/>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r>
      <w:tr w:rsidR="002A2B86" w:rsidRPr="002A2B86" w:rsidTr="002A2B86">
        <w:trPr>
          <w:trHeight w:val="315"/>
        </w:trPr>
        <w:tc>
          <w:tcPr>
            <w:tcW w:w="2320" w:type="dxa"/>
            <w:tcBorders>
              <w:top w:val="nil"/>
              <w:left w:val="single" w:sz="8" w:space="0" w:color="auto"/>
              <w:bottom w:val="single" w:sz="8" w:space="0" w:color="auto"/>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 xml:space="preserve">Respiratory </w:t>
            </w:r>
          </w:p>
        </w:tc>
        <w:tc>
          <w:tcPr>
            <w:tcW w:w="1380" w:type="dxa"/>
            <w:tcBorders>
              <w:top w:val="nil"/>
              <w:left w:val="single" w:sz="4" w:space="0" w:color="auto"/>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r>
      <w:tr w:rsidR="002A2B86" w:rsidRPr="002A2B86" w:rsidTr="002A2B86">
        <w:trPr>
          <w:trHeight w:val="300"/>
        </w:trPr>
        <w:tc>
          <w:tcPr>
            <w:tcW w:w="2320" w:type="dxa"/>
            <w:tcBorders>
              <w:top w:val="nil"/>
              <w:left w:val="single" w:sz="8" w:space="0" w:color="auto"/>
              <w:bottom w:val="nil"/>
              <w:right w:val="single" w:sz="8"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Rheumatology</w:t>
            </w:r>
          </w:p>
        </w:tc>
        <w:tc>
          <w:tcPr>
            <w:tcW w:w="1380" w:type="dxa"/>
            <w:tcBorders>
              <w:top w:val="nil"/>
              <w:left w:val="single" w:sz="4" w:space="0" w:color="auto"/>
              <w:bottom w:val="nil"/>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nil"/>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YES</w:t>
            </w:r>
          </w:p>
        </w:tc>
      </w:tr>
      <w:tr w:rsidR="002A2B86" w:rsidRPr="002A2B86" w:rsidTr="002A2B86">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A2B86" w:rsidRPr="002A2B86" w:rsidRDefault="002A2B86" w:rsidP="002A2B86">
            <w:pPr>
              <w:spacing w:after="0" w:line="240" w:lineRule="auto"/>
              <w:rPr>
                <w:rFonts w:ascii="Calibri" w:eastAsia="Times New Roman" w:hAnsi="Calibri" w:cs="Calibri"/>
                <w:color w:val="000000"/>
                <w:sz w:val="20"/>
                <w:szCs w:val="20"/>
                <w:lang w:eastAsia="en-GB"/>
              </w:rPr>
            </w:pPr>
            <w:r w:rsidRPr="002A2B86">
              <w:rPr>
                <w:rFonts w:ascii="Calibri" w:eastAsia="Times New Roman" w:hAnsi="Calibri" w:cs="Calibri"/>
                <w:color w:val="000000"/>
                <w:sz w:val="20"/>
                <w:szCs w:val="20"/>
                <w:lang w:eastAsia="en-GB"/>
              </w:rPr>
              <w:t>Shalbourne</w:t>
            </w:r>
          </w:p>
        </w:tc>
        <w:tc>
          <w:tcPr>
            <w:tcW w:w="1380" w:type="dxa"/>
            <w:tcBorders>
              <w:top w:val="single" w:sz="4" w:space="0" w:color="auto"/>
              <w:left w:val="nil"/>
              <w:bottom w:val="nil"/>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single" w:sz="4" w:space="0" w:color="auto"/>
              <w:left w:val="nil"/>
              <w:bottom w:val="nil"/>
              <w:right w:val="single" w:sz="4" w:space="0" w:color="auto"/>
            </w:tcBorders>
            <w:shd w:val="clear" w:color="000000" w:fill="00B05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380" w:type="dxa"/>
            <w:tcBorders>
              <w:top w:val="nil"/>
              <w:left w:val="nil"/>
              <w:bottom w:val="single" w:sz="4" w:space="0" w:color="auto"/>
              <w:right w:val="single" w:sz="4" w:space="0" w:color="auto"/>
            </w:tcBorders>
            <w:shd w:val="clear" w:color="000000" w:fill="FF0000"/>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c>
          <w:tcPr>
            <w:tcW w:w="1440" w:type="dxa"/>
            <w:tcBorders>
              <w:top w:val="nil"/>
              <w:left w:val="nil"/>
              <w:bottom w:val="single" w:sz="4" w:space="0" w:color="auto"/>
              <w:right w:val="single" w:sz="4" w:space="0" w:color="auto"/>
            </w:tcBorders>
            <w:shd w:val="clear" w:color="auto" w:fill="auto"/>
            <w:noWrap/>
            <w:vAlign w:val="bottom"/>
            <w:hideMark/>
          </w:tcPr>
          <w:p w:rsidR="002A2B86" w:rsidRPr="002A2B86" w:rsidRDefault="002A2B86" w:rsidP="002A2B86">
            <w:pPr>
              <w:spacing w:after="0" w:line="240" w:lineRule="auto"/>
              <w:rPr>
                <w:rFonts w:ascii="Calibri" w:eastAsia="Times New Roman" w:hAnsi="Calibri" w:cs="Calibri"/>
                <w:color w:val="000000"/>
                <w:lang w:eastAsia="en-GB"/>
              </w:rPr>
            </w:pPr>
            <w:r w:rsidRPr="002A2B86">
              <w:rPr>
                <w:rFonts w:ascii="Calibri" w:eastAsia="Times New Roman" w:hAnsi="Calibri" w:cs="Calibri"/>
                <w:color w:val="000000"/>
                <w:lang w:eastAsia="en-GB"/>
              </w:rPr>
              <w:t> </w:t>
            </w:r>
          </w:p>
        </w:tc>
      </w:tr>
    </w:tbl>
    <w:p w:rsidR="002A2B86" w:rsidRDefault="002A2B86"/>
    <w:p w:rsidR="002A2B86" w:rsidRDefault="002A2B86"/>
    <w:p w:rsidR="00806E16" w:rsidRDefault="00806E16"/>
    <w:p w:rsidR="00806E16" w:rsidRDefault="00806E16"/>
    <w:p w:rsidR="002A2B86" w:rsidRDefault="002A2B86" w:rsidP="002A2B86">
      <w:pPr>
        <w:pStyle w:val="Heading1"/>
      </w:pPr>
      <w:r>
        <w:lastRenderedPageBreak/>
        <w:t>WHO Safer Surgical Checklist Update-</w:t>
      </w:r>
    </w:p>
    <w:p w:rsidR="002A2B86" w:rsidRDefault="002A2B86" w:rsidP="002A2B86">
      <w:r>
        <w:t xml:space="preserve">Since March 2016, all departments undertaking invasive procedures have been collecting data on use of the WHO Safer Surgical Checklist. </w:t>
      </w:r>
    </w:p>
    <w:p w:rsidR="002A2B86" w:rsidRDefault="002A2B86" w:rsidP="002A2B86">
      <w:r>
        <w:t xml:space="preserve">Don’t forget it is really important to share your department’s results with your teams and at local governance meetings, to identify opportunities for improvement and keep our patients safe. </w:t>
      </w:r>
    </w:p>
    <w:p w:rsidR="002A2B86" w:rsidRDefault="00806E16" w:rsidP="002A2B86">
      <w:r>
        <w:rPr>
          <w:noProof/>
          <w:lang w:eastAsia="en-GB"/>
        </w:rPr>
        <w:drawing>
          <wp:anchor distT="0" distB="0" distL="114300" distR="114300" simplePos="0" relativeHeight="251658240" behindDoc="0" locked="0" layoutInCell="1" allowOverlap="1" wp14:anchorId="606571F6" wp14:editId="2ED1E27B">
            <wp:simplePos x="0" y="0"/>
            <wp:positionH relativeFrom="column">
              <wp:posOffset>-737235</wp:posOffset>
            </wp:positionH>
            <wp:positionV relativeFrom="paragraph">
              <wp:posOffset>525780</wp:posOffset>
            </wp:positionV>
            <wp:extent cx="7145020" cy="24631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5020" cy="2463165"/>
                    </a:xfrm>
                    <a:prstGeom prst="rect">
                      <a:avLst/>
                    </a:prstGeom>
                    <a:noFill/>
                  </pic:spPr>
                </pic:pic>
              </a:graphicData>
            </a:graphic>
            <wp14:sizeRelH relativeFrom="page">
              <wp14:pctWidth>0</wp14:pctWidth>
            </wp14:sizeRelH>
            <wp14:sizeRelV relativeFrom="page">
              <wp14:pctHeight>0</wp14:pctHeight>
            </wp14:sizeRelV>
          </wp:anchor>
        </w:drawing>
      </w:r>
      <w:r w:rsidR="002A2B86">
        <w:t>Trust Wide results are reported to Patient Quality Committee and to our commissioners on a monthly basis.</w:t>
      </w:r>
    </w:p>
    <w:p w:rsidR="002A2B86" w:rsidRDefault="002A2B86" w:rsidP="002A2B86">
      <w:pPr>
        <w:pStyle w:val="Heading1"/>
      </w:pPr>
      <w:r>
        <w:t>Human Factors Training-</w:t>
      </w:r>
    </w:p>
    <w:p w:rsidR="002A2B86" w:rsidRDefault="002A2B86" w:rsidP="002A2B86">
      <w:r>
        <w:t xml:space="preserve">NatSSIPs is not just about standards, </w:t>
      </w:r>
      <w:r w:rsidR="00CB7618">
        <w:t>it’s</w:t>
      </w:r>
      <w:r>
        <w:t xml:space="preserve"> about culture, human factors and the way we work together. A number of Human Factor study days have been arranged which will be delivered by NHS Elect.</w:t>
      </w:r>
    </w:p>
    <w:p w:rsidR="00AB6899" w:rsidRPr="002A2B86" w:rsidRDefault="00CB7618" w:rsidP="002A2B86">
      <w:r w:rsidRPr="002A2B86">
        <w:rPr>
          <w:b/>
          <w:bCs/>
        </w:rPr>
        <w:t>Human factors training sessions booked with NHS Elect on:</w:t>
      </w:r>
    </w:p>
    <w:p w:rsidR="00AB6899" w:rsidRPr="002A2B86" w:rsidRDefault="00CB7618" w:rsidP="002A2B86">
      <w:pPr>
        <w:numPr>
          <w:ilvl w:val="0"/>
          <w:numId w:val="3"/>
        </w:numPr>
      </w:pPr>
      <w:r w:rsidRPr="002A2B86">
        <w:t>Thursday 27th April 2017- 13:00-17:00 (Theatres Training Room)</w:t>
      </w:r>
    </w:p>
    <w:p w:rsidR="00AB6899" w:rsidRPr="002A2B86" w:rsidRDefault="00CB7618" w:rsidP="002A2B86">
      <w:pPr>
        <w:numPr>
          <w:ilvl w:val="0"/>
          <w:numId w:val="3"/>
        </w:numPr>
      </w:pPr>
      <w:r w:rsidRPr="002A2B86">
        <w:t>Thursday 20th July 2017- 08:30-12:30 (Theatres Training Room)</w:t>
      </w:r>
    </w:p>
    <w:p w:rsidR="00AB6899" w:rsidRPr="002A2B86" w:rsidRDefault="00CB7618" w:rsidP="002A2B86">
      <w:pPr>
        <w:numPr>
          <w:ilvl w:val="0"/>
          <w:numId w:val="3"/>
        </w:numPr>
      </w:pPr>
      <w:r w:rsidRPr="002A2B86">
        <w:t>Wednesday 13th September 2017- 13:00-17:00 (Theatres Training Room)</w:t>
      </w:r>
    </w:p>
    <w:p w:rsidR="00AB6899" w:rsidRPr="002A2B86" w:rsidRDefault="00CB7618" w:rsidP="002A2B86">
      <w:pPr>
        <w:numPr>
          <w:ilvl w:val="0"/>
          <w:numId w:val="3"/>
        </w:numPr>
      </w:pPr>
      <w:r w:rsidRPr="002A2B86">
        <w:t>Thursday 17th October 2017- 08:30-12:30 (Theatres Training Room)</w:t>
      </w:r>
    </w:p>
    <w:p w:rsidR="002A2B86" w:rsidRPr="002A2B86" w:rsidRDefault="002A2B86" w:rsidP="002A2B86">
      <w:r w:rsidRPr="002A2B86">
        <w:t xml:space="preserve">These sessions will accommodate 15-18 staff members. If you are aware of anyone in your team that you think would find this training useful, or if you would like to attend, please contact Becky Watkins on x6407 or via email on </w:t>
      </w:r>
      <w:hyperlink r:id="rId10" w:history="1">
        <w:r w:rsidRPr="002A2B86">
          <w:rPr>
            <w:rStyle w:val="Hyperlink"/>
          </w:rPr>
          <w:t>rebecca.watkins@gwh.nhs.uk</w:t>
        </w:r>
      </w:hyperlink>
      <w:r w:rsidRPr="002A2B86">
        <w:t xml:space="preserve"> </w:t>
      </w:r>
    </w:p>
    <w:p w:rsidR="002A2B86" w:rsidRPr="002A2B86" w:rsidRDefault="002A2B86" w:rsidP="002A2B86"/>
    <w:sectPr w:rsidR="002A2B86" w:rsidRPr="002A2B86" w:rsidSect="002A2B8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B86" w:rsidRDefault="002A2B86" w:rsidP="002A2B86">
      <w:pPr>
        <w:spacing w:after="0" w:line="240" w:lineRule="auto"/>
      </w:pPr>
      <w:r>
        <w:separator/>
      </w:r>
    </w:p>
  </w:endnote>
  <w:endnote w:type="continuationSeparator" w:id="0">
    <w:p w:rsidR="002A2B86" w:rsidRDefault="002A2B86" w:rsidP="002A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B86" w:rsidRDefault="002A2B86" w:rsidP="002A2B86">
      <w:pPr>
        <w:spacing w:after="0" w:line="240" w:lineRule="auto"/>
      </w:pPr>
      <w:r>
        <w:separator/>
      </w:r>
    </w:p>
  </w:footnote>
  <w:footnote w:type="continuationSeparator" w:id="0">
    <w:p w:rsidR="002A2B86" w:rsidRDefault="002A2B86" w:rsidP="002A2B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B86" w:rsidRDefault="002A2B86">
    <w:pPr>
      <w:pStyle w:val="Header"/>
    </w:pPr>
    <w:r>
      <w:rPr>
        <w:noProof/>
        <w:lang w:eastAsia="en-GB"/>
      </w:rPr>
      <w:drawing>
        <wp:anchor distT="0" distB="0" distL="114300" distR="114300" simplePos="0" relativeHeight="251659264" behindDoc="0" locked="0" layoutInCell="1" allowOverlap="1" wp14:anchorId="4024F0F9" wp14:editId="643D4D2F">
          <wp:simplePos x="0" y="0"/>
          <wp:positionH relativeFrom="page">
            <wp:posOffset>4643120</wp:posOffset>
          </wp:positionH>
          <wp:positionV relativeFrom="paragraph">
            <wp:posOffset>-367665</wp:posOffset>
          </wp:positionV>
          <wp:extent cx="2889849" cy="398018"/>
          <wp:effectExtent l="0" t="0" r="6350" b="2540"/>
          <wp:wrapNone/>
          <wp:docPr id="3" name="Picture 3" descr="http://www.liaisonfs.com/assets/img/case-studies/gwh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aisonfs.com/assets/img/case-studies/gwhpn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89849" cy="39801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D0907"/>
    <w:multiLevelType w:val="hybridMultilevel"/>
    <w:tmpl w:val="221CEED2"/>
    <w:lvl w:ilvl="0" w:tplc="74962F62">
      <w:start w:val="1"/>
      <w:numFmt w:val="bullet"/>
      <w:lvlText w:val="o"/>
      <w:lvlJc w:val="left"/>
      <w:pPr>
        <w:tabs>
          <w:tab w:val="num" w:pos="720"/>
        </w:tabs>
        <w:ind w:left="720" w:hanging="360"/>
      </w:pPr>
      <w:rPr>
        <w:rFonts w:ascii="Courier New" w:hAnsi="Courier New" w:hint="default"/>
      </w:rPr>
    </w:lvl>
    <w:lvl w:ilvl="1" w:tplc="3A2E8112" w:tentative="1">
      <w:start w:val="1"/>
      <w:numFmt w:val="bullet"/>
      <w:lvlText w:val="o"/>
      <w:lvlJc w:val="left"/>
      <w:pPr>
        <w:tabs>
          <w:tab w:val="num" w:pos="1440"/>
        </w:tabs>
        <w:ind w:left="1440" w:hanging="360"/>
      </w:pPr>
      <w:rPr>
        <w:rFonts w:ascii="Courier New" w:hAnsi="Courier New" w:hint="default"/>
      </w:rPr>
    </w:lvl>
    <w:lvl w:ilvl="2" w:tplc="EDF693BE" w:tentative="1">
      <w:start w:val="1"/>
      <w:numFmt w:val="bullet"/>
      <w:lvlText w:val="o"/>
      <w:lvlJc w:val="left"/>
      <w:pPr>
        <w:tabs>
          <w:tab w:val="num" w:pos="2160"/>
        </w:tabs>
        <w:ind w:left="2160" w:hanging="360"/>
      </w:pPr>
      <w:rPr>
        <w:rFonts w:ascii="Courier New" w:hAnsi="Courier New" w:hint="default"/>
      </w:rPr>
    </w:lvl>
    <w:lvl w:ilvl="3" w:tplc="8D3E19A0" w:tentative="1">
      <w:start w:val="1"/>
      <w:numFmt w:val="bullet"/>
      <w:lvlText w:val="o"/>
      <w:lvlJc w:val="left"/>
      <w:pPr>
        <w:tabs>
          <w:tab w:val="num" w:pos="2880"/>
        </w:tabs>
        <w:ind w:left="2880" w:hanging="360"/>
      </w:pPr>
      <w:rPr>
        <w:rFonts w:ascii="Courier New" w:hAnsi="Courier New" w:hint="default"/>
      </w:rPr>
    </w:lvl>
    <w:lvl w:ilvl="4" w:tplc="8E4EE132" w:tentative="1">
      <w:start w:val="1"/>
      <w:numFmt w:val="bullet"/>
      <w:lvlText w:val="o"/>
      <w:lvlJc w:val="left"/>
      <w:pPr>
        <w:tabs>
          <w:tab w:val="num" w:pos="3600"/>
        </w:tabs>
        <w:ind w:left="3600" w:hanging="360"/>
      </w:pPr>
      <w:rPr>
        <w:rFonts w:ascii="Courier New" w:hAnsi="Courier New" w:hint="default"/>
      </w:rPr>
    </w:lvl>
    <w:lvl w:ilvl="5" w:tplc="B53C453C" w:tentative="1">
      <w:start w:val="1"/>
      <w:numFmt w:val="bullet"/>
      <w:lvlText w:val="o"/>
      <w:lvlJc w:val="left"/>
      <w:pPr>
        <w:tabs>
          <w:tab w:val="num" w:pos="4320"/>
        </w:tabs>
        <w:ind w:left="4320" w:hanging="360"/>
      </w:pPr>
      <w:rPr>
        <w:rFonts w:ascii="Courier New" w:hAnsi="Courier New" w:hint="default"/>
      </w:rPr>
    </w:lvl>
    <w:lvl w:ilvl="6" w:tplc="89AE7A26" w:tentative="1">
      <w:start w:val="1"/>
      <w:numFmt w:val="bullet"/>
      <w:lvlText w:val="o"/>
      <w:lvlJc w:val="left"/>
      <w:pPr>
        <w:tabs>
          <w:tab w:val="num" w:pos="5040"/>
        </w:tabs>
        <w:ind w:left="5040" w:hanging="360"/>
      </w:pPr>
      <w:rPr>
        <w:rFonts w:ascii="Courier New" w:hAnsi="Courier New" w:hint="default"/>
      </w:rPr>
    </w:lvl>
    <w:lvl w:ilvl="7" w:tplc="7EE4589C" w:tentative="1">
      <w:start w:val="1"/>
      <w:numFmt w:val="bullet"/>
      <w:lvlText w:val="o"/>
      <w:lvlJc w:val="left"/>
      <w:pPr>
        <w:tabs>
          <w:tab w:val="num" w:pos="5760"/>
        </w:tabs>
        <w:ind w:left="5760" w:hanging="360"/>
      </w:pPr>
      <w:rPr>
        <w:rFonts w:ascii="Courier New" w:hAnsi="Courier New" w:hint="default"/>
      </w:rPr>
    </w:lvl>
    <w:lvl w:ilvl="8" w:tplc="E1BED6EC" w:tentative="1">
      <w:start w:val="1"/>
      <w:numFmt w:val="bullet"/>
      <w:lvlText w:val="o"/>
      <w:lvlJc w:val="left"/>
      <w:pPr>
        <w:tabs>
          <w:tab w:val="num" w:pos="6480"/>
        </w:tabs>
        <w:ind w:left="6480" w:hanging="360"/>
      </w:pPr>
      <w:rPr>
        <w:rFonts w:ascii="Courier New" w:hAnsi="Courier New" w:hint="default"/>
      </w:rPr>
    </w:lvl>
  </w:abstractNum>
  <w:abstractNum w:abstractNumId="1">
    <w:nsid w:val="62146661"/>
    <w:multiLevelType w:val="hybridMultilevel"/>
    <w:tmpl w:val="C040F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E87FA8"/>
    <w:multiLevelType w:val="hybridMultilevel"/>
    <w:tmpl w:val="35464E32"/>
    <w:lvl w:ilvl="0" w:tplc="537049BC">
      <w:start w:val="1"/>
      <w:numFmt w:val="bullet"/>
      <w:lvlText w:val="•"/>
      <w:lvlJc w:val="left"/>
      <w:pPr>
        <w:tabs>
          <w:tab w:val="num" w:pos="720"/>
        </w:tabs>
        <w:ind w:left="720" w:hanging="360"/>
      </w:pPr>
      <w:rPr>
        <w:rFonts w:ascii="Arial" w:hAnsi="Arial" w:hint="default"/>
      </w:rPr>
    </w:lvl>
    <w:lvl w:ilvl="1" w:tplc="0E4CF74E" w:tentative="1">
      <w:start w:val="1"/>
      <w:numFmt w:val="bullet"/>
      <w:lvlText w:val="•"/>
      <w:lvlJc w:val="left"/>
      <w:pPr>
        <w:tabs>
          <w:tab w:val="num" w:pos="1440"/>
        </w:tabs>
        <w:ind w:left="1440" w:hanging="360"/>
      </w:pPr>
      <w:rPr>
        <w:rFonts w:ascii="Arial" w:hAnsi="Arial" w:hint="default"/>
      </w:rPr>
    </w:lvl>
    <w:lvl w:ilvl="2" w:tplc="0C94E0F8" w:tentative="1">
      <w:start w:val="1"/>
      <w:numFmt w:val="bullet"/>
      <w:lvlText w:val="•"/>
      <w:lvlJc w:val="left"/>
      <w:pPr>
        <w:tabs>
          <w:tab w:val="num" w:pos="2160"/>
        </w:tabs>
        <w:ind w:left="2160" w:hanging="360"/>
      </w:pPr>
      <w:rPr>
        <w:rFonts w:ascii="Arial" w:hAnsi="Arial" w:hint="default"/>
      </w:rPr>
    </w:lvl>
    <w:lvl w:ilvl="3" w:tplc="2EEC9CAC" w:tentative="1">
      <w:start w:val="1"/>
      <w:numFmt w:val="bullet"/>
      <w:lvlText w:val="•"/>
      <w:lvlJc w:val="left"/>
      <w:pPr>
        <w:tabs>
          <w:tab w:val="num" w:pos="2880"/>
        </w:tabs>
        <w:ind w:left="2880" w:hanging="360"/>
      </w:pPr>
      <w:rPr>
        <w:rFonts w:ascii="Arial" w:hAnsi="Arial" w:hint="default"/>
      </w:rPr>
    </w:lvl>
    <w:lvl w:ilvl="4" w:tplc="E93C3370" w:tentative="1">
      <w:start w:val="1"/>
      <w:numFmt w:val="bullet"/>
      <w:lvlText w:val="•"/>
      <w:lvlJc w:val="left"/>
      <w:pPr>
        <w:tabs>
          <w:tab w:val="num" w:pos="3600"/>
        </w:tabs>
        <w:ind w:left="3600" w:hanging="360"/>
      </w:pPr>
      <w:rPr>
        <w:rFonts w:ascii="Arial" w:hAnsi="Arial" w:hint="default"/>
      </w:rPr>
    </w:lvl>
    <w:lvl w:ilvl="5" w:tplc="9FDC3B34" w:tentative="1">
      <w:start w:val="1"/>
      <w:numFmt w:val="bullet"/>
      <w:lvlText w:val="•"/>
      <w:lvlJc w:val="left"/>
      <w:pPr>
        <w:tabs>
          <w:tab w:val="num" w:pos="4320"/>
        </w:tabs>
        <w:ind w:left="4320" w:hanging="360"/>
      </w:pPr>
      <w:rPr>
        <w:rFonts w:ascii="Arial" w:hAnsi="Arial" w:hint="default"/>
      </w:rPr>
    </w:lvl>
    <w:lvl w:ilvl="6" w:tplc="86D41468" w:tentative="1">
      <w:start w:val="1"/>
      <w:numFmt w:val="bullet"/>
      <w:lvlText w:val="•"/>
      <w:lvlJc w:val="left"/>
      <w:pPr>
        <w:tabs>
          <w:tab w:val="num" w:pos="5040"/>
        </w:tabs>
        <w:ind w:left="5040" w:hanging="360"/>
      </w:pPr>
      <w:rPr>
        <w:rFonts w:ascii="Arial" w:hAnsi="Arial" w:hint="default"/>
      </w:rPr>
    </w:lvl>
    <w:lvl w:ilvl="7" w:tplc="523E696A" w:tentative="1">
      <w:start w:val="1"/>
      <w:numFmt w:val="bullet"/>
      <w:lvlText w:val="•"/>
      <w:lvlJc w:val="left"/>
      <w:pPr>
        <w:tabs>
          <w:tab w:val="num" w:pos="5760"/>
        </w:tabs>
        <w:ind w:left="5760" w:hanging="360"/>
      </w:pPr>
      <w:rPr>
        <w:rFonts w:ascii="Arial" w:hAnsi="Arial" w:hint="default"/>
      </w:rPr>
    </w:lvl>
    <w:lvl w:ilvl="8" w:tplc="7C3467A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B86"/>
    <w:rsid w:val="00147CBF"/>
    <w:rsid w:val="002A2B86"/>
    <w:rsid w:val="00806E16"/>
    <w:rsid w:val="00AB6899"/>
    <w:rsid w:val="00B4688C"/>
    <w:rsid w:val="00CB76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2B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2B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A2B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2B86"/>
    <w:pPr>
      <w:ind w:left="720"/>
      <w:contextualSpacing/>
    </w:pPr>
  </w:style>
  <w:style w:type="character" w:customStyle="1" w:styleId="Heading2Char">
    <w:name w:val="Heading 2 Char"/>
    <w:basedOn w:val="DefaultParagraphFont"/>
    <w:link w:val="Heading2"/>
    <w:uiPriority w:val="9"/>
    <w:rsid w:val="002A2B8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A2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B86"/>
    <w:rPr>
      <w:rFonts w:ascii="Tahoma" w:hAnsi="Tahoma" w:cs="Tahoma"/>
      <w:sz w:val="16"/>
      <w:szCs w:val="16"/>
    </w:rPr>
  </w:style>
  <w:style w:type="character" w:styleId="Hyperlink">
    <w:name w:val="Hyperlink"/>
    <w:basedOn w:val="DefaultParagraphFont"/>
    <w:uiPriority w:val="99"/>
    <w:unhideWhenUsed/>
    <w:rsid w:val="002A2B86"/>
    <w:rPr>
      <w:color w:val="0000FF" w:themeColor="hyperlink"/>
      <w:u w:val="single"/>
    </w:rPr>
  </w:style>
  <w:style w:type="paragraph" w:styleId="Header">
    <w:name w:val="header"/>
    <w:basedOn w:val="Normal"/>
    <w:link w:val="HeaderChar"/>
    <w:uiPriority w:val="99"/>
    <w:unhideWhenUsed/>
    <w:rsid w:val="002A2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B86"/>
  </w:style>
  <w:style w:type="paragraph" w:styleId="Footer">
    <w:name w:val="footer"/>
    <w:basedOn w:val="Normal"/>
    <w:link w:val="FooterChar"/>
    <w:uiPriority w:val="99"/>
    <w:unhideWhenUsed/>
    <w:rsid w:val="002A2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B86"/>
  </w:style>
  <w:style w:type="character" w:customStyle="1" w:styleId="Heading4Char">
    <w:name w:val="Heading 4 Char"/>
    <w:basedOn w:val="DefaultParagraphFont"/>
    <w:link w:val="Heading4"/>
    <w:uiPriority w:val="9"/>
    <w:semiHidden/>
    <w:rsid w:val="002A2B86"/>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qFormat/>
    <w:rsid w:val="002A2B86"/>
    <w:pPr>
      <w:numPr>
        <w:ilvl w:val="1"/>
      </w:numPr>
      <w:spacing w:after="180" w:line="240" w:lineRule="auto"/>
      <w:ind w:right="216"/>
      <w:jc w:val="right"/>
    </w:pPr>
    <w:rPr>
      <w:rFonts w:asciiTheme="majorHAnsi" w:eastAsiaTheme="majorEastAsia" w:hAnsiTheme="majorHAnsi" w:cstheme="majorBidi"/>
      <w:iCs/>
      <w:color w:val="FFFFFF" w:themeColor="background1"/>
      <w:spacing w:val="15"/>
      <w:sz w:val="52"/>
      <w:szCs w:val="24"/>
      <w:lang w:val="en-US"/>
    </w:rPr>
  </w:style>
  <w:style w:type="character" w:customStyle="1" w:styleId="SubtitleChar">
    <w:name w:val="Subtitle Char"/>
    <w:basedOn w:val="DefaultParagraphFont"/>
    <w:link w:val="Subtitle"/>
    <w:rsid w:val="002A2B86"/>
    <w:rPr>
      <w:rFonts w:asciiTheme="majorHAnsi" w:eastAsiaTheme="majorEastAsia" w:hAnsiTheme="majorHAnsi" w:cstheme="majorBidi"/>
      <w:iCs/>
      <w:color w:val="FFFFFF" w:themeColor="background1"/>
      <w:spacing w:val="15"/>
      <w:sz w:val="52"/>
      <w:szCs w:val="24"/>
      <w:lang w:val="en-US"/>
    </w:rPr>
  </w:style>
  <w:style w:type="table" w:styleId="TableGrid">
    <w:name w:val="Table Grid"/>
    <w:basedOn w:val="TableNormal"/>
    <w:rsid w:val="002A2B8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rsid w:val="002A2B86"/>
    <w:pPr>
      <w:spacing w:after="60" w:line="240" w:lineRule="auto"/>
    </w:pPr>
    <w:rPr>
      <w:noProof/>
      <w:color w:val="262626" w:themeColor="text1" w:themeTint="D9"/>
      <w:sz w:val="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2B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2B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2A2B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2B86"/>
    <w:pPr>
      <w:ind w:left="720"/>
      <w:contextualSpacing/>
    </w:pPr>
  </w:style>
  <w:style w:type="character" w:customStyle="1" w:styleId="Heading2Char">
    <w:name w:val="Heading 2 Char"/>
    <w:basedOn w:val="DefaultParagraphFont"/>
    <w:link w:val="Heading2"/>
    <w:uiPriority w:val="9"/>
    <w:rsid w:val="002A2B8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A2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B86"/>
    <w:rPr>
      <w:rFonts w:ascii="Tahoma" w:hAnsi="Tahoma" w:cs="Tahoma"/>
      <w:sz w:val="16"/>
      <w:szCs w:val="16"/>
    </w:rPr>
  </w:style>
  <w:style w:type="character" w:styleId="Hyperlink">
    <w:name w:val="Hyperlink"/>
    <w:basedOn w:val="DefaultParagraphFont"/>
    <w:uiPriority w:val="99"/>
    <w:unhideWhenUsed/>
    <w:rsid w:val="002A2B86"/>
    <w:rPr>
      <w:color w:val="0000FF" w:themeColor="hyperlink"/>
      <w:u w:val="single"/>
    </w:rPr>
  </w:style>
  <w:style w:type="paragraph" w:styleId="Header">
    <w:name w:val="header"/>
    <w:basedOn w:val="Normal"/>
    <w:link w:val="HeaderChar"/>
    <w:uiPriority w:val="99"/>
    <w:unhideWhenUsed/>
    <w:rsid w:val="002A2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B86"/>
  </w:style>
  <w:style w:type="paragraph" w:styleId="Footer">
    <w:name w:val="footer"/>
    <w:basedOn w:val="Normal"/>
    <w:link w:val="FooterChar"/>
    <w:uiPriority w:val="99"/>
    <w:unhideWhenUsed/>
    <w:rsid w:val="002A2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B86"/>
  </w:style>
  <w:style w:type="character" w:customStyle="1" w:styleId="Heading4Char">
    <w:name w:val="Heading 4 Char"/>
    <w:basedOn w:val="DefaultParagraphFont"/>
    <w:link w:val="Heading4"/>
    <w:uiPriority w:val="9"/>
    <w:semiHidden/>
    <w:rsid w:val="002A2B86"/>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qFormat/>
    <w:rsid w:val="002A2B86"/>
    <w:pPr>
      <w:numPr>
        <w:ilvl w:val="1"/>
      </w:numPr>
      <w:spacing w:after="180" w:line="240" w:lineRule="auto"/>
      <w:ind w:right="216"/>
      <w:jc w:val="right"/>
    </w:pPr>
    <w:rPr>
      <w:rFonts w:asciiTheme="majorHAnsi" w:eastAsiaTheme="majorEastAsia" w:hAnsiTheme="majorHAnsi" w:cstheme="majorBidi"/>
      <w:iCs/>
      <w:color w:val="FFFFFF" w:themeColor="background1"/>
      <w:spacing w:val="15"/>
      <w:sz w:val="52"/>
      <w:szCs w:val="24"/>
      <w:lang w:val="en-US"/>
    </w:rPr>
  </w:style>
  <w:style w:type="character" w:customStyle="1" w:styleId="SubtitleChar">
    <w:name w:val="Subtitle Char"/>
    <w:basedOn w:val="DefaultParagraphFont"/>
    <w:link w:val="Subtitle"/>
    <w:rsid w:val="002A2B86"/>
    <w:rPr>
      <w:rFonts w:asciiTheme="majorHAnsi" w:eastAsiaTheme="majorEastAsia" w:hAnsiTheme="majorHAnsi" w:cstheme="majorBidi"/>
      <w:iCs/>
      <w:color w:val="FFFFFF" w:themeColor="background1"/>
      <w:spacing w:val="15"/>
      <w:sz w:val="52"/>
      <w:szCs w:val="24"/>
      <w:lang w:val="en-US"/>
    </w:rPr>
  </w:style>
  <w:style w:type="table" w:styleId="TableGrid">
    <w:name w:val="Table Grid"/>
    <w:basedOn w:val="TableNormal"/>
    <w:rsid w:val="002A2B8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rsid w:val="002A2B86"/>
    <w:pPr>
      <w:spacing w:after="60" w:line="240" w:lineRule="auto"/>
    </w:pPr>
    <w:rPr>
      <w:noProof/>
      <w:color w:val="262626" w:themeColor="text1" w:themeTint="D9"/>
      <w:sz w:val="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377059">
      <w:bodyDiv w:val="1"/>
      <w:marLeft w:val="0"/>
      <w:marRight w:val="0"/>
      <w:marTop w:val="0"/>
      <w:marBottom w:val="0"/>
      <w:divBdr>
        <w:top w:val="none" w:sz="0" w:space="0" w:color="auto"/>
        <w:left w:val="none" w:sz="0" w:space="0" w:color="auto"/>
        <w:bottom w:val="none" w:sz="0" w:space="0" w:color="auto"/>
        <w:right w:val="none" w:sz="0" w:space="0" w:color="auto"/>
      </w:divBdr>
    </w:div>
    <w:div w:id="616251843">
      <w:bodyDiv w:val="1"/>
      <w:marLeft w:val="0"/>
      <w:marRight w:val="0"/>
      <w:marTop w:val="0"/>
      <w:marBottom w:val="0"/>
      <w:divBdr>
        <w:top w:val="none" w:sz="0" w:space="0" w:color="auto"/>
        <w:left w:val="none" w:sz="0" w:space="0" w:color="auto"/>
        <w:bottom w:val="none" w:sz="0" w:space="0" w:color="auto"/>
        <w:right w:val="none" w:sz="0" w:space="0" w:color="auto"/>
      </w:divBdr>
    </w:div>
    <w:div w:id="1893689983">
      <w:bodyDiv w:val="1"/>
      <w:marLeft w:val="0"/>
      <w:marRight w:val="0"/>
      <w:marTop w:val="0"/>
      <w:marBottom w:val="0"/>
      <w:divBdr>
        <w:top w:val="none" w:sz="0" w:space="0" w:color="auto"/>
        <w:left w:val="none" w:sz="0" w:space="0" w:color="auto"/>
        <w:bottom w:val="none" w:sz="0" w:space="0" w:color="auto"/>
        <w:right w:val="none" w:sz="0" w:space="0" w:color="auto"/>
      </w:divBdr>
      <w:divsChild>
        <w:div w:id="1698386368">
          <w:marLeft w:val="547"/>
          <w:marRight w:val="0"/>
          <w:marTop w:val="58"/>
          <w:marBottom w:val="0"/>
          <w:divBdr>
            <w:top w:val="none" w:sz="0" w:space="0" w:color="auto"/>
            <w:left w:val="none" w:sz="0" w:space="0" w:color="auto"/>
            <w:bottom w:val="none" w:sz="0" w:space="0" w:color="auto"/>
            <w:right w:val="none" w:sz="0" w:space="0" w:color="auto"/>
          </w:divBdr>
        </w:div>
        <w:div w:id="1458526119">
          <w:marLeft w:val="547"/>
          <w:marRight w:val="0"/>
          <w:marTop w:val="58"/>
          <w:marBottom w:val="0"/>
          <w:divBdr>
            <w:top w:val="none" w:sz="0" w:space="0" w:color="auto"/>
            <w:left w:val="none" w:sz="0" w:space="0" w:color="auto"/>
            <w:bottom w:val="none" w:sz="0" w:space="0" w:color="auto"/>
            <w:right w:val="none" w:sz="0" w:space="0" w:color="auto"/>
          </w:divBdr>
        </w:div>
        <w:div w:id="852494295">
          <w:marLeft w:val="547"/>
          <w:marRight w:val="0"/>
          <w:marTop w:val="58"/>
          <w:marBottom w:val="0"/>
          <w:divBdr>
            <w:top w:val="none" w:sz="0" w:space="0" w:color="auto"/>
            <w:left w:val="none" w:sz="0" w:space="0" w:color="auto"/>
            <w:bottom w:val="none" w:sz="0" w:space="0" w:color="auto"/>
            <w:right w:val="none" w:sz="0" w:space="0" w:color="auto"/>
          </w:divBdr>
        </w:div>
        <w:div w:id="862404418">
          <w:marLeft w:val="547"/>
          <w:marRight w:val="0"/>
          <w:marTop w:val="58"/>
          <w:marBottom w:val="0"/>
          <w:divBdr>
            <w:top w:val="none" w:sz="0" w:space="0" w:color="auto"/>
            <w:left w:val="none" w:sz="0" w:space="0" w:color="auto"/>
            <w:bottom w:val="none" w:sz="0" w:space="0" w:color="auto"/>
            <w:right w:val="none" w:sz="0" w:space="0" w:color="auto"/>
          </w:divBdr>
        </w:div>
        <w:div w:id="325861590">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ebecca.watkins@gwh.nhs.uk"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Watkins, Rebecca</dc:creator>
  <cp:lastModifiedBy>Carter, Brian</cp:lastModifiedBy>
  <cp:revision>2</cp:revision>
  <cp:lastPrinted>2017-02-24T13:08:00Z</cp:lastPrinted>
  <dcterms:created xsi:type="dcterms:W3CDTF">2017-05-30T11:01:00Z</dcterms:created>
  <dcterms:modified xsi:type="dcterms:W3CDTF">2017-05-30T11:01:00Z</dcterms:modified>
</cp:coreProperties>
</file>