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53" w:rsidRPr="00E759D0" w:rsidRDefault="00A07373" w:rsidP="00A07373">
      <w:pPr>
        <w:jc w:val="center"/>
        <w:rPr>
          <w:b/>
          <w:sz w:val="36"/>
          <w:szCs w:val="36"/>
        </w:rPr>
      </w:pPr>
      <w:r w:rsidRPr="00E759D0">
        <w:rPr>
          <w:b/>
          <w:sz w:val="36"/>
          <w:szCs w:val="36"/>
        </w:rPr>
        <w:t>Femoral Nerve Block Guidelines</w:t>
      </w:r>
    </w:p>
    <w:p w:rsidR="00E759D0" w:rsidRDefault="002A18D4" w:rsidP="00E759D0">
      <w:pPr>
        <w:jc w:val="center"/>
      </w:pPr>
      <w:r>
        <w:t>Shelley Barnes</w:t>
      </w:r>
      <w:r w:rsidR="00EA6073">
        <w:t xml:space="preserve"> (ACCS CT1)</w:t>
      </w:r>
      <w:r w:rsidR="00615E2C">
        <w:t xml:space="preserve">, James </w:t>
      </w:r>
      <w:proofErr w:type="spellStart"/>
      <w:r w:rsidR="00615E2C">
        <w:t>M</w:t>
      </w:r>
      <w:r w:rsidR="00E759D0" w:rsidRPr="00FD368D">
        <w:t>cdonald</w:t>
      </w:r>
      <w:proofErr w:type="spellEnd"/>
      <w:r w:rsidR="00E759D0" w:rsidRPr="00FD368D">
        <w:t xml:space="preserve"> </w:t>
      </w:r>
      <w:r w:rsidR="00EA6073">
        <w:t>(ACCS ST3)</w:t>
      </w:r>
      <w:bookmarkStart w:id="0" w:name="_GoBack"/>
      <w:bookmarkEnd w:id="0"/>
    </w:p>
    <w:p w:rsidR="00E44635" w:rsidRPr="00665C1B" w:rsidRDefault="00E44635" w:rsidP="002946D7">
      <w:pPr>
        <w:spacing w:line="240" w:lineRule="auto"/>
        <w:jc w:val="center"/>
        <w:rPr>
          <w:b/>
          <w:sz w:val="28"/>
          <w:szCs w:val="28"/>
        </w:rPr>
      </w:pPr>
      <w:r w:rsidRPr="00665C1B">
        <w:rPr>
          <w:b/>
          <w:sz w:val="28"/>
          <w:szCs w:val="28"/>
        </w:rPr>
        <w:t>Benefits</w:t>
      </w:r>
    </w:p>
    <w:p w:rsidR="00E44635" w:rsidRPr="00E44635" w:rsidRDefault="00E44635" w:rsidP="002946D7">
      <w:pPr>
        <w:pStyle w:val="NoSpacing"/>
        <w:numPr>
          <w:ilvl w:val="0"/>
          <w:numId w:val="2"/>
        </w:numPr>
      </w:pPr>
      <w:r w:rsidRPr="00E44635">
        <w:t xml:space="preserve">Improved pain </w:t>
      </w:r>
      <w:r w:rsidR="00154614">
        <w:t>management and control.</w:t>
      </w:r>
      <w:r w:rsidRPr="00E44635">
        <w:t xml:space="preserve"> </w:t>
      </w:r>
    </w:p>
    <w:p w:rsidR="00E44635" w:rsidRPr="00E44635" w:rsidRDefault="00E44635" w:rsidP="002946D7">
      <w:pPr>
        <w:pStyle w:val="NoSpacing"/>
        <w:numPr>
          <w:ilvl w:val="0"/>
          <w:numId w:val="2"/>
        </w:numPr>
      </w:pPr>
      <w:r w:rsidRPr="00E44635">
        <w:t>Decrease</w:t>
      </w:r>
      <w:r w:rsidR="00420888">
        <w:t>s</w:t>
      </w:r>
      <w:r w:rsidRPr="00E44635">
        <w:t xml:space="preserve"> the need for opiate </w:t>
      </w:r>
      <w:r w:rsidR="00E759D0">
        <w:t xml:space="preserve">analgesia </w:t>
      </w:r>
      <w:r w:rsidR="00E759D0" w:rsidRPr="00E44635">
        <w:t>and</w:t>
      </w:r>
      <w:r w:rsidRPr="00E44635">
        <w:t xml:space="preserve"> hence decrease the risks associated with these.</w:t>
      </w:r>
    </w:p>
    <w:p w:rsidR="002946D7" w:rsidRDefault="002946D7" w:rsidP="002946D7">
      <w:pPr>
        <w:spacing w:line="240" w:lineRule="auto"/>
        <w:jc w:val="center"/>
        <w:rPr>
          <w:b/>
          <w:sz w:val="28"/>
          <w:szCs w:val="28"/>
        </w:rPr>
      </w:pPr>
    </w:p>
    <w:p w:rsidR="00E44635" w:rsidRPr="00665C1B" w:rsidRDefault="00E44635" w:rsidP="002946D7">
      <w:pPr>
        <w:spacing w:line="240" w:lineRule="auto"/>
        <w:jc w:val="center"/>
        <w:rPr>
          <w:b/>
          <w:sz w:val="28"/>
          <w:szCs w:val="28"/>
        </w:rPr>
      </w:pPr>
      <w:r w:rsidRPr="00665C1B">
        <w:rPr>
          <w:b/>
          <w:sz w:val="28"/>
          <w:szCs w:val="28"/>
        </w:rPr>
        <w:t>Risks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</w:pPr>
      <w:r w:rsidRPr="00E44635">
        <w:t>Failure of block to work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</w:pPr>
      <w:r w:rsidRPr="00E44635">
        <w:t>Allergy to agent used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</w:pPr>
      <w:r w:rsidRPr="00E44635">
        <w:t>Haematoma following vascular puncture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</w:pPr>
      <w:r w:rsidRPr="00E44635">
        <w:t>Intravascular injection - avoided by aspiration prior to injection of agent.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  <w:rPr>
          <w:rFonts w:cs="TimesNewRomanPSMT"/>
          <w:color w:val="000000"/>
        </w:rPr>
      </w:pPr>
      <w:r w:rsidRPr="00E44635">
        <w:t>Local anaesthetic toxicity - avoided by careful calculation of dose and watching for signs of toxicity (</w:t>
      </w:r>
      <w:r w:rsidRPr="00E44635">
        <w:rPr>
          <w:rFonts w:cs="TimesNewRomanPSMT"/>
          <w:color w:val="000000"/>
        </w:rPr>
        <w:t xml:space="preserve">tinnitus, </w:t>
      </w:r>
      <w:proofErr w:type="spellStart"/>
      <w:r w:rsidRPr="00E44635">
        <w:rPr>
          <w:rFonts w:cs="TimesNewRomanPSMT"/>
          <w:color w:val="000000"/>
        </w:rPr>
        <w:t>peri</w:t>
      </w:r>
      <w:proofErr w:type="spellEnd"/>
      <w:r w:rsidRPr="00E44635">
        <w:rPr>
          <w:rFonts w:cs="TimesNewRomanPSMT"/>
          <w:color w:val="000000"/>
        </w:rPr>
        <w:t>-oral numbness, metallic tastes, confusion, seizures, tachycardia, hypertension, arrhythmias, cardiac arrest)</w:t>
      </w:r>
    </w:p>
    <w:p w:rsidR="00E44635" w:rsidRPr="00E44635" w:rsidRDefault="00E44635" w:rsidP="002946D7">
      <w:pPr>
        <w:pStyle w:val="NoSpacing"/>
        <w:numPr>
          <w:ilvl w:val="0"/>
          <w:numId w:val="1"/>
        </w:numPr>
        <w:rPr>
          <w:rFonts w:cs="TimesNewRomanPSMT"/>
          <w:color w:val="000000"/>
        </w:rPr>
      </w:pPr>
      <w:r w:rsidRPr="00E44635">
        <w:rPr>
          <w:rFonts w:cs="TimesNewRomanPSMT"/>
          <w:color w:val="000000"/>
        </w:rPr>
        <w:t>Nerve damage</w:t>
      </w:r>
    </w:p>
    <w:p w:rsidR="00E44635" w:rsidRDefault="00E44635" w:rsidP="002946D7">
      <w:pPr>
        <w:pStyle w:val="NoSpacing"/>
        <w:numPr>
          <w:ilvl w:val="0"/>
          <w:numId w:val="1"/>
        </w:numPr>
        <w:rPr>
          <w:rFonts w:cs="TimesNewRomanPSMT"/>
          <w:color w:val="000000"/>
        </w:rPr>
      </w:pPr>
      <w:r w:rsidRPr="00E44635">
        <w:rPr>
          <w:rFonts w:cs="TimesNewRomanPSMT"/>
          <w:color w:val="000000"/>
        </w:rPr>
        <w:t>Infection of injection site</w:t>
      </w:r>
    </w:p>
    <w:p w:rsidR="002946D7" w:rsidRPr="00E44635" w:rsidRDefault="002946D7" w:rsidP="002946D7">
      <w:pPr>
        <w:pStyle w:val="NoSpacing"/>
        <w:ind w:left="720"/>
        <w:rPr>
          <w:rFonts w:cs="TimesNewRomanPSMT"/>
          <w:color w:val="000000"/>
        </w:rPr>
      </w:pPr>
    </w:p>
    <w:p w:rsidR="00585A25" w:rsidRPr="00585A25" w:rsidRDefault="00585A25" w:rsidP="002946D7">
      <w:pPr>
        <w:spacing w:line="240" w:lineRule="auto"/>
        <w:jc w:val="center"/>
        <w:rPr>
          <w:b/>
          <w:sz w:val="28"/>
          <w:szCs w:val="28"/>
        </w:rPr>
      </w:pPr>
      <w:r w:rsidRPr="00585A25">
        <w:rPr>
          <w:b/>
          <w:sz w:val="28"/>
          <w:szCs w:val="28"/>
        </w:rPr>
        <w:t>Dosing</w:t>
      </w:r>
    </w:p>
    <w:p w:rsidR="00585A25" w:rsidRDefault="00ED5970" w:rsidP="002946D7">
      <w:pPr>
        <w:spacing w:line="240" w:lineRule="auto"/>
      </w:pPr>
      <w:proofErr w:type="gramStart"/>
      <w:r>
        <w:t>Bupivacaine 40mls of 0.25% providing patient’s weight &gt;40kg.</w:t>
      </w:r>
      <w:proofErr w:type="gramEnd"/>
      <w:r w:rsidR="000E7B3D">
        <w:t xml:space="preserve"> </w:t>
      </w:r>
    </w:p>
    <w:p w:rsidR="000E7B3D" w:rsidRDefault="000E7B3D" w:rsidP="002946D7">
      <w:pPr>
        <w:spacing w:line="240" w:lineRule="auto"/>
      </w:pPr>
      <w:r>
        <w:t>(This should be an adequate strength and volume for all patients over 40 kg. Please seek senior advice for patients under 40kg)</w:t>
      </w:r>
    </w:p>
    <w:p w:rsidR="002946D7" w:rsidRDefault="002946D7" w:rsidP="002946D7">
      <w:pPr>
        <w:spacing w:line="240" w:lineRule="auto"/>
      </w:pPr>
    </w:p>
    <w:p w:rsidR="00585A25" w:rsidRPr="00585A25" w:rsidRDefault="00585A25" w:rsidP="002946D7">
      <w:pPr>
        <w:spacing w:line="240" w:lineRule="auto"/>
        <w:jc w:val="center"/>
        <w:rPr>
          <w:b/>
          <w:sz w:val="28"/>
          <w:szCs w:val="28"/>
        </w:rPr>
      </w:pPr>
      <w:r w:rsidRPr="00585A25">
        <w:rPr>
          <w:b/>
          <w:sz w:val="28"/>
          <w:szCs w:val="28"/>
        </w:rPr>
        <w:t>Dilution and Concentration</w:t>
      </w:r>
    </w:p>
    <w:p w:rsidR="00585A25" w:rsidRDefault="00585A25" w:rsidP="002946D7">
      <w:pPr>
        <w:spacing w:line="240" w:lineRule="auto"/>
      </w:pPr>
      <w:r>
        <w:t xml:space="preserve">Drug concentration is expressed as a percentage (for example bupivacaine 0.25%, </w:t>
      </w:r>
      <w:proofErr w:type="spellStart"/>
      <w:r>
        <w:t>lidocaine</w:t>
      </w:r>
      <w:proofErr w:type="spellEnd"/>
      <w:r>
        <w:t xml:space="preserve"> 1%).</w:t>
      </w:r>
    </w:p>
    <w:p w:rsidR="00585A25" w:rsidRDefault="00585A25" w:rsidP="002946D7">
      <w:pPr>
        <w:spacing w:line="240" w:lineRule="auto"/>
      </w:pPr>
      <w:r>
        <w:t>Percentage is measured in grams per 100 ml (</w:t>
      </w:r>
      <w:proofErr w:type="spellStart"/>
      <w:r>
        <w:t>ie</w:t>
      </w:r>
      <w:proofErr w:type="spellEnd"/>
      <w:r>
        <w:t>, 1% is 1 g/100 ml or 1000 mg/100 ml or 10 mg per ml).</w:t>
      </w:r>
    </w:p>
    <w:p w:rsidR="00585A25" w:rsidRDefault="00585A25" w:rsidP="002946D7">
      <w:pPr>
        <w:spacing w:line="240" w:lineRule="auto"/>
      </w:pPr>
      <w:r>
        <w:t xml:space="preserve">Calculate the mg/ml concentration quickly from the percentage by moving the decimal point one place to the right </w:t>
      </w:r>
      <w:proofErr w:type="spellStart"/>
      <w:r>
        <w:t>ie</w:t>
      </w:r>
      <w:proofErr w:type="spellEnd"/>
      <w:r>
        <w:t xml:space="preserve"> Bupivacaine 0.25% = 2.5 mg/ml, </w:t>
      </w:r>
      <w:proofErr w:type="spellStart"/>
      <w:r>
        <w:t>Lidocaine</w:t>
      </w:r>
      <w:proofErr w:type="spellEnd"/>
      <w:r>
        <w:t xml:space="preserve"> 1% = 10 mg/ml.</w:t>
      </w:r>
    </w:p>
    <w:p w:rsidR="002946D7" w:rsidRDefault="002946D7" w:rsidP="002946D7">
      <w:pPr>
        <w:spacing w:line="240" w:lineRule="auto"/>
      </w:pPr>
    </w:p>
    <w:p w:rsidR="002946D7" w:rsidRDefault="002946D7" w:rsidP="002946D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Pharmacokinetics</w:t>
      </w:r>
    </w:p>
    <w:p w:rsidR="002946D7" w:rsidRDefault="002946D7" w:rsidP="002946D7">
      <w:pPr>
        <w:spacing w:line="240" w:lineRule="auto"/>
      </w:pPr>
      <w:proofErr w:type="spellStart"/>
      <w:r>
        <w:t>Levobupivacaine</w:t>
      </w:r>
      <w:proofErr w:type="spellEnd"/>
      <w:r>
        <w:t xml:space="preserve"> has a </w:t>
      </w:r>
      <w:r w:rsidRPr="004A7B9D">
        <w:t xml:space="preserve">long duration of sensory and </w:t>
      </w:r>
      <w:r>
        <w:t xml:space="preserve">motor peripheral blockade </w:t>
      </w:r>
      <w:r w:rsidRPr="004A7B9D">
        <w:t>of approximate 14–16 hours</w:t>
      </w:r>
      <w:r>
        <w:t xml:space="preserve">. </w:t>
      </w:r>
      <w:proofErr w:type="gramStart"/>
      <w:r>
        <w:t>Onset  of</w:t>
      </w:r>
      <w:proofErr w:type="gramEnd"/>
      <w:r>
        <w:t xml:space="preserve"> sensory and motor block  was 6–10 min in  brachial plexus nerve blocks and longer for larger diameter nerves, the onset time of sciatic nerve block is approximately 25–30 min.</w:t>
      </w:r>
      <w:r w:rsidRPr="002946D7">
        <w:rPr>
          <w:vertAlign w:val="superscript"/>
        </w:rPr>
        <w:t>1</w:t>
      </w:r>
    </w:p>
    <w:p w:rsidR="00585A25" w:rsidRDefault="00585A25" w:rsidP="002946D7">
      <w:pPr>
        <w:spacing w:line="240" w:lineRule="auto"/>
        <w:jc w:val="center"/>
        <w:rPr>
          <w:b/>
          <w:sz w:val="28"/>
          <w:szCs w:val="28"/>
        </w:rPr>
      </w:pPr>
    </w:p>
    <w:p w:rsidR="002946D7" w:rsidRDefault="002946D7" w:rsidP="002946D7">
      <w:pPr>
        <w:spacing w:line="240" w:lineRule="auto"/>
        <w:jc w:val="center"/>
        <w:rPr>
          <w:b/>
          <w:sz w:val="28"/>
          <w:szCs w:val="28"/>
        </w:rPr>
      </w:pPr>
    </w:p>
    <w:p w:rsidR="00E44635" w:rsidRDefault="00747507" w:rsidP="00A073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Performing t</w:t>
      </w:r>
      <w:r w:rsidR="00665C1B" w:rsidRPr="00665C1B">
        <w:rPr>
          <w:b/>
          <w:sz w:val="28"/>
          <w:szCs w:val="28"/>
        </w:rPr>
        <w:t xml:space="preserve">he </w:t>
      </w:r>
      <w:r>
        <w:rPr>
          <w:b/>
          <w:sz w:val="28"/>
          <w:szCs w:val="28"/>
        </w:rPr>
        <w:t xml:space="preserve">Femoral </w:t>
      </w:r>
      <w:r w:rsidR="00665C1B" w:rsidRPr="00665C1B">
        <w:rPr>
          <w:b/>
          <w:sz w:val="28"/>
          <w:szCs w:val="28"/>
        </w:rPr>
        <w:t>Nerve Block</w:t>
      </w:r>
    </w:p>
    <w:p w:rsidR="00B70CD7" w:rsidRPr="00E71D54" w:rsidRDefault="00154614" w:rsidP="00E71D5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 w:rsidRPr="00E71D54">
        <w:rPr>
          <w:rFonts w:ascii="Calibri" w:hAnsi="Calibri"/>
        </w:rPr>
        <w:t xml:space="preserve">Gain </w:t>
      </w:r>
      <w:r w:rsidR="00B70CD7" w:rsidRPr="00E71D54">
        <w:rPr>
          <w:rFonts w:ascii="Calibri" w:hAnsi="Calibri"/>
        </w:rPr>
        <w:t>informed consent</w:t>
      </w:r>
      <w:r w:rsidRPr="00E71D54">
        <w:rPr>
          <w:rFonts w:ascii="Calibri" w:hAnsi="Calibri"/>
        </w:rPr>
        <w:t xml:space="preserve"> as appropriate</w:t>
      </w:r>
      <w:r w:rsidR="00B70CD7" w:rsidRPr="00E71D54">
        <w:rPr>
          <w:rFonts w:ascii="Calibri" w:hAnsi="Calibri"/>
        </w:rPr>
        <w:t xml:space="preserve"> (verbal is adequate</w:t>
      </w:r>
      <w:r w:rsidRPr="00E71D54">
        <w:rPr>
          <w:rFonts w:ascii="Calibri" w:hAnsi="Calibri"/>
        </w:rPr>
        <w:t>, act in best interest if consent not obtainable</w:t>
      </w:r>
      <w:r w:rsidR="00B70CD7" w:rsidRPr="00E71D54">
        <w:rPr>
          <w:rFonts w:ascii="Calibri" w:hAnsi="Calibri"/>
        </w:rPr>
        <w:t>)</w:t>
      </w:r>
      <w:r w:rsidR="00B8079C" w:rsidRPr="00E71D54">
        <w:rPr>
          <w:rFonts w:ascii="Calibri" w:hAnsi="Calibri"/>
        </w:rPr>
        <w:t>.</w:t>
      </w:r>
      <w:r w:rsidR="00B70CD7" w:rsidRPr="00E71D54">
        <w:rPr>
          <w:rFonts w:ascii="Calibri" w:hAnsi="Calibri"/>
        </w:rPr>
        <w:t xml:space="preserve"> </w:t>
      </w:r>
    </w:p>
    <w:p w:rsidR="00665C1B" w:rsidRPr="00E71D54" w:rsidRDefault="00665C1B" w:rsidP="00E71D5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 w:rsidRPr="00E71D54">
        <w:rPr>
          <w:rFonts w:ascii="Calibri" w:hAnsi="Calibri"/>
        </w:rPr>
        <w:t>Position the patient correctly – supine with the affected leg</w:t>
      </w:r>
      <w:r w:rsidR="00154614" w:rsidRPr="00E71D54">
        <w:rPr>
          <w:rFonts w:ascii="Calibri" w:hAnsi="Calibri"/>
        </w:rPr>
        <w:t xml:space="preserve"> positioned to allow access to the groin</w:t>
      </w:r>
      <w:r w:rsidRPr="00E71D54">
        <w:rPr>
          <w:rFonts w:ascii="Calibri" w:hAnsi="Calibri"/>
        </w:rPr>
        <w:t xml:space="preserve"> as much as </w:t>
      </w:r>
      <w:r w:rsidR="00E71D54" w:rsidRPr="00E71D54">
        <w:rPr>
          <w:rFonts w:ascii="Calibri" w:hAnsi="Calibri"/>
        </w:rPr>
        <w:t>tolerated by the patient</w:t>
      </w:r>
      <w:r w:rsidR="00B8079C" w:rsidRPr="00E71D54">
        <w:rPr>
          <w:rFonts w:ascii="Calibri" w:hAnsi="Calibri"/>
        </w:rPr>
        <w:t>.</w:t>
      </w:r>
    </w:p>
    <w:p w:rsidR="00665C1B" w:rsidRPr="00E71D54" w:rsidRDefault="00665C1B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E71D54">
        <w:rPr>
          <w:rFonts w:ascii="Calibri" w:hAnsi="Calibri"/>
        </w:rPr>
        <w:t>Stand on the side that is to be blocked facing the patient.</w:t>
      </w:r>
    </w:p>
    <w:p w:rsidR="00665C1B" w:rsidRPr="00747507" w:rsidRDefault="00665C1B" w:rsidP="00E71D54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:rsidR="00665C1B" w:rsidRPr="00E71D54" w:rsidRDefault="00665C1B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  <w:r w:rsidRPr="00E71D54">
        <w:rPr>
          <w:rFonts w:ascii="Calibri" w:hAnsi="Calibri"/>
        </w:rPr>
        <w:t xml:space="preserve">Mentally draw a line </w:t>
      </w:r>
      <w:r w:rsidRPr="00E71D54">
        <w:rPr>
          <w:rFonts w:ascii="Calibri" w:hAnsi="Calibri" w:cs="TimesNewRomanPSMT"/>
          <w:color w:val="000000"/>
        </w:rPr>
        <w:t xml:space="preserve">between the anterior superior iliac spine and the pubic </w:t>
      </w:r>
      <w:proofErr w:type="spellStart"/>
      <w:r w:rsidRPr="00E71D54">
        <w:rPr>
          <w:rFonts w:ascii="Calibri" w:hAnsi="Calibri" w:cs="TimesNewRomanPSMT"/>
          <w:color w:val="000000"/>
        </w:rPr>
        <w:t>symphysis</w:t>
      </w:r>
      <w:proofErr w:type="spellEnd"/>
      <w:r w:rsidRPr="00E71D54">
        <w:rPr>
          <w:rFonts w:ascii="Calibri" w:hAnsi="Calibri" w:cs="TimesNewRomanPSMT"/>
          <w:color w:val="000000"/>
        </w:rPr>
        <w:t xml:space="preserve"> </w:t>
      </w:r>
      <w:r w:rsidR="00F62317" w:rsidRPr="00E71D54">
        <w:rPr>
          <w:rFonts w:ascii="Calibri" w:hAnsi="Calibri" w:cs="TimesNewRomanPSMT"/>
          <w:color w:val="000000"/>
        </w:rPr>
        <w:t xml:space="preserve">- </w:t>
      </w:r>
      <w:r w:rsidRPr="00E71D54">
        <w:rPr>
          <w:rFonts w:ascii="Calibri" w:hAnsi="Calibri" w:cs="TimesNewRomanPSMT"/>
          <w:color w:val="000000"/>
        </w:rPr>
        <w:t xml:space="preserve">this is the inguinal ligament. </w:t>
      </w:r>
    </w:p>
    <w:p w:rsidR="00665C1B" w:rsidRPr="00747507" w:rsidRDefault="00665C1B" w:rsidP="00E71D5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</w:p>
    <w:p w:rsidR="00665C1B" w:rsidRPr="00E71D54" w:rsidRDefault="00665C1B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  <w:r w:rsidRPr="00E71D54">
        <w:rPr>
          <w:rFonts w:ascii="Calibri" w:hAnsi="Calibri" w:cs="TimesNewRomanPSMT"/>
          <w:color w:val="000000"/>
        </w:rPr>
        <w:t>The femoral nerve passes through the centre of this line. It is most superficial in the inguinal crease.</w:t>
      </w:r>
      <w:r w:rsidR="00154614" w:rsidRPr="00E71D54">
        <w:rPr>
          <w:rFonts w:ascii="Calibri" w:hAnsi="Calibri" w:cs="TimesNewRomanPSMT"/>
          <w:color w:val="000000"/>
        </w:rPr>
        <w:t xml:space="preserve"> </w:t>
      </w:r>
    </w:p>
    <w:p w:rsidR="000E7B3D" w:rsidRDefault="000E7B3D" w:rsidP="00E71D54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</w:p>
    <w:p w:rsidR="000E7B3D" w:rsidRPr="00747507" w:rsidRDefault="00E71D54" w:rsidP="000E7B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NewRomanPSMT"/>
          <w:color w:val="000000"/>
        </w:rPr>
      </w:pPr>
      <w:r w:rsidRPr="00E71D54">
        <w:rPr>
          <w:rFonts w:ascii="Calibri" w:hAnsi="Calibri" w:cs="TimesNewRomanPSMT"/>
          <w:noProof/>
          <w:color w:val="000000"/>
          <w:lang w:eastAsia="en-GB"/>
        </w:rPr>
        <w:drawing>
          <wp:inline distT="0" distB="0" distL="0" distR="0">
            <wp:extent cx="2286828" cy="1834937"/>
            <wp:effectExtent l="19050" t="0" r="0" b="0"/>
            <wp:docPr id="5" name="Picture 1" descr="http://img.medscape.com/pi/emed/ckb/clinical_procedures/1134815-1143675-106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edscape.com/pi/emed/ckb/clinical_procedures/1134815-1143675-106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35" cy="184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1B" w:rsidRDefault="00E71D54" w:rsidP="00747507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i/>
          <w:color w:val="000000"/>
          <w:sz w:val="18"/>
          <w:szCs w:val="18"/>
        </w:rPr>
      </w:pPr>
      <w:proofErr w:type="gramStart"/>
      <w:r w:rsidRPr="00E71D54">
        <w:rPr>
          <w:rFonts w:ascii="Calibri" w:hAnsi="Calibri" w:cs="TimesNewRomanPSMT"/>
          <w:b/>
          <w:color w:val="000000"/>
        </w:rPr>
        <w:t>Figure 1.</w:t>
      </w:r>
      <w:proofErr w:type="gramEnd"/>
      <w:r>
        <w:rPr>
          <w:rFonts w:ascii="Calibri" w:hAnsi="Calibri" w:cs="TimesNewRomanPSMT"/>
          <w:color w:val="000000"/>
        </w:rPr>
        <w:t xml:space="preserve"> </w:t>
      </w:r>
    </w:p>
    <w:p w:rsidR="00695A59" w:rsidRDefault="00695A59" w:rsidP="00747507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</w:p>
    <w:p w:rsidR="00E71D54" w:rsidRDefault="00E71D54" w:rsidP="00747507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</w:p>
    <w:p w:rsidR="00665C1B" w:rsidRPr="00E71D54" w:rsidRDefault="00665C1B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  <w:r w:rsidRPr="00E71D54">
        <w:rPr>
          <w:rFonts w:ascii="Calibri" w:hAnsi="Calibri" w:cs="TimesNewRomanPSMT"/>
          <w:color w:val="000000"/>
        </w:rPr>
        <w:t>Palpate the femoral pulse at the inguinal ligament and keep you finger on the pulse with your non</w:t>
      </w:r>
      <w:r w:rsidR="00F62317" w:rsidRPr="00E71D54">
        <w:rPr>
          <w:rFonts w:ascii="Calibri" w:hAnsi="Calibri" w:cs="TimesNewRomanPSMT"/>
          <w:color w:val="000000"/>
        </w:rPr>
        <w:t>-</w:t>
      </w:r>
      <w:r w:rsidRPr="00E71D54">
        <w:rPr>
          <w:rFonts w:ascii="Calibri" w:hAnsi="Calibri" w:cs="TimesNewRomanPSMT"/>
          <w:color w:val="000000"/>
        </w:rPr>
        <w:t>dominate hand.</w:t>
      </w:r>
    </w:p>
    <w:p w:rsidR="00665C1B" w:rsidRPr="00747507" w:rsidRDefault="00665C1B" w:rsidP="00747507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:rsidR="009B1D00" w:rsidRPr="00E71D54" w:rsidRDefault="00665C1B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E71D54">
        <w:rPr>
          <w:rFonts w:ascii="Calibri" w:hAnsi="Calibri"/>
        </w:rPr>
        <w:t>Clean the skin and with a no-touch technique inserted the needle 1-1.5cm lateral to the artery at the midpoint of the inguinal ligament (the nerve divides approx 2cm below this point). The nerve is 3-4cm from the skin.</w:t>
      </w:r>
      <w:r w:rsidR="009B1D00" w:rsidRPr="00E71D54">
        <w:rPr>
          <w:rFonts w:ascii="Calibri" w:hAnsi="Calibri" w:cs="Arial-Black"/>
          <w:color w:val="FFFFFF"/>
        </w:rPr>
        <w:t>12</w:t>
      </w:r>
    </w:p>
    <w:p w:rsidR="009B1D00" w:rsidRPr="00747507" w:rsidRDefault="009B1D00" w:rsidP="00747507">
      <w:pPr>
        <w:autoSpaceDE w:val="0"/>
        <w:autoSpaceDN w:val="0"/>
        <w:adjustRightInd w:val="0"/>
        <w:spacing w:after="0" w:line="240" w:lineRule="auto"/>
        <w:rPr>
          <w:rFonts w:ascii="Calibri" w:hAnsi="Calibri" w:cs="Arial-BoldMT"/>
          <w:bCs/>
          <w:color w:val="000000"/>
        </w:rPr>
      </w:pPr>
    </w:p>
    <w:p w:rsidR="00A07373" w:rsidRPr="00E71D54" w:rsidRDefault="009B1D00" w:rsidP="00E71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  <w:r w:rsidRPr="00E71D54">
        <w:rPr>
          <w:rFonts w:ascii="Calibri" w:hAnsi="Calibri" w:cs="TimesNewRomanPSMT"/>
          <w:color w:val="000000"/>
        </w:rPr>
        <w:t xml:space="preserve">Two distinct ‘pops’ maybe felt as the fascia </w:t>
      </w:r>
      <w:proofErr w:type="spellStart"/>
      <w:r w:rsidRPr="00E71D54">
        <w:rPr>
          <w:rFonts w:ascii="Calibri" w:hAnsi="Calibri" w:cs="TimesNewRomanPSMT"/>
          <w:color w:val="000000"/>
        </w:rPr>
        <w:t>lat</w:t>
      </w:r>
      <w:r w:rsidR="00747507" w:rsidRPr="00E71D54">
        <w:rPr>
          <w:rFonts w:ascii="Calibri" w:hAnsi="Calibri" w:cs="TimesNewRomanPSMT"/>
          <w:color w:val="000000"/>
        </w:rPr>
        <w:t>a</w:t>
      </w:r>
      <w:proofErr w:type="spellEnd"/>
      <w:r w:rsidR="00747507" w:rsidRPr="00E71D54">
        <w:rPr>
          <w:rFonts w:ascii="Calibri" w:hAnsi="Calibri" w:cs="TimesNewRomanPSMT"/>
          <w:color w:val="000000"/>
        </w:rPr>
        <w:t xml:space="preserve"> and fascia </w:t>
      </w:r>
      <w:proofErr w:type="spellStart"/>
      <w:r w:rsidR="00747507" w:rsidRPr="00E71D54">
        <w:rPr>
          <w:rFonts w:ascii="Calibri" w:hAnsi="Calibri" w:cs="TimesNewRomanPSMT"/>
          <w:color w:val="000000"/>
        </w:rPr>
        <w:t>ilaca</w:t>
      </w:r>
      <w:proofErr w:type="spellEnd"/>
      <w:r w:rsidR="00747507" w:rsidRPr="00E71D54">
        <w:rPr>
          <w:rFonts w:ascii="Calibri" w:hAnsi="Calibri" w:cs="TimesNewRomanPSMT"/>
          <w:color w:val="000000"/>
        </w:rPr>
        <w:t xml:space="preserve"> are crossed.</w:t>
      </w:r>
    </w:p>
    <w:p w:rsidR="00747507" w:rsidRPr="00747507" w:rsidRDefault="00747507" w:rsidP="00747507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color w:val="000000"/>
        </w:rPr>
      </w:pPr>
    </w:p>
    <w:p w:rsidR="00A07373" w:rsidRDefault="00665C1B" w:rsidP="00E71D5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 w:rsidRPr="00E71D54">
        <w:rPr>
          <w:rFonts w:ascii="Calibri" w:hAnsi="Calibri"/>
        </w:rPr>
        <w:t>A</w:t>
      </w:r>
      <w:r w:rsidR="00F62317" w:rsidRPr="00E71D54">
        <w:rPr>
          <w:rFonts w:ascii="Calibri" w:hAnsi="Calibri"/>
        </w:rPr>
        <w:t>s</w:t>
      </w:r>
      <w:r w:rsidRPr="00E71D54">
        <w:rPr>
          <w:rFonts w:ascii="Calibri" w:hAnsi="Calibri"/>
        </w:rPr>
        <w:t xml:space="preserve">pirate and ensure there is no blood before injecting the local </w:t>
      </w:r>
      <w:r w:rsidR="00F62317" w:rsidRPr="00E71D54">
        <w:rPr>
          <w:rFonts w:ascii="Calibri" w:hAnsi="Calibri"/>
        </w:rPr>
        <w:t>anaesthetic</w:t>
      </w:r>
      <w:r w:rsidRPr="00E71D54">
        <w:rPr>
          <w:rFonts w:ascii="Calibri" w:hAnsi="Calibri"/>
        </w:rPr>
        <w:t>. Stop if there is blood</w:t>
      </w:r>
      <w:r w:rsidR="00154614" w:rsidRPr="00E71D54">
        <w:rPr>
          <w:rFonts w:ascii="Calibri" w:hAnsi="Calibri"/>
        </w:rPr>
        <w:t xml:space="preserve"> and reposition the needle and re-aspirating</w:t>
      </w:r>
      <w:r w:rsidRPr="00E71D54">
        <w:rPr>
          <w:rFonts w:ascii="Calibri" w:hAnsi="Calibri"/>
        </w:rPr>
        <w:t xml:space="preserve"> or </w:t>
      </w:r>
      <w:r w:rsidR="00F62317" w:rsidRPr="00E71D54">
        <w:rPr>
          <w:rFonts w:ascii="Calibri" w:hAnsi="Calibri"/>
        </w:rPr>
        <w:t>resistance</w:t>
      </w:r>
      <w:r w:rsidRPr="00E71D54">
        <w:rPr>
          <w:rFonts w:ascii="Calibri" w:hAnsi="Calibri"/>
        </w:rPr>
        <w:t xml:space="preserve"> </w:t>
      </w:r>
      <w:r w:rsidR="00F62317" w:rsidRPr="00E71D54">
        <w:rPr>
          <w:rFonts w:ascii="Calibri" w:hAnsi="Calibri"/>
        </w:rPr>
        <w:t>to injection (you may be inside the nerve and risk causing nerve damage).</w:t>
      </w:r>
    </w:p>
    <w:p w:rsidR="00F2438F" w:rsidRPr="00F2438F" w:rsidRDefault="00F2438F" w:rsidP="00F2438F">
      <w:pPr>
        <w:pStyle w:val="ListParagraph"/>
        <w:rPr>
          <w:rFonts w:ascii="Calibri" w:hAnsi="Calibri"/>
        </w:rPr>
      </w:pPr>
    </w:p>
    <w:p w:rsidR="00B70CD7" w:rsidRDefault="00B70CD7" w:rsidP="00E71D5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 w:rsidRPr="00E71D54">
        <w:rPr>
          <w:rFonts w:ascii="Calibri" w:hAnsi="Calibri"/>
        </w:rPr>
        <w:t>Document</w:t>
      </w:r>
      <w:r w:rsidR="00BD4621" w:rsidRPr="00E71D54">
        <w:rPr>
          <w:rFonts w:ascii="Calibri" w:hAnsi="Calibri"/>
        </w:rPr>
        <w:t>:</w:t>
      </w:r>
      <w:r w:rsidRPr="00E71D54">
        <w:rPr>
          <w:rFonts w:ascii="Calibri" w:hAnsi="Calibri"/>
        </w:rPr>
        <w:t xml:space="preserve"> consent, technique, </w:t>
      </w:r>
      <w:r w:rsidR="00BD4621" w:rsidRPr="00E71D54">
        <w:rPr>
          <w:rFonts w:ascii="Calibri" w:hAnsi="Calibri"/>
        </w:rPr>
        <w:t>and number</w:t>
      </w:r>
      <w:r w:rsidRPr="00E71D54">
        <w:rPr>
          <w:rFonts w:ascii="Calibri" w:hAnsi="Calibri"/>
        </w:rPr>
        <w:t xml:space="preserve"> of passes, drug</w:t>
      </w:r>
      <w:r w:rsidR="00E71D54" w:rsidRPr="00E71D54">
        <w:rPr>
          <w:rFonts w:ascii="Calibri" w:hAnsi="Calibri"/>
        </w:rPr>
        <w:t xml:space="preserve"> and volume</w:t>
      </w:r>
      <w:r w:rsidRPr="00E71D54">
        <w:rPr>
          <w:rFonts w:ascii="Calibri" w:hAnsi="Calibri"/>
        </w:rPr>
        <w:t xml:space="preserve"> used, date, time, your name and position. </w:t>
      </w:r>
    </w:p>
    <w:p w:rsidR="002946D7" w:rsidRPr="002946D7" w:rsidRDefault="002946D7" w:rsidP="002946D7">
      <w:pPr>
        <w:pStyle w:val="ListParagraph"/>
        <w:rPr>
          <w:rFonts w:ascii="Calibri" w:hAnsi="Calibri"/>
        </w:rPr>
      </w:pPr>
    </w:p>
    <w:p w:rsidR="002946D7" w:rsidRDefault="002946D7" w:rsidP="002946D7">
      <w:pPr>
        <w:pStyle w:val="ListParagraph"/>
        <w:spacing w:line="240" w:lineRule="auto"/>
        <w:rPr>
          <w:rFonts w:ascii="Calibri" w:hAnsi="Calibri"/>
        </w:rPr>
      </w:pPr>
    </w:p>
    <w:p w:rsidR="005D7955" w:rsidRDefault="005D7955" w:rsidP="002946D7">
      <w:pPr>
        <w:pStyle w:val="ListParagraph"/>
        <w:spacing w:line="240" w:lineRule="auto"/>
        <w:rPr>
          <w:rFonts w:ascii="Calibri" w:hAnsi="Calibri"/>
        </w:rPr>
      </w:pPr>
    </w:p>
    <w:p w:rsidR="005D7955" w:rsidRDefault="005D7955" w:rsidP="002946D7">
      <w:pPr>
        <w:pStyle w:val="ListParagraph"/>
        <w:spacing w:line="240" w:lineRule="auto"/>
        <w:rPr>
          <w:rFonts w:ascii="Calibri" w:hAnsi="Calibri"/>
        </w:rPr>
      </w:pPr>
    </w:p>
    <w:p w:rsidR="005D7955" w:rsidRDefault="005D7955" w:rsidP="002946D7">
      <w:pPr>
        <w:pStyle w:val="ListParagraph"/>
        <w:spacing w:line="240" w:lineRule="auto"/>
        <w:rPr>
          <w:rFonts w:ascii="Calibri" w:hAnsi="Calibri"/>
        </w:rPr>
      </w:pPr>
    </w:p>
    <w:p w:rsidR="005D7955" w:rsidRDefault="005D7955" w:rsidP="002946D7">
      <w:pPr>
        <w:pStyle w:val="ListParagraph"/>
        <w:spacing w:line="240" w:lineRule="auto"/>
        <w:rPr>
          <w:rFonts w:ascii="Calibri" w:hAnsi="Calibri"/>
        </w:rPr>
      </w:pPr>
    </w:p>
    <w:p w:rsidR="002946D7" w:rsidRPr="005D7955" w:rsidRDefault="002946D7" w:rsidP="002946D7">
      <w:pPr>
        <w:pStyle w:val="ListParagraph"/>
        <w:spacing w:line="240" w:lineRule="auto"/>
        <w:rPr>
          <w:rFonts w:ascii="Calibri" w:hAnsi="Calibri"/>
          <w:b/>
          <w:sz w:val="18"/>
          <w:szCs w:val="18"/>
        </w:rPr>
      </w:pPr>
      <w:r w:rsidRPr="005D7955">
        <w:rPr>
          <w:rFonts w:ascii="Calibri" w:hAnsi="Calibri"/>
          <w:b/>
          <w:sz w:val="18"/>
          <w:szCs w:val="18"/>
        </w:rPr>
        <w:t>References</w:t>
      </w:r>
    </w:p>
    <w:p w:rsidR="002946D7" w:rsidRPr="005D7955" w:rsidRDefault="00851E6D" w:rsidP="002946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i/>
          <w:color w:val="000000"/>
          <w:sz w:val="18"/>
          <w:szCs w:val="18"/>
        </w:rPr>
      </w:pPr>
      <w:hyperlink r:id="rId8" w:tgtFrame="_blank" w:history="1">
        <w:proofErr w:type="spellStart"/>
        <w:r w:rsidR="002946D7" w:rsidRPr="005D7955">
          <w:rPr>
            <w:rFonts w:eastAsia="Times New Roman" w:cs="Arial"/>
            <w:color w:val="0000FF"/>
            <w:sz w:val="18"/>
            <w:szCs w:val="18"/>
            <w:u w:val="single"/>
            <w:lang w:eastAsia="en-GB"/>
          </w:rPr>
          <w:t>Crina</w:t>
        </w:r>
        <w:proofErr w:type="spellEnd"/>
        <w:r w:rsidR="002946D7" w:rsidRPr="005D7955">
          <w:rPr>
            <w:rFonts w:eastAsia="Times New Roman" w:cs="Arial"/>
            <w:color w:val="0000FF"/>
            <w:sz w:val="18"/>
            <w:szCs w:val="18"/>
            <w:u w:val="single"/>
            <w:lang w:eastAsia="en-GB"/>
          </w:rPr>
          <w:t xml:space="preserve"> L </w:t>
        </w:r>
        <w:proofErr w:type="spellStart"/>
        <w:r w:rsidR="002946D7" w:rsidRPr="005D7955">
          <w:rPr>
            <w:rFonts w:eastAsia="Times New Roman" w:cs="Arial"/>
            <w:color w:val="0000FF"/>
            <w:sz w:val="18"/>
            <w:szCs w:val="18"/>
            <w:u w:val="single"/>
            <w:lang w:eastAsia="en-GB"/>
          </w:rPr>
          <w:t>Burlacu</w:t>
        </w:r>
        <w:proofErr w:type="spellEnd"/>
      </w:hyperlink>
      <w:r w:rsidR="002946D7" w:rsidRPr="005D7955">
        <w:rPr>
          <w:rFonts w:eastAsia="Times New Roman" w:cs="Arial"/>
          <w:sz w:val="18"/>
          <w:szCs w:val="18"/>
          <w:lang w:eastAsia="en-GB"/>
        </w:rPr>
        <w:t xml:space="preserve"> and </w:t>
      </w:r>
      <w:hyperlink r:id="rId9" w:tgtFrame="_blank" w:history="1">
        <w:proofErr w:type="spellStart"/>
        <w:r w:rsidR="002946D7" w:rsidRPr="005D7955">
          <w:rPr>
            <w:rFonts w:eastAsia="Times New Roman" w:cs="Arial"/>
            <w:color w:val="0000FF"/>
            <w:sz w:val="18"/>
            <w:szCs w:val="18"/>
            <w:u w:val="single"/>
            <w:lang w:eastAsia="en-GB"/>
          </w:rPr>
          <w:t>Donal</w:t>
        </w:r>
        <w:proofErr w:type="spellEnd"/>
        <w:r w:rsidR="002946D7" w:rsidRPr="005D7955">
          <w:rPr>
            <w:rFonts w:eastAsia="Times New Roman" w:cs="Arial"/>
            <w:color w:val="0000FF"/>
            <w:sz w:val="18"/>
            <w:szCs w:val="18"/>
            <w:u w:val="single"/>
            <w:lang w:eastAsia="en-GB"/>
          </w:rPr>
          <w:t xml:space="preserve"> J Buggy</w:t>
        </w:r>
      </w:hyperlink>
      <w:r w:rsidR="002946D7" w:rsidRPr="005D7955">
        <w:rPr>
          <w:rFonts w:cs="Arial"/>
          <w:sz w:val="18"/>
          <w:szCs w:val="18"/>
        </w:rPr>
        <w:t xml:space="preserve">. </w:t>
      </w:r>
      <w:proofErr w:type="spellStart"/>
      <w:r w:rsidR="002946D7" w:rsidRPr="005D7955">
        <w:rPr>
          <w:rFonts w:eastAsia="Times New Roman" w:cs="Arial"/>
          <w:sz w:val="18"/>
          <w:szCs w:val="18"/>
          <w:lang w:eastAsia="en-GB"/>
        </w:rPr>
        <w:t>Ther</w:t>
      </w:r>
      <w:proofErr w:type="spellEnd"/>
      <w:r w:rsidR="002946D7" w:rsidRPr="005D7955">
        <w:rPr>
          <w:rFonts w:eastAsia="Times New Roman" w:cs="Arial"/>
          <w:sz w:val="18"/>
          <w:szCs w:val="18"/>
          <w:lang w:eastAsia="en-GB"/>
        </w:rPr>
        <w:t xml:space="preserve"> </w:t>
      </w:r>
      <w:proofErr w:type="spellStart"/>
      <w:r w:rsidR="002946D7" w:rsidRPr="005D7955">
        <w:rPr>
          <w:rFonts w:eastAsia="Times New Roman" w:cs="Arial"/>
          <w:sz w:val="18"/>
          <w:szCs w:val="18"/>
          <w:lang w:eastAsia="en-GB"/>
        </w:rPr>
        <w:t>Clin</w:t>
      </w:r>
      <w:proofErr w:type="spellEnd"/>
      <w:r w:rsidR="002946D7" w:rsidRPr="005D7955">
        <w:rPr>
          <w:rFonts w:eastAsia="Times New Roman" w:cs="Arial"/>
          <w:sz w:val="18"/>
          <w:szCs w:val="18"/>
          <w:lang w:eastAsia="en-GB"/>
        </w:rPr>
        <w:t xml:space="preserve"> Risk </w:t>
      </w:r>
      <w:proofErr w:type="spellStart"/>
      <w:r w:rsidR="002946D7" w:rsidRPr="005D7955">
        <w:rPr>
          <w:rFonts w:eastAsia="Times New Roman" w:cs="Arial"/>
          <w:sz w:val="18"/>
          <w:szCs w:val="18"/>
          <w:lang w:eastAsia="en-GB"/>
        </w:rPr>
        <w:t>Manag</w:t>
      </w:r>
      <w:proofErr w:type="spellEnd"/>
      <w:r w:rsidR="002946D7" w:rsidRPr="005D7955">
        <w:rPr>
          <w:rFonts w:eastAsia="Times New Roman" w:cs="Arial"/>
          <w:sz w:val="18"/>
          <w:szCs w:val="18"/>
          <w:lang w:eastAsia="en-GB"/>
        </w:rPr>
        <w:t xml:space="preserve">. 2008 April; 4(2): 381–392. </w:t>
      </w:r>
    </w:p>
    <w:p w:rsidR="002946D7" w:rsidRPr="005D7955" w:rsidRDefault="002946D7" w:rsidP="002946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i/>
          <w:color w:val="000000"/>
          <w:sz w:val="18"/>
          <w:szCs w:val="18"/>
        </w:rPr>
      </w:pPr>
      <w:proofErr w:type="gramStart"/>
      <w:r w:rsidRPr="005D7955">
        <w:rPr>
          <w:rFonts w:ascii="Calibri" w:hAnsi="Calibri" w:cs="TimesNewRomanPSMT"/>
          <w:b/>
          <w:color w:val="000000"/>
          <w:sz w:val="18"/>
          <w:szCs w:val="18"/>
        </w:rPr>
        <w:t>Figure 1.</w:t>
      </w:r>
      <w:proofErr w:type="gramEnd"/>
      <w:r w:rsidRPr="005D7955">
        <w:rPr>
          <w:rFonts w:ascii="Calibri" w:hAnsi="Calibri" w:cs="TimesNewRomanPSMT"/>
          <w:color w:val="000000"/>
          <w:sz w:val="18"/>
          <w:szCs w:val="18"/>
        </w:rPr>
        <w:t xml:space="preserve"> </w:t>
      </w:r>
      <w:hyperlink r:id="rId10" w:history="1">
        <w:r w:rsidRPr="005D7955">
          <w:rPr>
            <w:rStyle w:val="Hyperlink"/>
            <w:rFonts w:ascii="Calibri" w:hAnsi="Calibri" w:cs="TimesNewRomanPSMT"/>
            <w:i/>
            <w:sz w:val="18"/>
            <w:szCs w:val="18"/>
          </w:rPr>
          <w:t>http://emedicine.medscape.com/article/1143675-overview</w:t>
        </w:r>
      </w:hyperlink>
    </w:p>
    <w:sectPr w:rsidR="002946D7" w:rsidRPr="005D7955" w:rsidSect="00D6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088"/>
    <w:multiLevelType w:val="hybridMultilevel"/>
    <w:tmpl w:val="44CE272E"/>
    <w:lvl w:ilvl="0" w:tplc="C1F6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F5675A"/>
    <w:multiLevelType w:val="hybridMultilevel"/>
    <w:tmpl w:val="56D24F74"/>
    <w:lvl w:ilvl="0" w:tplc="5A6446A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506FF"/>
    <w:multiLevelType w:val="hybridMultilevel"/>
    <w:tmpl w:val="33A6E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A0695"/>
    <w:multiLevelType w:val="hybridMultilevel"/>
    <w:tmpl w:val="05F61934"/>
    <w:lvl w:ilvl="0" w:tplc="C6E016D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160BA"/>
    <w:multiLevelType w:val="hybridMultilevel"/>
    <w:tmpl w:val="01823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53E69"/>
    <w:multiLevelType w:val="hybridMultilevel"/>
    <w:tmpl w:val="C6789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E46BF"/>
    <w:multiLevelType w:val="hybridMultilevel"/>
    <w:tmpl w:val="A24CA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C5587"/>
    <w:multiLevelType w:val="hybridMultilevel"/>
    <w:tmpl w:val="B1B60C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73"/>
    <w:rsid w:val="000E7B3D"/>
    <w:rsid w:val="00154614"/>
    <w:rsid w:val="002946D7"/>
    <w:rsid w:val="002A18D4"/>
    <w:rsid w:val="00420888"/>
    <w:rsid w:val="00551153"/>
    <w:rsid w:val="00563A67"/>
    <w:rsid w:val="00585A25"/>
    <w:rsid w:val="005D070A"/>
    <w:rsid w:val="005D7955"/>
    <w:rsid w:val="00615E2C"/>
    <w:rsid w:val="00665C1B"/>
    <w:rsid w:val="00695A59"/>
    <w:rsid w:val="006C3CDF"/>
    <w:rsid w:val="006C593F"/>
    <w:rsid w:val="00747507"/>
    <w:rsid w:val="00851E6D"/>
    <w:rsid w:val="008A537A"/>
    <w:rsid w:val="009B1D00"/>
    <w:rsid w:val="00A07373"/>
    <w:rsid w:val="00B70CD7"/>
    <w:rsid w:val="00B8079C"/>
    <w:rsid w:val="00BA489B"/>
    <w:rsid w:val="00BD4621"/>
    <w:rsid w:val="00D67518"/>
    <w:rsid w:val="00E44635"/>
    <w:rsid w:val="00E66262"/>
    <w:rsid w:val="00E71D54"/>
    <w:rsid w:val="00E759D0"/>
    <w:rsid w:val="00EA6073"/>
    <w:rsid w:val="00ED5970"/>
    <w:rsid w:val="00F2438F"/>
    <w:rsid w:val="00F6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nhs.net/owa/redir.aspx?C=iYREbgYyZkmEdPXqT76dEbKiYH2exM9Iu_Vk8ow7JgISL7_QpOCNn2pMt-j0lkMEnoweuyu7Gi0.&amp;URL=http%3a%2f%2fwww.ncbi.nlm.nih.gov%2fpubmed%2f%3fterm%3dBurlacu%2520CL%255Bauth%255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refcontent(%22refimage_zoomlayer%22)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medicine.medscape.com/article/1143675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nhs.net/owa/redir.aspx?C=iYREbgYyZkmEdPXqT76dEbKiYH2exM9Iu_Vk8ow7JgISL7_QpOCNn2pMt-j0lkMEnoweuyu7Gi0.&amp;URL=http%3a%2f%2fwww.ncbi.nlm.nih.gov%2fpubmed%2f%3fterm%3dBuggy%2520DJ%255Bauth%25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User</dc:creator>
  <cp:lastModifiedBy>Carter, Brian</cp:lastModifiedBy>
  <cp:revision>2</cp:revision>
  <dcterms:created xsi:type="dcterms:W3CDTF">2017-08-10T14:46:00Z</dcterms:created>
  <dcterms:modified xsi:type="dcterms:W3CDTF">2017-08-10T14:46:00Z</dcterms:modified>
</cp:coreProperties>
</file>