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5"/>
        <w:gridCol w:w="5808"/>
        <w:gridCol w:w="3731"/>
        <w:gridCol w:w="1246"/>
        <w:gridCol w:w="827"/>
        <w:gridCol w:w="3450"/>
        <w:gridCol w:w="1343"/>
        <w:gridCol w:w="684"/>
      </w:tblGrid>
      <w:tr w:rsidR="00AB61BC" w:rsidRPr="00AB61BC" w:rsidTr="00AB61BC">
        <w:trPr>
          <w:cantSplit/>
          <w:trHeight w:val="1990"/>
          <w:tblHeader/>
        </w:trPr>
        <w:tc>
          <w:tcPr>
            <w:tcW w:w="928" w:type="pct"/>
            <w:shd w:val="clear" w:color="000000" w:fill="4F81BD"/>
            <w:textDirection w:val="btLr"/>
            <w:vAlign w:val="bottom"/>
            <w:hideMark/>
          </w:tcPr>
          <w:p w:rsidR="00F6751B" w:rsidRPr="00AB61BC" w:rsidRDefault="00F6751B" w:rsidP="00AB61BC">
            <w:pPr>
              <w:pStyle w:val="NoSpacing"/>
              <w:rPr>
                <w:b/>
                <w:sz w:val="18"/>
                <w:szCs w:val="18"/>
                <w:lang w:eastAsia="en-GB"/>
              </w:rPr>
            </w:pPr>
            <w:bookmarkStart w:id="0" w:name="_GoBack"/>
            <w:bookmarkEnd w:id="0"/>
            <w:r w:rsidRPr="00AB61BC">
              <w:rPr>
                <w:b/>
                <w:sz w:val="18"/>
                <w:szCs w:val="18"/>
                <w:lang w:eastAsia="en-GB"/>
              </w:rPr>
              <w:t xml:space="preserve">hyperlink </w:t>
            </w:r>
          </w:p>
        </w:tc>
        <w:tc>
          <w:tcPr>
            <w:tcW w:w="1384" w:type="pct"/>
            <w:shd w:val="clear" w:color="000000" w:fill="4F81BD"/>
            <w:textDirection w:val="btLr"/>
            <w:vAlign w:val="bottom"/>
            <w:hideMark/>
          </w:tcPr>
          <w:p w:rsidR="00F6751B" w:rsidRPr="00AB61BC" w:rsidRDefault="00F6751B" w:rsidP="00AB61BC">
            <w:pPr>
              <w:pStyle w:val="NoSpacing"/>
              <w:rPr>
                <w:b/>
                <w:sz w:val="18"/>
                <w:szCs w:val="18"/>
                <w:lang w:eastAsia="en-GB"/>
              </w:rPr>
            </w:pPr>
            <w:r w:rsidRPr="00AB61BC">
              <w:rPr>
                <w:b/>
                <w:sz w:val="18"/>
                <w:szCs w:val="18"/>
                <w:lang w:eastAsia="en-GB"/>
              </w:rPr>
              <w:t>Document Details</w:t>
            </w:r>
          </w:p>
        </w:tc>
        <w:tc>
          <w:tcPr>
            <w:tcW w:w="889" w:type="pct"/>
            <w:shd w:val="clear" w:color="000000" w:fill="4F81BD"/>
            <w:textDirection w:val="btLr"/>
            <w:vAlign w:val="bottom"/>
            <w:hideMark/>
          </w:tcPr>
          <w:p w:rsidR="00F6751B" w:rsidRPr="00AB61BC" w:rsidRDefault="00F6751B" w:rsidP="00AB61BC">
            <w:pPr>
              <w:pStyle w:val="NoSpacing"/>
              <w:rPr>
                <w:b/>
                <w:sz w:val="18"/>
                <w:szCs w:val="18"/>
                <w:lang w:eastAsia="en-GB"/>
              </w:rPr>
            </w:pPr>
            <w:r w:rsidRPr="00AB61BC">
              <w:rPr>
                <w:b/>
                <w:sz w:val="18"/>
                <w:szCs w:val="18"/>
                <w:lang w:eastAsia="en-GB"/>
              </w:rPr>
              <w:t>Changes/ Reason for Update</w:t>
            </w:r>
          </w:p>
        </w:tc>
        <w:tc>
          <w:tcPr>
            <w:tcW w:w="297" w:type="pct"/>
            <w:shd w:val="clear" w:color="000000" w:fill="4F81BD"/>
            <w:textDirection w:val="btLr"/>
            <w:vAlign w:val="bottom"/>
            <w:hideMark/>
          </w:tcPr>
          <w:p w:rsidR="00F6751B" w:rsidRPr="00AB61BC" w:rsidRDefault="00F6751B" w:rsidP="00AB61BC">
            <w:pPr>
              <w:pStyle w:val="NoSpacing"/>
              <w:rPr>
                <w:b/>
                <w:sz w:val="18"/>
                <w:szCs w:val="18"/>
                <w:lang w:eastAsia="en-GB"/>
              </w:rPr>
            </w:pPr>
            <w:r w:rsidRPr="00AB61BC">
              <w:rPr>
                <w:b/>
                <w:sz w:val="18"/>
                <w:szCs w:val="18"/>
                <w:lang w:eastAsia="en-GB"/>
              </w:rPr>
              <w:t>WH&amp;C have own policy</w:t>
            </w:r>
          </w:p>
        </w:tc>
        <w:tc>
          <w:tcPr>
            <w:tcW w:w="197" w:type="pct"/>
            <w:shd w:val="clear" w:color="000000" w:fill="4F81BD"/>
            <w:textDirection w:val="btLr"/>
            <w:vAlign w:val="bottom"/>
            <w:hideMark/>
          </w:tcPr>
          <w:p w:rsidR="00F6751B" w:rsidRPr="00AB61BC" w:rsidRDefault="00F6751B" w:rsidP="00AB61BC">
            <w:pPr>
              <w:pStyle w:val="NoSpacing"/>
              <w:rPr>
                <w:b/>
                <w:sz w:val="18"/>
                <w:szCs w:val="18"/>
                <w:lang w:eastAsia="en-GB"/>
              </w:rPr>
            </w:pPr>
            <w:r w:rsidRPr="00AB61BC">
              <w:rPr>
                <w:b/>
                <w:sz w:val="18"/>
                <w:szCs w:val="18"/>
                <w:lang w:eastAsia="en-GB"/>
              </w:rPr>
              <w:t>Applicable to WH&amp;C</w:t>
            </w:r>
          </w:p>
        </w:tc>
        <w:tc>
          <w:tcPr>
            <w:tcW w:w="822" w:type="pct"/>
            <w:shd w:val="clear" w:color="000000" w:fill="4F81BD"/>
            <w:vAlign w:val="bottom"/>
            <w:hideMark/>
          </w:tcPr>
          <w:p w:rsidR="00F6751B" w:rsidRPr="00AB61BC" w:rsidRDefault="00F6751B" w:rsidP="00AB61BC">
            <w:pPr>
              <w:pStyle w:val="NoSpacing"/>
              <w:rPr>
                <w:b/>
                <w:sz w:val="18"/>
                <w:szCs w:val="18"/>
                <w:lang w:eastAsia="en-GB"/>
              </w:rPr>
            </w:pPr>
            <w:r w:rsidRPr="00AB61BC">
              <w:rPr>
                <w:b/>
                <w:sz w:val="18"/>
                <w:szCs w:val="18"/>
                <w:lang w:eastAsia="en-GB"/>
              </w:rPr>
              <w:t>Area document relevant to</w:t>
            </w:r>
          </w:p>
        </w:tc>
        <w:tc>
          <w:tcPr>
            <w:tcW w:w="320" w:type="pct"/>
            <w:shd w:val="clear" w:color="000000" w:fill="4F81BD"/>
            <w:textDirection w:val="btLr"/>
            <w:vAlign w:val="bottom"/>
            <w:hideMark/>
          </w:tcPr>
          <w:p w:rsidR="00F6751B" w:rsidRPr="00AB61BC" w:rsidRDefault="00F6751B" w:rsidP="00AB61BC">
            <w:pPr>
              <w:pStyle w:val="NoSpacing"/>
              <w:rPr>
                <w:b/>
                <w:sz w:val="18"/>
                <w:szCs w:val="18"/>
                <w:lang w:eastAsia="en-GB"/>
              </w:rPr>
            </w:pPr>
            <w:r w:rsidRPr="00AB61BC">
              <w:rPr>
                <w:b/>
                <w:sz w:val="18"/>
                <w:szCs w:val="18"/>
                <w:lang w:eastAsia="en-GB"/>
              </w:rPr>
              <w:t>Date document made live</w:t>
            </w:r>
          </w:p>
        </w:tc>
        <w:tc>
          <w:tcPr>
            <w:tcW w:w="163" w:type="pct"/>
            <w:shd w:val="clear" w:color="000000" w:fill="4F81BD"/>
            <w:textDirection w:val="btLr"/>
            <w:vAlign w:val="bottom"/>
            <w:hideMark/>
          </w:tcPr>
          <w:p w:rsidR="00F6751B" w:rsidRPr="00AB61BC" w:rsidRDefault="00F6751B" w:rsidP="00AB61BC">
            <w:pPr>
              <w:pStyle w:val="NoSpacing"/>
              <w:rPr>
                <w:b/>
                <w:sz w:val="18"/>
                <w:szCs w:val="18"/>
                <w:lang w:eastAsia="en-GB"/>
              </w:rPr>
            </w:pPr>
            <w:r w:rsidRPr="00AB61BC">
              <w:rPr>
                <w:b/>
                <w:sz w:val="18"/>
                <w:szCs w:val="18"/>
                <w:lang w:eastAsia="en-GB"/>
              </w:rPr>
              <w:t>Version Number</w:t>
            </w:r>
          </w:p>
        </w:tc>
      </w:tr>
      <w:tr w:rsidR="00AB61BC" w:rsidRPr="00AB61BC" w:rsidTr="00AB61BC">
        <w:trPr>
          <w:trHeight w:val="1398"/>
        </w:trPr>
        <w:tc>
          <w:tcPr>
            <w:tcW w:w="928" w:type="pct"/>
            <w:shd w:val="clear" w:color="auto" w:fill="auto"/>
            <w:vAlign w:val="bottom"/>
          </w:tcPr>
          <w:p w:rsidR="00E04B8A" w:rsidRPr="00AB61BC" w:rsidRDefault="00AB61BC" w:rsidP="00AB61BC">
            <w:pPr>
              <w:pStyle w:val="NoSpacing"/>
              <w:rPr>
                <w:rStyle w:val="Hyperlink"/>
                <w:b/>
                <w:sz w:val="18"/>
                <w:szCs w:val="18"/>
              </w:rPr>
            </w:pPr>
            <w:r>
              <w:rPr>
                <w:b/>
                <w:color w:val="000000" w:themeColor="text1"/>
                <w:sz w:val="18"/>
                <w:szCs w:val="18"/>
              </w:rPr>
              <w:fldChar w:fldCharType="begin"/>
            </w:r>
            <w:r w:rsidR="00902C63">
              <w:rPr>
                <w:b/>
                <w:color w:val="000000" w:themeColor="text1"/>
                <w:sz w:val="18"/>
                <w:szCs w:val="18"/>
              </w:rPr>
              <w:instrText>HYPERLINK "C:\\Trust-wide Documents\\Consent\\Consent for Medical Treatment for All Patients at the Great Western Hospital Policy.docx"</w:instrText>
            </w:r>
            <w:r w:rsidR="00902C63">
              <w:rPr>
                <w:b/>
                <w:color w:val="000000" w:themeColor="text1"/>
                <w:sz w:val="18"/>
                <w:szCs w:val="18"/>
              </w:rPr>
            </w:r>
            <w:r>
              <w:rPr>
                <w:b/>
                <w:color w:val="000000" w:themeColor="text1"/>
                <w:sz w:val="18"/>
                <w:szCs w:val="18"/>
              </w:rPr>
              <w:fldChar w:fldCharType="separate"/>
            </w:r>
            <w:r w:rsidR="00E04B8A" w:rsidRPr="00AB61BC">
              <w:rPr>
                <w:rStyle w:val="Hyperlink"/>
                <w:b/>
                <w:sz w:val="18"/>
                <w:szCs w:val="18"/>
              </w:rPr>
              <w:t xml:space="preserve">Consent for Medical Treatment for All </w:t>
            </w:r>
          </w:p>
          <w:p w:rsidR="00F6751B" w:rsidRPr="00AB61BC" w:rsidRDefault="00E04B8A" w:rsidP="00AB61BC">
            <w:pPr>
              <w:pStyle w:val="NoSpacing"/>
              <w:rPr>
                <w:b/>
                <w:color w:val="000000" w:themeColor="text1"/>
                <w:sz w:val="18"/>
                <w:szCs w:val="18"/>
              </w:rPr>
            </w:pPr>
            <w:r w:rsidRPr="00AB61BC">
              <w:rPr>
                <w:rStyle w:val="Hyperlink"/>
                <w:b/>
                <w:sz w:val="18"/>
                <w:szCs w:val="18"/>
              </w:rPr>
              <w:t>Patients at the Great Western Hospital Policy</w:t>
            </w:r>
            <w:r w:rsidR="00AB61BC">
              <w:rPr>
                <w:b/>
                <w:color w:val="000000" w:themeColor="text1"/>
                <w:sz w:val="18"/>
                <w:szCs w:val="18"/>
              </w:rPr>
              <w:fldChar w:fldCharType="end"/>
            </w:r>
          </w:p>
        </w:tc>
        <w:tc>
          <w:tcPr>
            <w:tcW w:w="1384" w:type="pct"/>
            <w:shd w:val="clear" w:color="000000" w:fill="FFFFFF"/>
            <w:vAlign w:val="bottom"/>
          </w:tcPr>
          <w:p w:rsidR="00F6751B" w:rsidRPr="00AB61BC" w:rsidRDefault="00E04B8A" w:rsidP="00AB61BC">
            <w:pPr>
              <w:pStyle w:val="NoSpacing"/>
              <w:rPr>
                <w:color w:val="000000"/>
                <w:sz w:val="18"/>
                <w:szCs w:val="18"/>
                <w:lang w:eastAsia="en-GB"/>
              </w:rPr>
            </w:pPr>
            <w:r w:rsidRPr="00AB61BC">
              <w:rPr>
                <w:color w:val="000000"/>
                <w:sz w:val="18"/>
                <w:szCs w:val="18"/>
                <w:lang w:eastAsia="en-GB"/>
              </w:rPr>
              <w:t>This policy is intended to guide the reader to obtain appropriate consent for treatments and procedures, including for post-mortem examination.</w:t>
            </w:r>
          </w:p>
        </w:tc>
        <w:tc>
          <w:tcPr>
            <w:tcW w:w="889" w:type="pct"/>
            <w:shd w:val="clear" w:color="000000" w:fill="FFFFFF"/>
            <w:vAlign w:val="bottom"/>
          </w:tcPr>
          <w:p w:rsidR="00E04B8A" w:rsidRPr="00AB61BC" w:rsidRDefault="00E04B8A" w:rsidP="00AB61BC">
            <w:pPr>
              <w:pStyle w:val="NoSpacing"/>
              <w:rPr>
                <w:color w:val="000000"/>
                <w:sz w:val="18"/>
                <w:szCs w:val="18"/>
                <w:lang w:eastAsia="en-GB"/>
              </w:rPr>
            </w:pPr>
            <w:r w:rsidRPr="00AB61BC">
              <w:rPr>
                <w:color w:val="000000"/>
                <w:sz w:val="18"/>
                <w:szCs w:val="18"/>
                <w:lang w:eastAsia="en-GB"/>
              </w:rPr>
              <w:t>July -17 changes made as follows:</w:t>
            </w:r>
          </w:p>
          <w:p w:rsidR="00E04B8A" w:rsidRPr="00AB61BC" w:rsidRDefault="00E04B8A" w:rsidP="00AB61BC">
            <w:pPr>
              <w:pStyle w:val="NoSpacing"/>
              <w:rPr>
                <w:color w:val="000000"/>
                <w:sz w:val="18"/>
                <w:szCs w:val="18"/>
                <w:lang w:eastAsia="en-GB"/>
              </w:rPr>
            </w:pPr>
            <w:r w:rsidRPr="00AB61BC">
              <w:rPr>
                <w:color w:val="000000"/>
                <w:sz w:val="18"/>
                <w:szCs w:val="18"/>
                <w:lang w:eastAsia="en-GB"/>
              </w:rPr>
              <w:t>1) Removal of reference to consent register (there was one lingering reference which was missed previously)</w:t>
            </w:r>
          </w:p>
          <w:p w:rsidR="00E04B8A" w:rsidRPr="00AB61BC" w:rsidRDefault="00E04B8A" w:rsidP="00AB61BC">
            <w:pPr>
              <w:pStyle w:val="NoSpacing"/>
              <w:rPr>
                <w:color w:val="000000"/>
                <w:sz w:val="18"/>
                <w:szCs w:val="18"/>
                <w:lang w:eastAsia="en-GB"/>
              </w:rPr>
            </w:pPr>
            <w:r w:rsidRPr="00AB61BC">
              <w:rPr>
                <w:color w:val="000000"/>
                <w:sz w:val="18"/>
                <w:szCs w:val="18"/>
                <w:lang w:eastAsia="en-GB"/>
              </w:rPr>
              <w:t>2) Adding in a line about a new consent law case</w:t>
            </w:r>
          </w:p>
          <w:p w:rsidR="00E04B8A" w:rsidRPr="00AB61BC" w:rsidRDefault="00E04B8A" w:rsidP="00AB61BC">
            <w:pPr>
              <w:pStyle w:val="NoSpacing"/>
              <w:rPr>
                <w:color w:val="000000"/>
                <w:sz w:val="18"/>
                <w:szCs w:val="18"/>
                <w:lang w:eastAsia="en-GB"/>
              </w:rPr>
            </w:pPr>
            <w:r w:rsidRPr="00AB61BC">
              <w:rPr>
                <w:color w:val="000000"/>
                <w:sz w:val="18"/>
                <w:szCs w:val="18"/>
                <w:lang w:eastAsia="en-GB"/>
              </w:rPr>
              <w:t>3) A paragraph about urgent treatment for children no parent around</w:t>
            </w:r>
          </w:p>
          <w:p w:rsidR="00F6751B" w:rsidRPr="00AB61BC" w:rsidRDefault="00E04B8A" w:rsidP="00AB61BC">
            <w:pPr>
              <w:pStyle w:val="NoSpacing"/>
              <w:rPr>
                <w:color w:val="000000"/>
                <w:sz w:val="18"/>
                <w:szCs w:val="18"/>
                <w:lang w:eastAsia="en-GB"/>
              </w:rPr>
            </w:pPr>
            <w:r w:rsidRPr="00AB61BC">
              <w:rPr>
                <w:color w:val="000000"/>
                <w:sz w:val="18"/>
                <w:szCs w:val="18"/>
                <w:lang w:eastAsia="en-GB"/>
              </w:rPr>
              <w:t>4) Pre-printed forms</w:t>
            </w:r>
          </w:p>
        </w:tc>
        <w:tc>
          <w:tcPr>
            <w:tcW w:w="297" w:type="pct"/>
            <w:shd w:val="clear" w:color="000000" w:fill="FFFFFF"/>
            <w:vAlign w:val="bottom"/>
          </w:tcPr>
          <w:p w:rsidR="00F6751B" w:rsidRPr="00AB61BC" w:rsidRDefault="00F6751B" w:rsidP="00AB61BC">
            <w:pPr>
              <w:pStyle w:val="NoSpacing"/>
              <w:rPr>
                <w:color w:val="000000"/>
                <w:sz w:val="18"/>
                <w:szCs w:val="18"/>
                <w:lang w:eastAsia="en-GB"/>
              </w:rPr>
            </w:pPr>
          </w:p>
        </w:tc>
        <w:tc>
          <w:tcPr>
            <w:tcW w:w="197" w:type="pct"/>
            <w:shd w:val="clear" w:color="000000" w:fill="B8CCE4"/>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No</w:t>
            </w:r>
          </w:p>
        </w:tc>
        <w:tc>
          <w:tcPr>
            <w:tcW w:w="822" w:type="pct"/>
            <w:shd w:val="clear" w:color="000000" w:fill="FFFFFF"/>
            <w:vAlign w:val="bottom"/>
          </w:tcPr>
          <w:p w:rsidR="00F6751B" w:rsidRPr="00AB61BC" w:rsidRDefault="00850FA7" w:rsidP="00AB61BC">
            <w:pPr>
              <w:pStyle w:val="NoSpacing"/>
              <w:rPr>
                <w:color w:val="000000"/>
                <w:sz w:val="18"/>
                <w:szCs w:val="18"/>
                <w:lang w:eastAsia="en-GB"/>
              </w:rPr>
            </w:pPr>
            <w:r w:rsidRPr="00AB61BC">
              <w:rPr>
                <w:sz w:val="18"/>
                <w:szCs w:val="18"/>
              </w:rPr>
              <w:t>All those employed directly by the Trust, and agency/bank workers, locums, contractors and students</w:t>
            </w:r>
          </w:p>
        </w:tc>
        <w:tc>
          <w:tcPr>
            <w:tcW w:w="320" w:type="pct"/>
            <w:shd w:val="clear" w:color="000000" w:fill="FFFFFF"/>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10.07.17</w:t>
            </w:r>
          </w:p>
        </w:tc>
        <w:tc>
          <w:tcPr>
            <w:tcW w:w="163" w:type="pct"/>
            <w:shd w:val="clear" w:color="000000" w:fill="FFFFFF"/>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7.0</w:t>
            </w:r>
          </w:p>
        </w:tc>
      </w:tr>
      <w:tr w:rsidR="00AB61BC" w:rsidRPr="00AB61BC" w:rsidTr="00AB61BC">
        <w:trPr>
          <w:trHeight w:val="980"/>
        </w:trPr>
        <w:tc>
          <w:tcPr>
            <w:tcW w:w="928" w:type="pct"/>
            <w:shd w:val="clear" w:color="auto" w:fill="auto"/>
            <w:vAlign w:val="bottom"/>
          </w:tcPr>
          <w:p w:rsidR="00F6751B" w:rsidRPr="00AB61BC" w:rsidRDefault="00902C63" w:rsidP="00AB61BC">
            <w:pPr>
              <w:pStyle w:val="NoSpacing"/>
              <w:rPr>
                <w:b/>
                <w:color w:val="000000" w:themeColor="text1"/>
                <w:sz w:val="18"/>
                <w:szCs w:val="18"/>
                <w:lang w:eastAsia="en-GB"/>
              </w:rPr>
            </w:pPr>
            <w:hyperlink r:id="rId5" w:history="1">
              <w:r w:rsidR="00850FA7" w:rsidRPr="00AB61BC">
                <w:rPr>
                  <w:rStyle w:val="Hyperlink"/>
                  <w:b/>
                  <w:sz w:val="18"/>
                  <w:szCs w:val="18"/>
                  <w:lang w:eastAsia="en-GB"/>
                </w:rPr>
                <w:t>Display Screen Equipment (DSE) Policy</w:t>
              </w:r>
            </w:hyperlink>
          </w:p>
        </w:tc>
        <w:tc>
          <w:tcPr>
            <w:tcW w:w="1384" w:type="pct"/>
            <w:shd w:val="clear" w:color="000000" w:fill="FFFFFF"/>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To minimise display screen equipment risks with the provision of training, aids and safe systems of work. To provide clear guidelines for the assessment and safe use of display screen equipment by employees and other users.</w:t>
            </w:r>
          </w:p>
        </w:tc>
        <w:tc>
          <w:tcPr>
            <w:tcW w:w="889" w:type="pct"/>
            <w:shd w:val="clear" w:color="000000" w:fill="FFFFFF"/>
            <w:vAlign w:val="bottom"/>
          </w:tcPr>
          <w:p w:rsidR="00F6751B" w:rsidRPr="00AB61BC" w:rsidRDefault="00850FA7" w:rsidP="00AB61BC">
            <w:pPr>
              <w:pStyle w:val="NoSpacing"/>
              <w:rPr>
                <w:color w:val="000000"/>
                <w:sz w:val="18"/>
                <w:szCs w:val="18"/>
              </w:rPr>
            </w:pPr>
            <w:r w:rsidRPr="00AB61BC">
              <w:rPr>
                <w:color w:val="000000"/>
                <w:sz w:val="18"/>
                <w:szCs w:val="18"/>
              </w:rPr>
              <w:t>Full re</w:t>
            </w:r>
            <w:r w:rsidR="00382816" w:rsidRPr="00AB61BC">
              <w:rPr>
                <w:color w:val="000000"/>
                <w:sz w:val="18"/>
                <w:szCs w:val="18"/>
              </w:rPr>
              <w:t>view - May 2017. Live July 2017</w:t>
            </w:r>
          </w:p>
        </w:tc>
        <w:tc>
          <w:tcPr>
            <w:tcW w:w="297" w:type="pct"/>
            <w:shd w:val="clear" w:color="000000" w:fill="FFFFFF"/>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No</w:t>
            </w:r>
          </w:p>
        </w:tc>
        <w:tc>
          <w:tcPr>
            <w:tcW w:w="197" w:type="pct"/>
            <w:shd w:val="clear" w:color="000000" w:fill="B8CCE4"/>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Yes</w:t>
            </w:r>
          </w:p>
        </w:tc>
        <w:tc>
          <w:tcPr>
            <w:tcW w:w="822" w:type="pct"/>
            <w:shd w:val="clear" w:color="000000" w:fill="FFFFFF"/>
            <w:vAlign w:val="bottom"/>
          </w:tcPr>
          <w:p w:rsidR="00F6751B" w:rsidRPr="00AB61BC" w:rsidRDefault="00382816" w:rsidP="00AB61BC">
            <w:pPr>
              <w:pStyle w:val="NoSpacing"/>
              <w:rPr>
                <w:color w:val="000000"/>
                <w:sz w:val="18"/>
                <w:szCs w:val="18"/>
              </w:rPr>
            </w:pPr>
            <w:r w:rsidRPr="00AB61BC">
              <w:rPr>
                <w:color w:val="000000"/>
                <w:sz w:val="18"/>
                <w:szCs w:val="18"/>
              </w:rPr>
              <w:t>DSE Users</w:t>
            </w:r>
          </w:p>
        </w:tc>
        <w:tc>
          <w:tcPr>
            <w:tcW w:w="320" w:type="pct"/>
            <w:shd w:val="clear" w:color="000000" w:fill="FFFFFF"/>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000000" w:fill="FFFFFF"/>
            <w:vAlign w:val="bottom"/>
          </w:tcPr>
          <w:p w:rsidR="00F6751B" w:rsidRPr="00AB61BC" w:rsidRDefault="00850FA7" w:rsidP="00AB61BC">
            <w:pPr>
              <w:pStyle w:val="NoSpacing"/>
              <w:rPr>
                <w:color w:val="000000"/>
                <w:sz w:val="18"/>
                <w:szCs w:val="18"/>
                <w:lang w:eastAsia="en-GB"/>
              </w:rPr>
            </w:pPr>
            <w:r w:rsidRPr="00AB61BC">
              <w:rPr>
                <w:color w:val="000000"/>
                <w:sz w:val="18"/>
                <w:szCs w:val="18"/>
                <w:lang w:eastAsia="en-GB"/>
              </w:rPr>
              <w:t>1.0</w:t>
            </w:r>
          </w:p>
        </w:tc>
      </w:tr>
      <w:tr w:rsidR="00AB61BC" w:rsidRPr="00AB61BC" w:rsidTr="00AB61BC">
        <w:trPr>
          <w:trHeight w:val="1748"/>
        </w:trPr>
        <w:tc>
          <w:tcPr>
            <w:tcW w:w="928" w:type="pct"/>
            <w:shd w:val="clear" w:color="auto" w:fill="auto"/>
            <w:vAlign w:val="bottom"/>
          </w:tcPr>
          <w:p w:rsidR="00850FA7" w:rsidRPr="00AB61BC" w:rsidRDefault="00902C63" w:rsidP="00AB61BC">
            <w:pPr>
              <w:pStyle w:val="NoSpacing"/>
              <w:rPr>
                <w:b/>
                <w:color w:val="000000" w:themeColor="text1"/>
                <w:sz w:val="18"/>
                <w:szCs w:val="18"/>
                <w:lang w:eastAsia="en-GB"/>
              </w:rPr>
            </w:pPr>
            <w:hyperlink r:id="rId6" w:history="1">
              <w:r w:rsidR="00831178" w:rsidRPr="00AB61BC">
                <w:rPr>
                  <w:rStyle w:val="Hyperlink"/>
                  <w:b/>
                  <w:sz w:val="18"/>
                  <w:szCs w:val="18"/>
                </w:rPr>
                <w:t>Driving at Work Policy</w:t>
              </w:r>
            </w:hyperlink>
          </w:p>
        </w:tc>
        <w:tc>
          <w:tcPr>
            <w:tcW w:w="1384" w:type="pct"/>
            <w:shd w:val="clear" w:color="000000" w:fill="FFFFFF"/>
            <w:vAlign w:val="bottom"/>
          </w:tcPr>
          <w:p w:rsidR="00850FA7" w:rsidRPr="00AB61BC" w:rsidRDefault="00850FA7" w:rsidP="00AB61BC">
            <w:pPr>
              <w:pStyle w:val="NoSpacing"/>
              <w:rPr>
                <w:color w:val="000000"/>
                <w:sz w:val="18"/>
                <w:szCs w:val="18"/>
                <w:lang w:eastAsia="en-GB"/>
              </w:rPr>
            </w:pPr>
            <w:r w:rsidRPr="00AB61BC">
              <w:rPr>
                <w:color w:val="000000"/>
                <w:sz w:val="18"/>
                <w:szCs w:val="18"/>
                <w:lang w:eastAsia="en-GB"/>
              </w:rPr>
              <w:t>This Policy applies to any person who is expected to drive a Trust owned vehicle or any other vehicle on trust business</w:t>
            </w:r>
          </w:p>
        </w:tc>
        <w:tc>
          <w:tcPr>
            <w:tcW w:w="889" w:type="pct"/>
            <w:shd w:val="clear" w:color="000000" w:fill="FFFFFF"/>
            <w:vAlign w:val="bottom"/>
          </w:tcPr>
          <w:p w:rsidR="00850FA7" w:rsidRPr="00AB61BC" w:rsidRDefault="00850FA7" w:rsidP="00AB61BC">
            <w:pPr>
              <w:pStyle w:val="NoSpacing"/>
              <w:rPr>
                <w:color w:val="000000"/>
                <w:sz w:val="18"/>
                <w:szCs w:val="18"/>
              </w:rPr>
            </w:pPr>
            <w:r w:rsidRPr="00AB61BC">
              <w:rPr>
                <w:color w:val="000000"/>
                <w:sz w:val="18"/>
                <w:szCs w:val="18"/>
              </w:rPr>
              <w:t>Full review - M</w:t>
            </w:r>
            <w:r w:rsidR="00831178" w:rsidRPr="00AB61BC">
              <w:rPr>
                <w:color w:val="000000"/>
                <w:sz w:val="18"/>
                <w:szCs w:val="18"/>
              </w:rPr>
              <w:t>ay 2017. Live July 2017</w:t>
            </w:r>
          </w:p>
        </w:tc>
        <w:tc>
          <w:tcPr>
            <w:tcW w:w="297" w:type="pct"/>
            <w:shd w:val="clear" w:color="000000" w:fill="FFFFFF"/>
            <w:vAlign w:val="bottom"/>
          </w:tcPr>
          <w:p w:rsidR="00850FA7" w:rsidRPr="00AB61BC" w:rsidRDefault="00850FA7" w:rsidP="00AB61BC">
            <w:pPr>
              <w:pStyle w:val="NoSpacing"/>
              <w:rPr>
                <w:color w:val="000000"/>
                <w:sz w:val="18"/>
                <w:szCs w:val="18"/>
                <w:lang w:eastAsia="en-GB"/>
              </w:rPr>
            </w:pPr>
          </w:p>
        </w:tc>
        <w:tc>
          <w:tcPr>
            <w:tcW w:w="197" w:type="pct"/>
            <w:shd w:val="clear" w:color="000000" w:fill="B8CCE4"/>
            <w:vAlign w:val="bottom"/>
          </w:tcPr>
          <w:p w:rsidR="00850FA7" w:rsidRPr="00AB61BC" w:rsidRDefault="00850FA7" w:rsidP="00AB61BC">
            <w:pPr>
              <w:pStyle w:val="NoSpacing"/>
              <w:rPr>
                <w:color w:val="000000"/>
                <w:sz w:val="18"/>
                <w:szCs w:val="18"/>
                <w:lang w:eastAsia="en-GB"/>
              </w:rPr>
            </w:pPr>
            <w:r w:rsidRPr="00AB61BC">
              <w:rPr>
                <w:color w:val="000000"/>
                <w:sz w:val="18"/>
                <w:szCs w:val="18"/>
                <w:lang w:eastAsia="en-GB"/>
              </w:rPr>
              <w:t>Yes</w:t>
            </w:r>
          </w:p>
        </w:tc>
        <w:tc>
          <w:tcPr>
            <w:tcW w:w="822" w:type="pct"/>
            <w:shd w:val="clear" w:color="000000" w:fill="FFFFFF"/>
            <w:vAlign w:val="bottom"/>
          </w:tcPr>
          <w:p w:rsidR="00850FA7" w:rsidRPr="00AB61BC" w:rsidRDefault="00850FA7" w:rsidP="00AB61BC">
            <w:pPr>
              <w:pStyle w:val="NoSpacing"/>
              <w:rPr>
                <w:color w:val="000000"/>
                <w:sz w:val="18"/>
                <w:szCs w:val="18"/>
                <w:lang w:eastAsia="en-GB"/>
              </w:rPr>
            </w:pPr>
            <w:r w:rsidRPr="00AB61BC">
              <w:rPr>
                <w:color w:val="000000" w:themeColor="text1"/>
                <w:sz w:val="18"/>
                <w:szCs w:val="18"/>
              </w:rPr>
              <w:t xml:space="preserve">All employees directly employed by the Trust, including those who deliver services on behalf of Wiltshire Health and Care whether permanent, part-time or temporary (including fixed-term contract).  It applies equally to all others working for the Trust, including private-sector, voluntary-sector, bank, agency, locum, and </w:t>
            </w:r>
            <w:proofErr w:type="spellStart"/>
            <w:r w:rsidRPr="00AB61BC">
              <w:rPr>
                <w:color w:val="000000" w:themeColor="text1"/>
                <w:sz w:val="18"/>
                <w:szCs w:val="18"/>
              </w:rPr>
              <w:t>secondees</w:t>
            </w:r>
            <w:proofErr w:type="spellEnd"/>
            <w:r w:rsidRPr="00AB61BC">
              <w:rPr>
                <w:color w:val="000000" w:themeColor="text1"/>
                <w:sz w:val="18"/>
                <w:szCs w:val="18"/>
              </w:rPr>
              <w:t>.  For simplicity, they are referred to as ‘employees’ throughout this policy</w:t>
            </w:r>
          </w:p>
        </w:tc>
        <w:tc>
          <w:tcPr>
            <w:tcW w:w="320" w:type="pct"/>
            <w:shd w:val="clear" w:color="000000" w:fill="FFFFFF"/>
            <w:vAlign w:val="bottom"/>
          </w:tcPr>
          <w:p w:rsidR="00850FA7" w:rsidRPr="00AB61BC" w:rsidRDefault="00850FA7"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000000" w:fill="FFFFFF"/>
            <w:vAlign w:val="bottom"/>
          </w:tcPr>
          <w:p w:rsidR="00850FA7" w:rsidRPr="00AB61BC" w:rsidRDefault="00850FA7" w:rsidP="00AB61BC">
            <w:pPr>
              <w:pStyle w:val="NoSpacing"/>
              <w:rPr>
                <w:color w:val="000000"/>
                <w:sz w:val="18"/>
                <w:szCs w:val="18"/>
                <w:lang w:eastAsia="en-GB"/>
              </w:rPr>
            </w:pPr>
            <w:r w:rsidRPr="00AB61BC">
              <w:rPr>
                <w:color w:val="000000"/>
                <w:sz w:val="18"/>
                <w:szCs w:val="18"/>
                <w:lang w:eastAsia="en-GB"/>
              </w:rPr>
              <w:t>1.0</w:t>
            </w:r>
          </w:p>
        </w:tc>
      </w:tr>
      <w:tr w:rsidR="00AB61BC" w:rsidRPr="00AB61BC" w:rsidTr="00AB61BC">
        <w:trPr>
          <w:trHeight w:val="1680"/>
        </w:trPr>
        <w:tc>
          <w:tcPr>
            <w:tcW w:w="928" w:type="pct"/>
            <w:shd w:val="clear" w:color="auto" w:fill="auto"/>
            <w:vAlign w:val="bottom"/>
          </w:tcPr>
          <w:p w:rsidR="004D01EE" w:rsidRPr="00AB61BC" w:rsidRDefault="00902C63" w:rsidP="00AB61BC">
            <w:pPr>
              <w:pStyle w:val="NoSpacing"/>
              <w:rPr>
                <w:b/>
                <w:color w:val="000000" w:themeColor="text1"/>
                <w:sz w:val="18"/>
                <w:szCs w:val="18"/>
              </w:rPr>
            </w:pPr>
            <w:hyperlink r:id="rId7" w:history="1">
              <w:r w:rsidR="004D01EE" w:rsidRPr="00AB61BC">
                <w:rPr>
                  <w:rStyle w:val="Hyperlink"/>
                  <w:b/>
                  <w:sz w:val="18"/>
                  <w:szCs w:val="18"/>
                </w:rPr>
                <w:t>Employee Immunisation and Screening for Occupational Health Nurses Guidelines</w:t>
              </w:r>
            </w:hyperlink>
            <w:r w:rsidR="004D01EE" w:rsidRPr="00AB61BC">
              <w:rPr>
                <w:b/>
                <w:color w:val="000000" w:themeColor="text1"/>
                <w:sz w:val="18"/>
                <w:szCs w:val="18"/>
              </w:rPr>
              <w:t xml:space="preserve"> </w:t>
            </w:r>
          </w:p>
        </w:tc>
        <w:tc>
          <w:tcPr>
            <w:tcW w:w="1384" w:type="pct"/>
            <w:shd w:val="clear" w:color="auto" w:fill="auto"/>
            <w:vAlign w:val="bottom"/>
          </w:tcPr>
          <w:p w:rsidR="004D01EE" w:rsidRPr="00AB61BC" w:rsidRDefault="004D01EE" w:rsidP="00AB61BC">
            <w:pPr>
              <w:pStyle w:val="NoSpacing"/>
              <w:rPr>
                <w:color w:val="000000"/>
                <w:sz w:val="18"/>
                <w:szCs w:val="18"/>
              </w:rPr>
            </w:pPr>
            <w:r w:rsidRPr="00AB61BC">
              <w:rPr>
                <w:color w:val="000000"/>
                <w:sz w:val="18"/>
                <w:szCs w:val="18"/>
              </w:rPr>
              <w:t xml:space="preserve">This document is guidance for the Occupational Health and Wellbeing staff to follow when screening new and </w:t>
            </w:r>
            <w:r w:rsidR="00831178" w:rsidRPr="00AB61BC">
              <w:rPr>
                <w:color w:val="000000"/>
                <w:sz w:val="18"/>
                <w:szCs w:val="18"/>
              </w:rPr>
              <w:t>existing employees to the Trust</w:t>
            </w:r>
          </w:p>
        </w:tc>
        <w:tc>
          <w:tcPr>
            <w:tcW w:w="889" w:type="pct"/>
            <w:shd w:val="clear" w:color="auto" w:fill="auto"/>
            <w:vAlign w:val="bottom"/>
          </w:tcPr>
          <w:p w:rsidR="004D01EE" w:rsidRPr="00AB61BC" w:rsidRDefault="00831178" w:rsidP="00AB61BC">
            <w:pPr>
              <w:pStyle w:val="NoSpacing"/>
              <w:rPr>
                <w:color w:val="000000"/>
                <w:sz w:val="18"/>
                <w:szCs w:val="18"/>
              </w:rPr>
            </w:pPr>
            <w:r w:rsidRPr="00AB61BC">
              <w:rPr>
                <w:color w:val="000000"/>
                <w:sz w:val="18"/>
                <w:szCs w:val="18"/>
              </w:rPr>
              <w:t>new document - Live July 2017</w:t>
            </w:r>
          </w:p>
        </w:tc>
        <w:tc>
          <w:tcPr>
            <w:tcW w:w="297" w:type="pct"/>
            <w:shd w:val="clear" w:color="000000" w:fill="FFFFFF"/>
            <w:vAlign w:val="bottom"/>
          </w:tcPr>
          <w:p w:rsidR="004D01EE" w:rsidRPr="00AB61BC" w:rsidRDefault="004D01EE" w:rsidP="00AB61BC">
            <w:pPr>
              <w:pStyle w:val="NoSpacing"/>
              <w:rPr>
                <w:color w:val="000000"/>
                <w:sz w:val="18"/>
                <w:szCs w:val="18"/>
                <w:lang w:eastAsia="en-GB"/>
              </w:rPr>
            </w:pPr>
          </w:p>
        </w:tc>
        <w:tc>
          <w:tcPr>
            <w:tcW w:w="197" w:type="pct"/>
            <w:shd w:val="clear" w:color="000000" w:fill="B8CCE4"/>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Yes</w:t>
            </w:r>
          </w:p>
        </w:tc>
        <w:tc>
          <w:tcPr>
            <w:tcW w:w="822" w:type="pct"/>
            <w:shd w:val="clear" w:color="auto" w:fill="auto"/>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Applies to clinical employees and those employees for whom Health and Wellbeing and Occupational Health (OH) are their OH provider.  May include maintenance  workers, housekeeping and hotel services whose work  may expose them to infectious agents and for whom immunisation  is advised following risk assessment by OH or pre-placement screening identifies this is necessary for the role they are employed to undertake. Procedure is to be implemented by Occupational Health nurses working Trustwide.</w:t>
            </w:r>
          </w:p>
        </w:tc>
        <w:tc>
          <w:tcPr>
            <w:tcW w:w="320" w:type="pct"/>
            <w:shd w:val="clear" w:color="auto" w:fill="auto"/>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auto" w:fill="auto"/>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1.0</w:t>
            </w:r>
          </w:p>
        </w:tc>
      </w:tr>
      <w:tr w:rsidR="00AB61BC" w:rsidRPr="00AB61BC" w:rsidTr="00686B8D">
        <w:trPr>
          <w:trHeight w:val="846"/>
        </w:trPr>
        <w:tc>
          <w:tcPr>
            <w:tcW w:w="928" w:type="pct"/>
            <w:shd w:val="clear" w:color="auto" w:fill="auto"/>
            <w:vAlign w:val="bottom"/>
          </w:tcPr>
          <w:p w:rsidR="004D01EE" w:rsidRPr="00AB61BC" w:rsidRDefault="00902C63" w:rsidP="00AB61BC">
            <w:pPr>
              <w:pStyle w:val="NoSpacing"/>
              <w:rPr>
                <w:b/>
                <w:color w:val="000000" w:themeColor="text1"/>
                <w:sz w:val="18"/>
                <w:szCs w:val="18"/>
                <w:lang w:eastAsia="en-GB"/>
              </w:rPr>
            </w:pPr>
            <w:hyperlink r:id="rId8" w:history="1">
              <w:r w:rsidR="004D01EE" w:rsidRPr="00AB61BC">
                <w:rPr>
                  <w:rStyle w:val="Hyperlink"/>
                  <w:b/>
                  <w:sz w:val="18"/>
                  <w:szCs w:val="18"/>
                  <w:lang w:eastAsia="en-GB"/>
                </w:rPr>
                <w:t>First Aid at work Policy</w:t>
              </w:r>
            </w:hyperlink>
          </w:p>
        </w:tc>
        <w:tc>
          <w:tcPr>
            <w:tcW w:w="1384" w:type="pct"/>
            <w:shd w:val="clear" w:color="000000" w:fill="FFFFFF"/>
            <w:vAlign w:val="bottom"/>
          </w:tcPr>
          <w:p w:rsidR="004D01EE" w:rsidRPr="00AB61BC" w:rsidRDefault="004D01EE" w:rsidP="00AB61BC">
            <w:pPr>
              <w:pStyle w:val="NoSpacing"/>
              <w:rPr>
                <w:color w:val="000000"/>
                <w:sz w:val="18"/>
                <w:szCs w:val="18"/>
              </w:rPr>
            </w:pPr>
            <w:r w:rsidRPr="00AB61BC">
              <w:rPr>
                <w:color w:val="000000"/>
                <w:sz w:val="18"/>
                <w:szCs w:val="18"/>
              </w:rPr>
              <w:t xml:space="preserve">The purpose of this Policy and Guideline is to document the Statement of Commitment to Health &amp; Safety by the Trust Board, to identify the organisational responsibilities </w:t>
            </w:r>
            <w:r w:rsidR="00831178" w:rsidRPr="00AB61BC">
              <w:rPr>
                <w:color w:val="000000"/>
                <w:sz w:val="18"/>
                <w:szCs w:val="18"/>
              </w:rPr>
              <w:t>and arrangements for First Aid.</w:t>
            </w:r>
          </w:p>
        </w:tc>
        <w:tc>
          <w:tcPr>
            <w:tcW w:w="889" w:type="pct"/>
            <w:shd w:val="clear" w:color="000000" w:fill="FFFFFF"/>
            <w:vAlign w:val="bottom"/>
          </w:tcPr>
          <w:p w:rsidR="004D01EE" w:rsidRPr="00AB61BC" w:rsidRDefault="004D01EE" w:rsidP="00AB61BC">
            <w:pPr>
              <w:pStyle w:val="NoSpacing"/>
              <w:rPr>
                <w:color w:val="000000"/>
                <w:sz w:val="18"/>
                <w:szCs w:val="18"/>
              </w:rPr>
            </w:pPr>
            <w:r w:rsidRPr="00AB61BC">
              <w:rPr>
                <w:color w:val="000000"/>
                <w:sz w:val="18"/>
                <w:szCs w:val="18"/>
              </w:rPr>
              <w:t>Full re</w:t>
            </w:r>
            <w:r w:rsidR="00831178" w:rsidRPr="00AB61BC">
              <w:rPr>
                <w:color w:val="000000"/>
                <w:sz w:val="18"/>
                <w:szCs w:val="18"/>
              </w:rPr>
              <w:t>view - May 2017. Live July 2017</w:t>
            </w:r>
          </w:p>
        </w:tc>
        <w:tc>
          <w:tcPr>
            <w:tcW w:w="297" w:type="pct"/>
            <w:shd w:val="clear" w:color="000000" w:fill="FFFFFF"/>
            <w:vAlign w:val="bottom"/>
          </w:tcPr>
          <w:p w:rsidR="004D01EE" w:rsidRPr="00AB61BC" w:rsidRDefault="004D01EE" w:rsidP="00AB61BC">
            <w:pPr>
              <w:pStyle w:val="NoSpacing"/>
              <w:rPr>
                <w:color w:val="000000"/>
                <w:sz w:val="18"/>
                <w:szCs w:val="18"/>
                <w:lang w:eastAsia="en-GB"/>
              </w:rPr>
            </w:pPr>
          </w:p>
        </w:tc>
        <w:tc>
          <w:tcPr>
            <w:tcW w:w="197" w:type="pct"/>
            <w:shd w:val="clear" w:color="000000" w:fill="B8CCE4"/>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Yes</w:t>
            </w:r>
          </w:p>
        </w:tc>
        <w:tc>
          <w:tcPr>
            <w:tcW w:w="822" w:type="pct"/>
            <w:shd w:val="clear" w:color="000000" w:fill="FFFFFF"/>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All Trust and WH&amp;C employees</w:t>
            </w:r>
          </w:p>
        </w:tc>
        <w:tc>
          <w:tcPr>
            <w:tcW w:w="320" w:type="pct"/>
            <w:shd w:val="clear" w:color="000000" w:fill="FFFFFF"/>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000000" w:fill="FFFFFF"/>
            <w:vAlign w:val="bottom"/>
          </w:tcPr>
          <w:p w:rsidR="004D01EE" w:rsidRPr="00AB61BC" w:rsidRDefault="004D01EE" w:rsidP="00AB61BC">
            <w:pPr>
              <w:pStyle w:val="NoSpacing"/>
              <w:rPr>
                <w:color w:val="000000"/>
                <w:sz w:val="18"/>
                <w:szCs w:val="18"/>
                <w:lang w:eastAsia="en-GB"/>
              </w:rPr>
            </w:pPr>
            <w:r w:rsidRPr="00AB61BC">
              <w:rPr>
                <w:color w:val="000000"/>
                <w:sz w:val="18"/>
                <w:szCs w:val="18"/>
                <w:lang w:eastAsia="en-GB"/>
              </w:rPr>
              <w:t>1.0</w:t>
            </w:r>
          </w:p>
        </w:tc>
      </w:tr>
      <w:tr w:rsidR="00AB61BC" w:rsidRPr="00AB61BC" w:rsidTr="00686B8D">
        <w:trPr>
          <w:trHeight w:val="581"/>
        </w:trPr>
        <w:tc>
          <w:tcPr>
            <w:tcW w:w="928" w:type="pct"/>
            <w:shd w:val="clear" w:color="auto" w:fill="auto"/>
            <w:vAlign w:val="bottom"/>
          </w:tcPr>
          <w:p w:rsidR="00382816" w:rsidRPr="00AB61BC" w:rsidRDefault="00902C63" w:rsidP="00AB61BC">
            <w:pPr>
              <w:pStyle w:val="NoSpacing"/>
              <w:rPr>
                <w:b/>
                <w:color w:val="000000" w:themeColor="text1"/>
                <w:sz w:val="18"/>
                <w:szCs w:val="18"/>
              </w:rPr>
            </w:pPr>
            <w:hyperlink r:id="rId9" w:history="1">
              <w:r w:rsidR="00382816" w:rsidRPr="00AB61BC">
                <w:rPr>
                  <w:rStyle w:val="Hyperlink"/>
                  <w:rFonts w:cs="Arial"/>
                  <w:b/>
                  <w:sz w:val="18"/>
                  <w:szCs w:val="18"/>
                </w:rPr>
                <w:t>Lone Worker Policy and Guidance</w:t>
              </w:r>
            </w:hyperlink>
            <w:r w:rsidR="00382816" w:rsidRPr="00AB61BC">
              <w:rPr>
                <w:rFonts w:cs="Arial"/>
                <w:b/>
                <w:sz w:val="18"/>
                <w:szCs w:val="18"/>
              </w:rPr>
              <w:t xml:space="preserve"> </w:t>
            </w:r>
          </w:p>
        </w:tc>
        <w:tc>
          <w:tcPr>
            <w:tcW w:w="1384" w:type="pct"/>
            <w:shd w:val="clear" w:color="000000" w:fill="FFFFFF"/>
            <w:vAlign w:val="bottom"/>
          </w:tcPr>
          <w:p w:rsidR="00382816" w:rsidRPr="00AB61BC" w:rsidRDefault="00382816" w:rsidP="00AB61BC">
            <w:pPr>
              <w:pStyle w:val="NoSpacing"/>
              <w:rPr>
                <w:color w:val="000000"/>
                <w:sz w:val="18"/>
                <w:szCs w:val="18"/>
              </w:rPr>
            </w:pPr>
            <w:r w:rsidRPr="00AB61BC">
              <w:rPr>
                <w:color w:val="000000"/>
                <w:sz w:val="18"/>
                <w:szCs w:val="18"/>
              </w:rPr>
              <w:t xml:space="preserve">This document aims to reduce the risk to any member of staff working without direct supervision in </w:t>
            </w:r>
            <w:r w:rsidR="00831178" w:rsidRPr="00AB61BC">
              <w:rPr>
                <w:color w:val="000000"/>
                <w:sz w:val="18"/>
                <w:szCs w:val="18"/>
              </w:rPr>
              <w:t>a building or in the community.</w:t>
            </w:r>
          </w:p>
        </w:tc>
        <w:tc>
          <w:tcPr>
            <w:tcW w:w="889" w:type="pct"/>
            <w:shd w:val="clear" w:color="000000" w:fill="FFFFFF"/>
            <w:vAlign w:val="bottom"/>
          </w:tcPr>
          <w:p w:rsidR="00382816" w:rsidRPr="00AB61BC" w:rsidRDefault="00382816" w:rsidP="00AB61BC">
            <w:pPr>
              <w:pStyle w:val="NoSpacing"/>
              <w:rPr>
                <w:color w:val="000000"/>
                <w:sz w:val="18"/>
                <w:szCs w:val="18"/>
              </w:rPr>
            </w:pPr>
            <w:r w:rsidRPr="00AB61BC">
              <w:rPr>
                <w:color w:val="000000"/>
                <w:sz w:val="18"/>
                <w:szCs w:val="18"/>
              </w:rPr>
              <w:t>Full re</w:t>
            </w:r>
            <w:r w:rsidR="00831178" w:rsidRPr="00AB61BC">
              <w:rPr>
                <w:color w:val="000000"/>
                <w:sz w:val="18"/>
                <w:szCs w:val="18"/>
              </w:rPr>
              <w:t>view - May 2017. Live July 2017</w:t>
            </w:r>
          </w:p>
        </w:tc>
        <w:tc>
          <w:tcPr>
            <w:tcW w:w="297" w:type="pct"/>
            <w:shd w:val="clear" w:color="000000" w:fill="FFFFFF"/>
            <w:vAlign w:val="bottom"/>
          </w:tcPr>
          <w:p w:rsidR="00382816" w:rsidRPr="00AB61BC" w:rsidRDefault="00382816" w:rsidP="00AB61BC">
            <w:pPr>
              <w:pStyle w:val="NoSpacing"/>
              <w:rPr>
                <w:color w:val="000000"/>
                <w:sz w:val="18"/>
                <w:szCs w:val="18"/>
                <w:lang w:eastAsia="en-GB"/>
              </w:rPr>
            </w:pPr>
          </w:p>
        </w:tc>
        <w:tc>
          <w:tcPr>
            <w:tcW w:w="197" w:type="pct"/>
            <w:shd w:val="clear" w:color="000000" w:fill="B8CCE4"/>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Yes</w:t>
            </w:r>
          </w:p>
        </w:tc>
        <w:tc>
          <w:tcPr>
            <w:tcW w:w="822"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All Trust and WH&amp;C employees</w:t>
            </w:r>
          </w:p>
        </w:tc>
        <w:tc>
          <w:tcPr>
            <w:tcW w:w="320"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1.0</w:t>
            </w:r>
          </w:p>
        </w:tc>
      </w:tr>
      <w:tr w:rsidR="00AB61BC" w:rsidRPr="00AB61BC" w:rsidTr="00686B8D">
        <w:trPr>
          <w:trHeight w:val="972"/>
        </w:trPr>
        <w:tc>
          <w:tcPr>
            <w:tcW w:w="928" w:type="pct"/>
            <w:shd w:val="clear" w:color="auto" w:fill="auto"/>
            <w:vAlign w:val="bottom"/>
          </w:tcPr>
          <w:p w:rsidR="00382816" w:rsidRPr="00AB61BC" w:rsidRDefault="00902C63" w:rsidP="00AB61BC">
            <w:pPr>
              <w:pStyle w:val="NoSpacing"/>
              <w:rPr>
                <w:b/>
                <w:color w:val="000000" w:themeColor="text1"/>
                <w:sz w:val="18"/>
                <w:szCs w:val="18"/>
              </w:rPr>
            </w:pPr>
            <w:hyperlink r:id="rId10" w:history="1">
              <w:r w:rsidR="00382816" w:rsidRPr="00AB61BC">
                <w:rPr>
                  <w:rStyle w:val="Hyperlink"/>
                  <w:rFonts w:cs="Arial"/>
                  <w:b/>
                  <w:sz w:val="18"/>
                  <w:szCs w:val="18"/>
                </w:rPr>
                <w:t>Percutaneous Endoscopic Gastrostomy (PEG) Placement and Management (Adults) Clinical Guideline</w:t>
              </w:r>
            </w:hyperlink>
          </w:p>
        </w:tc>
        <w:tc>
          <w:tcPr>
            <w:tcW w:w="1384" w:type="pct"/>
            <w:shd w:val="clear" w:color="000000" w:fill="FFFFFF"/>
            <w:vAlign w:val="bottom"/>
          </w:tcPr>
          <w:p w:rsidR="00382816" w:rsidRPr="00AB61BC" w:rsidRDefault="00382816" w:rsidP="00AB61BC">
            <w:pPr>
              <w:pStyle w:val="NoSpacing"/>
              <w:rPr>
                <w:color w:val="000000"/>
                <w:sz w:val="18"/>
                <w:szCs w:val="18"/>
              </w:rPr>
            </w:pPr>
            <w:r w:rsidRPr="00AB61BC">
              <w:rPr>
                <w:color w:val="000000"/>
                <w:sz w:val="18"/>
                <w:szCs w:val="18"/>
              </w:rPr>
              <w:t>To ensure safe and appropriate placement of PEGs taking into account individual and ethical considerations whether initiated in acute or community settings</w:t>
            </w:r>
          </w:p>
        </w:tc>
        <w:tc>
          <w:tcPr>
            <w:tcW w:w="889" w:type="pct"/>
            <w:shd w:val="clear" w:color="000000" w:fill="FFFFFF"/>
            <w:vAlign w:val="bottom"/>
          </w:tcPr>
          <w:p w:rsidR="00382816" w:rsidRPr="00AB61BC" w:rsidRDefault="00382816" w:rsidP="00AB61BC">
            <w:pPr>
              <w:pStyle w:val="NoSpacing"/>
              <w:rPr>
                <w:color w:val="000000"/>
                <w:sz w:val="18"/>
                <w:szCs w:val="18"/>
              </w:rPr>
            </w:pPr>
            <w:r w:rsidRPr="00AB61BC">
              <w:rPr>
                <w:color w:val="000000"/>
                <w:sz w:val="18"/>
                <w:szCs w:val="18"/>
              </w:rPr>
              <w:t xml:space="preserve">Full review - Live </w:t>
            </w:r>
            <w:r w:rsidR="00831178" w:rsidRPr="00AB61BC">
              <w:rPr>
                <w:color w:val="000000"/>
                <w:sz w:val="18"/>
                <w:szCs w:val="18"/>
              </w:rPr>
              <w:t>July 2017</w:t>
            </w:r>
          </w:p>
        </w:tc>
        <w:tc>
          <w:tcPr>
            <w:tcW w:w="297" w:type="pct"/>
            <w:shd w:val="clear" w:color="000000" w:fill="FFFFFF"/>
            <w:vAlign w:val="bottom"/>
          </w:tcPr>
          <w:p w:rsidR="00382816" w:rsidRPr="00AB61BC" w:rsidRDefault="00382816" w:rsidP="00AB61BC">
            <w:pPr>
              <w:pStyle w:val="NoSpacing"/>
              <w:rPr>
                <w:color w:val="000000"/>
                <w:sz w:val="18"/>
                <w:szCs w:val="18"/>
                <w:lang w:eastAsia="en-GB"/>
              </w:rPr>
            </w:pPr>
          </w:p>
        </w:tc>
        <w:tc>
          <w:tcPr>
            <w:tcW w:w="197" w:type="pct"/>
            <w:shd w:val="clear" w:color="000000" w:fill="B8CCE4"/>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No</w:t>
            </w:r>
          </w:p>
        </w:tc>
        <w:tc>
          <w:tcPr>
            <w:tcW w:w="822"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 xml:space="preserve">The Consultant or GP responsible for the patient </w:t>
            </w:r>
          </w:p>
          <w:p w:rsidR="00382816" w:rsidRPr="00AB61BC" w:rsidRDefault="00382816" w:rsidP="00AB61BC">
            <w:pPr>
              <w:pStyle w:val="NoSpacing"/>
              <w:rPr>
                <w:color w:val="000000"/>
                <w:sz w:val="18"/>
                <w:szCs w:val="18"/>
                <w:lang w:eastAsia="en-GB"/>
              </w:rPr>
            </w:pPr>
            <w:r w:rsidRPr="00AB61BC">
              <w:rPr>
                <w:color w:val="000000"/>
                <w:sz w:val="18"/>
                <w:szCs w:val="18"/>
                <w:lang w:eastAsia="en-GB"/>
              </w:rPr>
              <w:t>• Speech and language therapist</w:t>
            </w:r>
          </w:p>
          <w:p w:rsidR="00382816" w:rsidRPr="00AB61BC" w:rsidRDefault="00382816" w:rsidP="00AB61BC">
            <w:pPr>
              <w:pStyle w:val="NoSpacing"/>
              <w:rPr>
                <w:color w:val="000000"/>
                <w:sz w:val="18"/>
                <w:szCs w:val="18"/>
                <w:lang w:eastAsia="en-GB"/>
              </w:rPr>
            </w:pPr>
            <w:r w:rsidRPr="00AB61BC">
              <w:rPr>
                <w:color w:val="000000"/>
                <w:sz w:val="18"/>
                <w:szCs w:val="18"/>
                <w:lang w:eastAsia="en-GB"/>
              </w:rPr>
              <w:t xml:space="preserve">• </w:t>
            </w:r>
            <w:proofErr w:type="spellStart"/>
            <w:r w:rsidRPr="00AB61BC">
              <w:rPr>
                <w:color w:val="000000"/>
                <w:sz w:val="18"/>
                <w:szCs w:val="18"/>
                <w:lang w:eastAsia="en-GB"/>
              </w:rPr>
              <w:t>Dietitian</w:t>
            </w:r>
            <w:proofErr w:type="spellEnd"/>
            <w:r w:rsidRPr="00AB61BC">
              <w:rPr>
                <w:color w:val="000000"/>
                <w:sz w:val="18"/>
                <w:szCs w:val="18"/>
                <w:lang w:eastAsia="en-GB"/>
              </w:rPr>
              <w:t>, Nutrition Nurse</w:t>
            </w:r>
          </w:p>
        </w:tc>
        <w:tc>
          <w:tcPr>
            <w:tcW w:w="320"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1.0</w:t>
            </w:r>
          </w:p>
        </w:tc>
      </w:tr>
      <w:tr w:rsidR="00AB61BC" w:rsidRPr="00AB61BC" w:rsidTr="00AB61BC">
        <w:trPr>
          <w:trHeight w:val="1750"/>
        </w:trPr>
        <w:tc>
          <w:tcPr>
            <w:tcW w:w="928" w:type="pct"/>
            <w:shd w:val="clear" w:color="auto" w:fill="auto"/>
            <w:vAlign w:val="bottom"/>
          </w:tcPr>
          <w:p w:rsidR="00AF203B" w:rsidRPr="00686B8D" w:rsidRDefault="00902C63" w:rsidP="00AB61BC">
            <w:pPr>
              <w:pStyle w:val="NoSpacing"/>
              <w:rPr>
                <w:b/>
                <w:color w:val="000000" w:themeColor="text1"/>
                <w:sz w:val="18"/>
                <w:szCs w:val="18"/>
              </w:rPr>
            </w:pPr>
            <w:hyperlink r:id="rId11" w:history="1">
              <w:r w:rsidR="00AF203B" w:rsidRPr="00686B8D">
                <w:rPr>
                  <w:rStyle w:val="Hyperlink"/>
                  <w:b/>
                  <w:sz w:val="18"/>
                  <w:szCs w:val="18"/>
                </w:rPr>
                <w:t>Requesting a Blood Transfusion and the Collection of Blood Samples for Pre-Transfusion Compatibility Testing for All Patients - Trustwide</w:t>
              </w:r>
            </w:hyperlink>
          </w:p>
        </w:tc>
        <w:tc>
          <w:tcPr>
            <w:tcW w:w="1384" w:type="pct"/>
            <w:shd w:val="clear" w:color="000000" w:fill="FFFFFF"/>
            <w:vAlign w:val="bottom"/>
          </w:tcPr>
          <w:p w:rsidR="00AF203B" w:rsidRPr="00686B8D" w:rsidRDefault="00010D8F" w:rsidP="00AB61BC">
            <w:pPr>
              <w:pStyle w:val="NoSpacing"/>
              <w:rPr>
                <w:sz w:val="18"/>
                <w:szCs w:val="18"/>
              </w:rPr>
            </w:pPr>
            <w:r w:rsidRPr="00AB61BC">
              <w:rPr>
                <w:sz w:val="18"/>
                <w:szCs w:val="18"/>
              </w:rPr>
              <w:t>This document is intended to guide the user through requesting a blood transfusion and the collection of blood samples for pre-transfusion compatibility testing. It ensures that patient identification for the purposes of obtaining a blood sample for cross matching is carried out in a safe manner.  It explains how to request a blood transfusion in different circumstances, depend</w:t>
            </w:r>
            <w:r w:rsidR="00686B8D">
              <w:rPr>
                <w:sz w:val="18"/>
                <w:szCs w:val="18"/>
              </w:rPr>
              <w:t>ing on the patient’s condition.</w:t>
            </w:r>
          </w:p>
        </w:tc>
        <w:tc>
          <w:tcPr>
            <w:tcW w:w="889" w:type="pct"/>
            <w:shd w:val="clear" w:color="000000" w:fill="FFFFFF"/>
            <w:vAlign w:val="bottom"/>
          </w:tcPr>
          <w:p w:rsidR="00AF203B" w:rsidRPr="00AB61BC" w:rsidRDefault="00010D8F" w:rsidP="00AB61BC">
            <w:pPr>
              <w:pStyle w:val="NoSpacing"/>
              <w:rPr>
                <w:color w:val="000000"/>
                <w:sz w:val="18"/>
                <w:szCs w:val="18"/>
              </w:rPr>
            </w:pPr>
            <w:r w:rsidRPr="00AB61BC">
              <w:rPr>
                <w:color w:val="000000"/>
                <w:sz w:val="18"/>
                <w:szCs w:val="18"/>
              </w:rPr>
              <w:t>Full review – Live July 2017</w:t>
            </w:r>
          </w:p>
        </w:tc>
        <w:tc>
          <w:tcPr>
            <w:tcW w:w="297" w:type="pct"/>
            <w:shd w:val="clear" w:color="000000" w:fill="FFFFFF"/>
            <w:vAlign w:val="bottom"/>
          </w:tcPr>
          <w:p w:rsidR="00AF203B" w:rsidRPr="00AB61BC" w:rsidRDefault="00AF203B" w:rsidP="00AB61BC">
            <w:pPr>
              <w:pStyle w:val="NoSpacing"/>
              <w:rPr>
                <w:color w:val="000000"/>
                <w:sz w:val="18"/>
                <w:szCs w:val="18"/>
                <w:lang w:eastAsia="en-GB"/>
              </w:rPr>
            </w:pPr>
          </w:p>
        </w:tc>
        <w:tc>
          <w:tcPr>
            <w:tcW w:w="197" w:type="pct"/>
            <w:shd w:val="clear" w:color="000000" w:fill="B8CCE4"/>
            <w:vAlign w:val="bottom"/>
          </w:tcPr>
          <w:p w:rsidR="00AF203B" w:rsidRPr="00AB61BC" w:rsidRDefault="00010D8F" w:rsidP="00AB61BC">
            <w:pPr>
              <w:pStyle w:val="NoSpacing"/>
              <w:rPr>
                <w:color w:val="000000"/>
                <w:sz w:val="18"/>
                <w:szCs w:val="18"/>
                <w:lang w:eastAsia="en-GB"/>
              </w:rPr>
            </w:pPr>
            <w:r w:rsidRPr="00AB61BC">
              <w:rPr>
                <w:color w:val="000000"/>
                <w:sz w:val="18"/>
                <w:szCs w:val="18"/>
                <w:lang w:eastAsia="en-GB"/>
              </w:rPr>
              <w:t>Yes</w:t>
            </w:r>
          </w:p>
        </w:tc>
        <w:tc>
          <w:tcPr>
            <w:tcW w:w="822" w:type="pct"/>
            <w:shd w:val="clear" w:color="000000" w:fill="FFFFFF"/>
            <w:vAlign w:val="bottom"/>
          </w:tcPr>
          <w:p w:rsidR="00AF203B" w:rsidRPr="00AB61BC" w:rsidRDefault="00010D8F" w:rsidP="00AB61BC">
            <w:pPr>
              <w:pStyle w:val="NoSpacing"/>
              <w:rPr>
                <w:color w:val="000000"/>
                <w:sz w:val="18"/>
                <w:szCs w:val="18"/>
                <w:lang w:eastAsia="en-GB"/>
              </w:rPr>
            </w:pPr>
            <w:r w:rsidRPr="00AB61BC">
              <w:rPr>
                <w:color w:val="000000" w:themeColor="text1"/>
                <w:sz w:val="18"/>
                <w:szCs w:val="18"/>
              </w:rPr>
              <w:t xml:space="preserve">All employees involved in blood transfusion either directly employed by the Trust (including those who deliver services on behalf of Wiltshire Health and Care) whether permanent, part-time or temporary (including fixed-term contract).  It applies equally to all others working for the Trust, including private-sector, voluntary-sector, bank, agency, locum, and </w:t>
            </w:r>
            <w:proofErr w:type="spellStart"/>
            <w:r w:rsidRPr="00AB61BC">
              <w:rPr>
                <w:color w:val="000000" w:themeColor="text1"/>
                <w:sz w:val="18"/>
                <w:szCs w:val="18"/>
              </w:rPr>
              <w:t>secondees</w:t>
            </w:r>
            <w:proofErr w:type="spellEnd"/>
            <w:r w:rsidRPr="00AB61BC">
              <w:rPr>
                <w:color w:val="000000" w:themeColor="text1"/>
                <w:sz w:val="18"/>
                <w:szCs w:val="18"/>
              </w:rPr>
              <w:t xml:space="preserve">.  For simplicity, </w:t>
            </w:r>
            <w:r w:rsidRPr="00AB61BC">
              <w:rPr>
                <w:color w:val="000000" w:themeColor="text1"/>
                <w:sz w:val="18"/>
                <w:szCs w:val="18"/>
              </w:rPr>
              <w:lastRenderedPageBreak/>
              <w:t>they are referred to as ‘employees’ throughout this policy</w:t>
            </w:r>
          </w:p>
        </w:tc>
        <w:tc>
          <w:tcPr>
            <w:tcW w:w="320" w:type="pct"/>
            <w:shd w:val="clear" w:color="000000" w:fill="FFFFFF"/>
            <w:vAlign w:val="bottom"/>
          </w:tcPr>
          <w:p w:rsidR="00AF203B" w:rsidRPr="00AB61BC" w:rsidRDefault="00010D8F" w:rsidP="00AB61BC">
            <w:pPr>
              <w:pStyle w:val="NoSpacing"/>
              <w:rPr>
                <w:color w:val="000000"/>
                <w:sz w:val="18"/>
                <w:szCs w:val="18"/>
                <w:lang w:eastAsia="en-GB"/>
              </w:rPr>
            </w:pPr>
            <w:r w:rsidRPr="00AB61BC">
              <w:rPr>
                <w:color w:val="000000"/>
                <w:sz w:val="18"/>
                <w:szCs w:val="18"/>
                <w:lang w:eastAsia="en-GB"/>
              </w:rPr>
              <w:lastRenderedPageBreak/>
              <w:t>06.07.17</w:t>
            </w:r>
          </w:p>
        </w:tc>
        <w:tc>
          <w:tcPr>
            <w:tcW w:w="163" w:type="pct"/>
            <w:shd w:val="clear" w:color="000000" w:fill="FFFFFF"/>
            <w:vAlign w:val="bottom"/>
          </w:tcPr>
          <w:p w:rsidR="00AF203B" w:rsidRPr="00AB61BC" w:rsidRDefault="00010D8F" w:rsidP="00AB61BC">
            <w:pPr>
              <w:pStyle w:val="NoSpacing"/>
              <w:rPr>
                <w:color w:val="000000"/>
                <w:sz w:val="18"/>
                <w:szCs w:val="18"/>
                <w:lang w:eastAsia="en-GB"/>
              </w:rPr>
            </w:pPr>
            <w:r w:rsidRPr="00AB61BC">
              <w:rPr>
                <w:color w:val="000000"/>
                <w:sz w:val="18"/>
                <w:szCs w:val="18"/>
                <w:lang w:eastAsia="en-GB"/>
              </w:rPr>
              <w:t>1.0</w:t>
            </w:r>
          </w:p>
        </w:tc>
      </w:tr>
      <w:tr w:rsidR="00AB61BC" w:rsidRPr="00AB61BC" w:rsidTr="00AB61BC">
        <w:trPr>
          <w:trHeight w:val="264"/>
        </w:trPr>
        <w:tc>
          <w:tcPr>
            <w:tcW w:w="928" w:type="pct"/>
            <w:shd w:val="clear" w:color="auto" w:fill="auto"/>
            <w:vAlign w:val="bottom"/>
          </w:tcPr>
          <w:p w:rsidR="00382816" w:rsidRPr="00AB61BC" w:rsidRDefault="00902C63" w:rsidP="00AB61BC">
            <w:pPr>
              <w:pStyle w:val="NoSpacing"/>
              <w:rPr>
                <w:b/>
                <w:color w:val="000000" w:themeColor="text1"/>
                <w:sz w:val="18"/>
                <w:szCs w:val="18"/>
              </w:rPr>
            </w:pPr>
            <w:hyperlink r:id="rId12" w:history="1">
              <w:r w:rsidR="00382816" w:rsidRPr="00686B8D">
                <w:rPr>
                  <w:rStyle w:val="Hyperlink"/>
                  <w:rFonts w:cs="Arial"/>
                  <w:b/>
                  <w:sz w:val="18"/>
                  <w:szCs w:val="18"/>
                </w:rPr>
                <w:t>Swab, Instrument and Needle Counts for All Patients undergoing a Surgical Procedure at the Great Western Hospital Policy</w:t>
              </w:r>
            </w:hyperlink>
            <w:r w:rsidR="00382816" w:rsidRPr="00686B8D">
              <w:rPr>
                <w:rFonts w:cs="Arial"/>
                <w:b/>
                <w:sz w:val="18"/>
                <w:szCs w:val="18"/>
              </w:rPr>
              <w:t xml:space="preserve"> </w:t>
            </w:r>
          </w:p>
        </w:tc>
        <w:tc>
          <w:tcPr>
            <w:tcW w:w="1384" w:type="pct"/>
            <w:shd w:val="clear" w:color="000000" w:fill="FFFFFF"/>
            <w:vAlign w:val="bottom"/>
          </w:tcPr>
          <w:p w:rsidR="00382816" w:rsidRPr="00AB61BC" w:rsidRDefault="00382816" w:rsidP="00AB61BC">
            <w:pPr>
              <w:pStyle w:val="NoSpacing"/>
              <w:rPr>
                <w:color w:val="000000"/>
                <w:sz w:val="18"/>
                <w:szCs w:val="18"/>
              </w:rPr>
            </w:pPr>
            <w:r w:rsidRPr="00AB61BC">
              <w:rPr>
                <w:color w:val="000000"/>
                <w:sz w:val="18"/>
                <w:szCs w:val="18"/>
              </w:rPr>
              <w:t>This is the Trusts swab, Instr</w:t>
            </w:r>
            <w:r w:rsidR="00831178" w:rsidRPr="00AB61BC">
              <w:rPr>
                <w:color w:val="000000"/>
                <w:sz w:val="18"/>
                <w:szCs w:val="18"/>
              </w:rPr>
              <w:t xml:space="preserve">ument and Needle Count Policy.  </w:t>
            </w:r>
            <w:r w:rsidRPr="00AB61BC">
              <w:rPr>
                <w:color w:val="000000"/>
                <w:sz w:val="18"/>
                <w:szCs w:val="18"/>
              </w:rPr>
              <w:t>The overriding principle for the is that all swabs, instruments and sharps must be accounted for at all times during an invasive surgical procedure in any setting, to prevent foreign body retention and subsequent injury to the patient.</w:t>
            </w:r>
          </w:p>
        </w:tc>
        <w:tc>
          <w:tcPr>
            <w:tcW w:w="889" w:type="pct"/>
            <w:shd w:val="clear" w:color="000000" w:fill="FFFFFF"/>
            <w:vAlign w:val="bottom"/>
          </w:tcPr>
          <w:p w:rsidR="00382816" w:rsidRPr="00AB61BC" w:rsidRDefault="00831178" w:rsidP="00AB61BC">
            <w:pPr>
              <w:pStyle w:val="NoSpacing"/>
              <w:rPr>
                <w:color w:val="000000"/>
                <w:sz w:val="18"/>
                <w:szCs w:val="18"/>
              </w:rPr>
            </w:pPr>
            <w:r w:rsidRPr="00AB61BC">
              <w:rPr>
                <w:color w:val="000000"/>
                <w:sz w:val="18"/>
                <w:szCs w:val="18"/>
              </w:rPr>
              <w:t>F</w:t>
            </w:r>
            <w:r w:rsidR="00382816" w:rsidRPr="00AB61BC">
              <w:rPr>
                <w:color w:val="000000"/>
                <w:sz w:val="18"/>
                <w:szCs w:val="18"/>
              </w:rPr>
              <w:t>ull review July 2017</w:t>
            </w:r>
          </w:p>
        </w:tc>
        <w:tc>
          <w:tcPr>
            <w:tcW w:w="297" w:type="pct"/>
            <w:shd w:val="clear" w:color="000000" w:fill="FFFFFF"/>
            <w:vAlign w:val="bottom"/>
          </w:tcPr>
          <w:p w:rsidR="00382816" w:rsidRPr="00AB61BC" w:rsidRDefault="00382816" w:rsidP="00AB61BC">
            <w:pPr>
              <w:pStyle w:val="NoSpacing"/>
              <w:rPr>
                <w:color w:val="000000"/>
                <w:sz w:val="18"/>
                <w:szCs w:val="18"/>
                <w:lang w:eastAsia="en-GB"/>
              </w:rPr>
            </w:pPr>
          </w:p>
        </w:tc>
        <w:tc>
          <w:tcPr>
            <w:tcW w:w="197" w:type="pct"/>
            <w:shd w:val="clear" w:color="000000" w:fill="B8CCE4"/>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No</w:t>
            </w:r>
          </w:p>
        </w:tc>
        <w:tc>
          <w:tcPr>
            <w:tcW w:w="822" w:type="pct"/>
            <w:shd w:val="clear" w:color="000000" w:fill="FFFFFF"/>
            <w:vAlign w:val="bottom"/>
          </w:tcPr>
          <w:p w:rsidR="00382816" w:rsidRPr="00AB61BC" w:rsidRDefault="00382816" w:rsidP="00AB61BC">
            <w:pPr>
              <w:pStyle w:val="NoSpacing"/>
              <w:rPr>
                <w:color w:val="000000"/>
                <w:sz w:val="18"/>
                <w:szCs w:val="18"/>
                <w:lang w:eastAsia="en-GB"/>
              </w:rPr>
            </w:pPr>
            <w:r w:rsidRPr="00AB61BC">
              <w:rPr>
                <w:color w:val="000000"/>
                <w:sz w:val="18"/>
                <w:szCs w:val="18"/>
                <w:lang w:eastAsia="en-GB"/>
              </w:rPr>
              <w:t>Practitioners who undertake swab ,</w:t>
            </w:r>
          </w:p>
          <w:p w:rsidR="00382816" w:rsidRPr="00AB61BC" w:rsidRDefault="00382816" w:rsidP="00AB61BC">
            <w:pPr>
              <w:pStyle w:val="NoSpacing"/>
              <w:rPr>
                <w:color w:val="000000"/>
                <w:sz w:val="18"/>
                <w:szCs w:val="18"/>
                <w:lang w:eastAsia="en-GB"/>
              </w:rPr>
            </w:pPr>
            <w:r w:rsidRPr="00AB61BC">
              <w:rPr>
                <w:color w:val="000000"/>
                <w:sz w:val="18"/>
                <w:szCs w:val="18"/>
                <w:lang w:eastAsia="en-GB"/>
              </w:rPr>
              <w:t>Instrume</w:t>
            </w:r>
            <w:r w:rsidR="00831178" w:rsidRPr="00AB61BC">
              <w:rPr>
                <w:color w:val="000000"/>
                <w:sz w:val="18"/>
                <w:szCs w:val="18"/>
                <w:lang w:eastAsia="en-GB"/>
              </w:rPr>
              <w:t>nt and Needle Counts as defined in the s</w:t>
            </w:r>
            <w:r w:rsidRPr="00AB61BC">
              <w:rPr>
                <w:color w:val="000000"/>
                <w:sz w:val="18"/>
                <w:szCs w:val="18"/>
                <w:lang w:eastAsia="en-GB"/>
              </w:rPr>
              <w:t>cope of this document</w:t>
            </w:r>
          </w:p>
        </w:tc>
        <w:tc>
          <w:tcPr>
            <w:tcW w:w="320" w:type="pct"/>
            <w:shd w:val="clear" w:color="000000" w:fill="FFFFFF"/>
            <w:vAlign w:val="bottom"/>
          </w:tcPr>
          <w:p w:rsidR="00382816" w:rsidRPr="00AB61BC" w:rsidRDefault="00010D8F" w:rsidP="00AB61BC">
            <w:pPr>
              <w:pStyle w:val="NoSpacing"/>
              <w:rPr>
                <w:color w:val="000000"/>
                <w:sz w:val="18"/>
                <w:szCs w:val="18"/>
                <w:lang w:eastAsia="en-GB"/>
              </w:rPr>
            </w:pPr>
            <w:r w:rsidRPr="00AB61BC">
              <w:rPr>
                <w:color w:val="000000"/>
                <w:sz w:val="18"/>
                <w:szCs w:val="18"/>
                <w:lang w:eastAsia="en-GB"/>
              </w:rPr>
              <w:t>18.07.17</w:t>
            </w:r>
          </w:p>
        </w:tc>
        <w:tc>
          <w:tcPr>
            <w:tcW w:w="163" w:type="pct"/>
            <w:shd w:val="clear" w:color="000000" w:fill="FFFFFF"/>
            <w:vAlign w:val="bottom"/>
          </w:tcPr>
          <w:p w:rsidR="00382816" w:rsidRPr="00AB61BC" w:rsidRDefault="00AF203B" w:rsidP="00AB61BC">
            <w:pPr>
              <w:pStyle w:val="NoSpacing"/>
              <w:rPr>
                <w:color w:val="000000"/>
                <w:sz w:val="18"/>
                <w:szCs w:val="18"/>
                <w:lang w:eastAsia="en-GB"/>
              </w:rPr>
            </w:pPr>
            <w:r w:rsidRPr="00AB61BC">
              <w:rPr>
                <w:color w:val="000000"/>
                <w:sz w:val="18"/>
                <w:szCs w:val="18"/>
                <w:lang w:eastAsia="en-GB"/>
              </w:rPr>
              <w:t>2.0</w:t>
            </w:r>
          </w:p>
        </w:tc>
      </w:tr>
      <w:tr w:rsidR="00AB61BC" w:rsidRPr="00AB61BC" w:rsidTr="00AB61BC">
        <w:trPr>
          <w:trHeight w:val="264"/>
        </w:trPr>
        <w:tc>
          <w:tcPr>
            <w:tcW w:w="928" w:type="pct"/>
            <w:shd w:val="clear" w:color="auto" w:fill="auto"/>
            <w:vAlign w:val="bottom"/>
          </w:tcPr>
          <w:p w:rsidR="00010D8F" w:rsidRPr="00AB61BC" w:rsidRDefault="00902C63" w:rsidP="00AB61BC">
            <w:pPr>
              <w:pStyle w:val="NoSpacing"/>
              <w:rPr>
                <w:b/>
                <w:sz w:val="18"/>
                <w:szCs w:val="18"/>
              </w:rPr>
            </w:pPr>
            <w:hyperlink r:id="rId13" w:history="1">
              <w:r w:rsidR="00010D8F" w:rsidRPr="00686B8D">
                <w:rPr>
                  <w:rStyle w:val="Hyperlink"/>
                  <w:b/>
                  <w:sz w:val="18"/>
                  <w:szCs w:val="18"/>
                </w:rPr>
                <w:t>Antimicrobial Stewardship for A</w:t>
              </w:r>
              <w:r w:rsidR="00686B8D" w:rsidRPr="00686B8D">
                <w:rPr>
                  <w:rStyle w:val="Hyperlink"/>
                  <w:b/>
                  <w:sz w:val="18"/>
                  <w:szCs w:val="18"/>
                </w:rPr>
                <w:t>dult and Child Patients Policy</w:t>
              </w:r>
            </w:hyperlink>
            <w:r w:rsidR="00686B8D">
              <w:rPr>
                <w:b/>
                <w:sz w:val="18"/>
                <w:szCs w:val="18"/>
              </w:rPr>
              <w:t xml:space="preserve"> </w:t>
            </w:r>
          </w:p>
        </w:tc>
        <w:tc>
          <w:tcPr>
            <w:tcW w:w="1384" w:type="pct"/>
            <w:shd w:val="clear" w:color="000000" w:fill="FFFFFF"/>
            <w:vAlign w:val="bottom"/>
          </w:tcPr>
          <w:p w:rsidR="00010D8F" w:rsidRPr="00686B8D" w:rsidRDefault="00010D8F" w:rsidP="00AB61BC">
            <w:pPr>
              <w:pStyle w:val="NoSpacing"/>
              <w:rPr>
                <w:sz w:val="18"/>
                <w:szCs w:val="18"/>
              </w:rPr>
            </w:pPr>
            <w:r w:rsidRPr="00AB61BC">
              <w:rPr>
                <w:sz w:val="18"/>
                <w:szCs w:val="18"/>
              </w:rPr>
              <w:t xml:space="preserve">The purpose of this policy is to provide clear guidance to ensure that the patient’s welfare is enhanced and not compromised when antimicrobials are used in their treatment by defining how the prescribing of antimicrobials is to be </w:t>
            </w:r>
            <w:r w:rsidR="00686B8D">
              <w:rPr>
                <w:sz w:val="18"/>
                <w:szCs w:val="18"/>
              </w:rPr>
              <w:t>conducted throughout the Trust.</w:t>
            </w:r>
          </w:p>
        </w:tc>
        <w:tc>
          <w:tcPr>
            <w:tcW w:w="889" w:type="pct"/>
            <w:shd w:val="clear" w:color="000000" w:fill="FFFFFF"/>
            <w:vAlign w:val="bottom"/>
          </w:tcPr>
          <w:p w:rsidR="00010D8F" w:rsidRPr="00AB61BC" w:rsidRDefault="00010D8F" w:rsidP="00AB61BC">
            <w:pPr>
              <w:pStyle w:val="NoSpacing"/>
              <w:rPr>
                <w:color w:val="000000"/>
                <w:sz w:val="18"/>
                <w:szCs w:val="18"/>
              </w:rPr>
            </w:pPr>
            <w:r w:rsidRPr="00AB61BC">
              <w:rPr>
                <w:color w:val="000000"/>
                <w:sz w:val="18"/>
                <w:szCs w:val="18"/>
              </w:rPr>
              <w:t>full review -live July 2017</w:t>
            </w:r>
          </w:p>
          <w:p w:rsidR="00010D8F" w:rsidRPr="00AB61BC" w:rsidRDefault="00010D8F" w:rsidP="00AB61BC">
            <w:pPr>
              <w:pStyle w:val="NoSpacing"/>
              <w:rPr>
                <w:color w:val="000000"/>
                <w:sz w:val="18"/>
                <w:szCs w:val="18"/>
              </w:rPr>
            </w:pPr>
          </w:p>
        </w:tc>
        <w:tc>
          <w:tcPr>
            <w:tcW w:w="297" w:type="pct"/>
            <w:shd w:val="clear" w:color="000000" w:fill="FFFFFF"/>
            <w:vAlign w:val="bottom"/>
          </w:tcPr>
          <w:p w:rsidR="00010D8F" w:rsidRPr="00AB61BC" w:rsidRDefault="00010D8F" w:rsidP="00AB61BC">
            <w:pPr>
              <w:pStyle w:val="NoSpacing"/>
              <w:rPr>
                <w:color w:val="000000"/>
                <w:sz w:val="18"/>
                <w:szCs w:val="18"/>
                <w:lang w:eastAsia="en-GB"/>
              </w:rPr>
            </w:pPr>
          </w:p>
        </w:tc>
        <w:tc>
          <w:tcPr>
            <w:tcW w:w="197" w:type="pct"/>
            <w:shd w:val="clear" w:color="000000" w:fill="B8CCE4"/>
            <w:vAlign w:val="bottom"/>
          </w:tcPr>
          <w:p w:rsidR="00010D8F" w:rsidRPr="00AB61BC" w:rsidRDefault="00010D8F" w:rsidP="00AB61BC">
            <w:pPr>
              <w:pStyle w:val="NoSpacing"/>
              <w:rPr>
                <w:color w:val="000000"/>
                <w:sz w:val="18"/>
                <w:szCs w:val="18"/>
                <w:lang w:eastAsia="en-GB"/>
              </w:rPr>
            </w:pPr>
            <w:r w:rsidRPr="00AB61BC">
              <w:rPr>
                <w:color w:val="000000"/>
                <w:sz w:val="18"/>
                <w:szCs w:val="18"/>
                <w:lang w:eastAsia="en-GB"/>
              </w:rPr>
              <w:t>No</w:t>
            </w:r>
          </w:p>
        </w:tc>
        <w:tc>
          <w:tcPr>
            <w:tcW w:w="822" w:type="pct"/>
            <w:shd w:val="clear" w:color="000000" w:fill="FFFFFF"/>
            <w:vAlign w:val="bottom"/>
          </w:tcPr>
          <w:p w:rsidR="00010D8F" w:rsidRPr="00AB61BC" w:rsidRDefault="00010D8F" w:rsidP="00AB61BC">
            <w:pPr>
              <w:pStyle w:val="NoSpacing"/>
              <w:rPr>
                <w:color w:val="000000"/>
                <w:sz w:val="18"/>
                <w:szCs w:val="18"/>
                <w:lang w:eastAsia="en-GB"/>
              </w:rPr>
            </w:pPr>
            <w:r w:rsidRPr="00AB61BC">
              <w:rPr>
                <w:sz w:val="18"/>
                <w:szCs w:val="18"/>
              </w:rPr>
              <w:t xml:space="preserve">All employees directly employed by the Trust, whether permanent, part-time or temporary (including fixed-term contract).  It applies equally to all others working for the Trust, including private-sector, voluntary-sector, bank, agency, locum, and </w:t>
            </w:r>
            <w:proofErr w:type="spellStart"/>
            <w:r w:rsidRPr="00AB61BC">
              <w:rPr>
                <w:sz w:val="18"/>
                <w:szCs w:val="18"/>
              </w:rPr>
              <w:t>secondees</w:t>
            </w:r>
            <w:proofErr w:type="spellEnd"/>
            <w:r w:rsidRPr="00AB61BC">
              <w:rPr>
                <w:sz w:val="18"/>
                <w:szCs w:val="18"/>
              </w:rPr>
              <w:t>.  For simplicity, they are referred to as ‘employees’ throughout this policy</w:t>
            </w:r>
          </w:p>
        </w:tc>
        <w:tc>
          <w:tcPr>
            <w:tcW w:w="320" w:type="pct"/>
            <w:shd w:val="clear" w:color="000000" w:fill="FFFFFF"/>
            <w:vAlign w:val="bottom"/>
          </w:tcPr>
          <w:p w:rsidR="00010D8F" w:rsidRPr="00AB61BC" w:rsidRDefault="00010D8F" w:rsidP="00AB61BC">
            <w:pPr>
              <w:pStyle w:val="NoSpacing"/>
              <w:rPr>
                <w:color w:val="000000"/>
                <w:sz w:val="18"/>
                <w:szCs w:val="18"/>
                <w:lang w:eastAsia="en-GB"/>
              </w:rPr>
            </w:pPr>
            <w:r w:rsidRPr="00AB61BC">
              <w:rPr>
                <w:color w:val="000000"/>
                <w:sz w:val="18"/>
                <w:szCs w:val="18"/>
                <w:lang w:eastAsia="en-GB"/>
              </w:rPr>
              <w:t>20.07.17</w:t>
            </w:r>
          </w:p>
        </w:tc>
        <w:tc>
          <w:tcPr>
            <w:tcW w:w="163" w:type="pct"/>
            <w:shd w:val="clear" w:color="000000" w:fill="FFFFFF"/>
            <w:vAlign w:val="bottom"/>
          </w:tcPr>
          <w:p w:rsidR="00010D8F" w:rsidRPr="00AB61BC" w:rsidRDefault="00010D8F" w:rsidP="00AB61BC">
            <w:pPr>
              <w:pStyle w:val="NoSpacing"/>
              <w:rPr>
                <w:color w:val="000000"/>
                <w:sz w:val="18"/>
                <w:szCs w:val="18"/>
                <w:lang w:eastAsia="en-GB"/>
              </w:rPr>
            </w:pPr>
            <w:r w:rsidRPr="00AB61BC">
              <w:rPr>
                <w:color w:val="000000"/>
                <w:sz w:val="18"/>
                <w:szCs w:val="18"/>
                <w:lang w:eastAsia="en-GB"/>
              </w:rPr>
              <w:t>1.0</w:t>
            </w:r>
          </w:p>
        </w:tc>
      </w:tr>
      <w:tr w:rsidR="00AB61BC" w:rsidRPr="00AB61BC" w:rsidTr="00AB61BC">
        <w:trPr>
          <w:trHeight w:val="264"/>
        </w:trPr>
        <w:tc>
          <w:tcPr>
            <w:tcW w:w="928" w:type="pct"/>
            <w:shd w:val="clear" w:color="auto" w:fill="auto"/>
            <w:vAlign w:val="bottom"/>
          </w:tcPr>
          <w:p w:rsidR="00010D8F" w:rsidRPr="00AB61BC" w:rsidRDefault="00902C63" w:rsidP="00AB61BC">
            <w:pPr>
              <w:pStyle w:val="NoSpacing"/>
              <w:rPr>
                <w:b/>
                <w:sz w:val="18"/>
                <w:szCs w:val="18"/>
              </w:rPr>
            </w:pPr>
            <w:hyperlink r:id="rId14" w:history="1">
              <w:r w:rsidR="00010D8F" w:rsidRPr="00686B8D">
                <w:rPr>
                  <w:rStyle w:val="Hyperlink"/>
                  <w:b/>
                  <w:sz w:val="18"/>
                  <w:szCs w:val="18"/>
                </w:rPr>
                <w:t>Enteral Nutrition for Preterm Infants at Great Western Hospital (GWH) Policy</w:t>
              </w:r>
            </w:hyperlink>
          </w:p>
        </w:tc>
        <w:tc>
          <w:tcPr>
            <w:tcW w:w="1384" w:type="pct"/>
            <w:shd w:val="clear" w:color="000000" w:fill="FFFFFF"/>
            <w:vAlign w:val="bottom"/>
          </w:tcPr>
          <w:p w:rsidR="00010D8F" w:rsidRPr="00686B8D" w:rsidRDefault="00010D8F" w:rsidP="00AB61BC">
            <w:pPr>
              <w:pStyle w:val="NoSpacing"/>
              <w:rPr>
                <w:color w:val="000000"/>
                <w:sz w:val="18"/>
                <w:szCs w:val="18"/>
              </w:rPr>
            </w:pPr>
            <w:r w:rsidRPr="00AB61BC">
              <w:rPr>
                <w:color w:val="000000"/>
                <w:sz w:val="18"/>
                <w:szCs w:val="18"/>
              </w:rPr>
              <w:t>As survival rates for preterm infants improve, more emphasis is being put on improving the quality of outcome by concentrating on optimising nutritional management. This guideline aims to use available evidence, alongside national and network best practice, to provide optimal nutritional care and to meet the individual nutritional nee</w:t>
            </w:r>
            <w:r w:rsidR="00686B8D">
              <w:rPr>
                <w:color w:val="000000"/>
                <w:sz w:val="18"/>
                <w:szCs w:val="18"/>
              </w:rPr>
              <w:t>ds of infants born prematurely.</w:t>
            </w:r>
          </w:p>
        </w:tc>
        <w:tc>
          <w:tcPr>
            <w:tcW w:w="889" w:type="pct"/>
            <w:shd w:val="clear" w:color="000000" w:fill="FFFFFF"/>
            <w:vAlign w:val="bottom"/>
          </w:tcPr>
          <w:p w:rsidR="00010D8F" w:rsidRPr="00AB61BC" w:rsidRDefault="00010D8F" w:rsidP="00AB61BC">
            <w:pPr>
              <w:pStyle w:val="NoSpacing"/>
              <w:rPr>
                <w:color w:val="000000"/>
                <w:sz w:val="18"/>
                <w:szCs w:val="18"/>
              </w:rPr>
            </w:pPr>
            <w:r w:rsidRPr="00AB61BC">
              <w:rPr>
                <w:color w:val="000000"/>
                <w:sz w:val="18"/>
                <w:szCs w:val="18"/>
              </w:rPr>
              <w:t>Full review-  Live July 2017</w:t>
            </w:r>
          </w:p>
        </w:tc>
        <w:tc>
          <w:tcPr>
            <w:tcW w:w="297" w:type="pct"/>
            <w:shd w:val="clear" w:color="000000" w:fill="FFFFFF"/>
            <w:vAlign w:val="bottom"/>
          </w:tcPr>
          <w:p w:rsidR="00010D8F" w:rsidRPr="00AB61BC" w:rsidRDefault="00010D8F" w:rsidP="00AB61BC">
            <w:pPr>
              <w:pStyle w:val="NoSpacing"/>
              <w:rPr>
                <w:color w:val="000000"/>
                <w:sz w:val="18"/>
                <w:szCs w:val="18"/>
                <w:lang w:eastAsia="en-GB"/>
              </w:rPr>
            </w:pPr>
          </w:p>
        </w:tc>
        <w:tc>
          <w:tcPr>
            <w:tcW w:w="197" w:type="pct"/>
            <w:shd w:val="clear" w:color="000000" w:fill="B8CCE4"/>
            <w:vAlign w:val="bottom"/>
          </w:tcPr>
          <w:p w:rsidR="00010D8F" w:rsidRPr="00AB61BC" w:rsidRDefault="00010D8F" w:rsidP="00AB61BC">
            <w:pPr>
              <w:pStyle w:val="NoSpacing"/>
              <w:rPr>
                <w:color w:val="000000"/>
                <w:sz w:val="18"/>
                <w:szCs w:val="18"/>
                <w:lang w:eastAsia="en-GB"/>
              </w:rPr>
            </w:pPr>
            <w:r w:rsidRPr="00AB61BC">
              <w:rPr>
                <w:color w:val="000000"/>
                <w:sz w:val="18"/>
                <w:szCs w:val="18"/>
                <w:lang w:eastAsia="en-GB"/>
              </w:rPr>
              <w:t>No</w:t>
            </w:r>
          </w:p>
        </w:tc>
        <w:tc>
          <w:tcPr>
            <w:tcW w:w="822" w:type="pct"/>
            <w:shd w:val="clear" w:color="000000" w:fill="FFFFFF"/>
            <w:vAlign w:val="bottom"/>
          </w:tcPr>
          <w:p w:rsidR="00010D8F" w:rsidRPr="00AB61BC" w:rsidRDefault="00010D8F" w:rsidP="00AB61BC">
            <w:pPr>
              <w:pStyle w:val="NoSpacing"/>
              <w:rPr>
                <w:sz w:val="18"/>
                <w:szCs w:val="18"/>
              </w:rPr>
            </w:pPr>
            <w:r w:rsidRPr="00AB61BC">
              <w:rPr>
                <w:sz w:val="18"/>
                <w:szCs w:val="18"/>
              </w:rPr>
              <w:t xml:space="preserve">Paediatricians, Neonatal Nursing Employees and Paediatric </w:t>
            </w:r>
            <w:proofErr w:type="spellStart"/>
            <w:r w:rsidRPr="00AB61BC">
              <w:rPr>
                <w:sz w:val="18"/>
                <w:szCs w:val="18"/>
              </w:rPr>
              <w:t>Dietitians</w:t>
            </w:r>
            <w:proofErr w:type="spellEnd"/>
          </w:p>
        </w:tc>
        <w:tc>
          <w:tcPr>
            <w:tcW w:w="320" w:type="pct"/>
            <w:shd w:val="clear" w:color="000000" w:fill="FFFFFF"/>
            <w:vAlign w:val="bottom"/>
          </w:tcPr>
          <w:p w:rsidR="00010D8F" w:rsidRPr="00AB61BC" w:rsidRDefault="00010D8F" w:rsidP="00AB61BC">
            <w:pPr>
              <w:pStyle w:val="NoSpacing"/>
              <w:rPr>
                <w:color w:val="000000"/>
                <w:sz w:val="18"/>
                <w:szCs w:val="18"/>
                <w:lang w:eastAsia="en-GB"/>
              </w:rPr>
            </w:pPr>
            <w:r w:rsidRPr="00AB61BC">
              <w:rPr>
                <w:color w:val="000000"/>
                <w:sz w:val="18"/>
                <w:szCs w:val="18"/>
                <w:lang w:eastAsia="en-GB"/>
              </w:rPr>
              <w:t>05.07.17</w:t>
            </w:r>
          </w:p>
        </w:tc>
        <w:tc>
          <w:tcPr>
            <w:tcW w:w="163" w:type="pct"/>
            <w:shd w:val="clear" w:color="000000" w:fill="FFFFFF"/>
            <w:vAlign w:val="bottom"/>
          </w:tcPr>
          <w:p w:rsidR="00010D8F" w:rsidRPr="00AB61BC" w:rsidRDefault="00010D8F" w:rsidP="00AB61BC">
            <w:pPr>
              <w:pStyle w:val="NoSpacing"/>
              <w:rPr>
                <w:color w:val="000000"/>
                <w:sz w:val="18"/>
                <w:szCs w:val="18"/>
                <w:lang w:eastAsia="en-GB"/>
              </w:rPr>
            </w:pPr>
          </w:p>
        </w:tc>
      </w:tr>
    </w:tbl>
    <w:p w:rsidR="007947A4" w:rsidRPr="00AB61BC" w:rsidRDefault="007947A4" w:rsidP="00AB61BC">
      <w:pPr>
        <w:pStyle w:val="NoSpacing"/>
      </w:pPr>
    </w:p>
    <w:sectPr w:rsidR="007947A4" w:rsidRPr="00AB61BC" w:rsidSect="00AB61BC">
      <w:pgSz w:w="23814" w:h="16839" w:orient="landscape" w:code="8"/>
      <w:pgMar w:top="709"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1B"/>
    <w:rsid w:val="00010D8F"/>
    <w:rsid w:val="00382816"/>
    <w:rsid w:val="004D01EE"/>
    <w:rsid w:val="0054729A"/>
    <w:rsid w:val="00633B4B"/>
    <w:rsid w:val="00686B8D"/>
    <w:rsid w:val="006D18D8"/>
    <w:rsid w:val="007947A4"/>
    <w:rsid w:val="00831178"/>
    <w:rsid w:val="00850FA7"/>
    <w:rsid w:val="00902C63"/>
    <w:rsid w:val="00AB61BC"/>
    <w:rsid w:val="00AF203B"/>
    <w:rsid w:val="00E04B8A"/>
    <w:rsid w:val="00F6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1B"/>
    <w:rPr>
      <w:color w:val="0000FF"/>
      <w:u w:val="single"/>
    </w:rPr>
  </w:style>
  <w:style w:type="paragraph" w:styleId="NoSpacing">
    <w:name w:val="No Spacing"/>
    <w:link w:val="NoSpacingChar"/>
    <w:uiPriority w:val="1"/>
    <w:qFormat/>
    <w:rsid w:val="00E04B8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NoSpacingChar">
    <w:name w:val="No Spacing Char"/>
    <w:basedOn w:val="DefaultParagraphFont"/>
    <w:link w:val="NoSpacing"/>
    <w:uiPriority w:val="1"/>
    <w:rsid w:val="00AF203B"/>
    <w:rPr>
      <w:rFonts w:ascii="Arial" w:eastAsia="Times New Roman" w:hAnsi="Arial" w:cs="Times New Roman"/>
      <w:szCs w:val="20"/>
    </w:rPr>
  </w:style>
  <w:style w:type="paragraph" w:styleId="ListParagraph">
    <w:name w:val="List Paragraph"/>
    <w:basedOn w:val="Normal"/>
    <w:uiPriority w:val="34"/>
    <w:qFormat/>
    <w:rsid w:val="00010D8F"/>
    <w:pPr>
      <w:overflowPunct w:val="0"/>
      <w:autoSpaceDE w:val="0"/>
      <w:autoSpaceDN w:val="0"/>
      <w:adjustRightInd w:val="0"/>
      <w:spacing w:after="0" w:line="240" w:lineRule="auto"/>
      <w:ind w:left="720"/>
      <w:jc w:val="both"/>
      <w:textAlignment w:val="baseline"/>
    </w:pPr>
    <w:rPr>
      <w:rFonts w:ascii="Arial" w:eastAsia="Times New Roman" w:hAnsi="Arial" w:cs="Times New Roman"/>
      <w:szCs w:val="20"/>
    </w:rPr>
  </w:style>
  <w:style w:type="paragraph" w:styleId="Title">
    <w:name w:val="Title"/>
    <w:basedOn w:val="Normal"/>
    <w:next w:val="Normal"/>
    <w:link w:val="TitleChar"/>
    <w:qFormat/>
    <w:rsid w:val="00010D8F"/>
    <w:pPr>
      <w:overflowPunct w:val="0"/>
      <w:autoSpaceDE w:val="0"/>
      <w:autoSpaceDN w:val="0"/>
      <w:adjustRightInd w:val="0"/>
      <w:spacing w:before="200" w:line="240" w:lineRule="auto"/>
      <w:ind w:left="1440"/>
      <w:jc w:val="both"/>
      <w:textAlignment w:val="baseline"/>
    </w:pPr>
    <w:rPr>
      <w:rFonts w:ascii="Arial" w:eastAsia="Times New Roman" w:hAnsi="Arial" w:cs="Arial"/>
      <w:b/>
      <w:sz w:val="40"/>
      <w:szCs w:val="40"/>
    </w:rPr>
  </w:style>
  <w:style w:type="character" w:customStyle="1" w:styleId="TitleChar">
    <w:name w:val="Title Char"/>
    <w:basedOn w:val="DefaultParagraphFont"/>
    <w:link w:val="Title"/>
    <w:rsid w:val="00010D8F"/>
    <w:rPr>
      <w:rFonts w:ascii="Arial" w:eastAsia="Times New Roman" w:hAnsi="Arial" w:cs="Arial"/>
      <w:b/>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1B"/>
    <w:rPr>
      <w:color w:val="0000FF"/>
      <w:u w:val="single"/>
    </w:rPr>
  </w:style>
  <w:style w:type="paragraph" w:styleId="NoSpacing">
    <w:name w:val="No Spacing"/>
    <w:link w:val="NoSpacingChar"/>
    <w:uiPriority w:val="1"/>
    <w:qFormat/>
    <w:rsid w:val="00E04B8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NoSpacingChar">
    <w:name w:val="No Spacing Char"/>
    <w:basedOn w:val="DefaultParagraphFont"/>
    <w:link w:val="NoSpacing"/>
    <w:uiPriority w:val="1"/>
    <w:rsid w:val="00AF203B"/>
    <w:rPr>
      <w:rFonts w:ascii="Arial" w:eastAsia="Times New Roman" w:hAnsi="Arial" w:cs="Times New Roman"/>
      <w:szCs w:val="20"/>
    </w:rPr>
  </w:style>
  <w:style w:type="paragraph" w:styleId="ListParagraph">
    <w:name w:val="List Paragraph"/>
    <w:basedOn w:val="Normal"/>
    <w:uiPriority w:val="34"/>
    <w:qFormat/>
    <w:rsid w:val="00010D8F"/>
    <w:pPr>
      <w:overflowPunct w:val="0"/>
      <w:autoSpaceDE w:val="0"/>
      <w:autoSpaceDN w:val="0"/>
      <w:adjustRightInd w:val="0"/>
      <w:spacing w:after="0" w:line="240" w:lineRule="auto"/>
      <w:ind w:left="720"/>
      <w:jc w:val="both"/>
      <w:textAlignment w:val="baseline"/>
    </w:pPr>
    <w:rPr>
      <w:rFonts w:ascii="Arial" w:eastAsia="Times New Roman" w:hAnsi="Arial" w:cs="Times New Roman"/>
      <w:szCs w:val="20"/>
    </w:rPr>
  </w:style>
  <w:style w:type="paragraph" w:styleId="Title">
    <w:name w:val="Title"/>
    <w:basedOn w:val="Normal"/>
    <w:next w:val="Normal"/>
    <w:link w:val="TitleChar"/>
    <w:qFormat/>
    <w:rsid w:val="00010D8F"/>
    <w:pPr>
      <w:overflowPunct w:val="0"/>
      <w:autoSpaceDE w:val="0"/>
      <w:autoSpaceDN w:val="0"/>
      <w:adjustRightInd w:val="0"/>
      <w:spacing w:before="200" w:line="240" w:lineRule="auto"/>
      <w:ind w:left="1440"/>
      <w:jc w:val="both"/>
      <w:textAlignment w:val="baseline"/>
    </w:pPr>
    <w:rPr>
      <w:rFonts w:ascii="Arial" w:eastAsia="Times New Roman" w:hAnsi="Arial" w:cs="Arial"/>
      <w:b/>
      <w:sz w:val="40"/>
      <w:szCs w:val="40"/>
    </w:rPr>
  </w:style>
  <w:style w:type="character" w:customStyle="1" w:styleId="TitleChar">
    <w:name w:val="Title Char"/>
    <w:basedOn w:val="DefaultParagraphFont"/>
    <w:link w:val="Title"/>
    <w:rsid w:val="00010D8F"/>
    <w:rPr>
      <w:rFonts w:ascii="Arial" w:eastAsia="Times New Roman" w:hAnsi="Arial" w:cs="Arial"/>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871">
      <w:bodyDiv w:val="1"/>
      <w:marLeft w:val="0"/>
      <w:marRight w:val="0"/>
      <w:marTop w:val="0"/>
      <w:marBottom w:val="0"/>
      <w:divBdr>
        <w:top w:val="none" w:sz="0" w:space="0" w:color="auto"/>
        <w:left w:val="none" w:sz="0" w:space="0" w:color="auto"/>
        <w:bottom w:val="none" w:sz="0" w:space="0" w:color="auto"/>
        <w:right w:val="none" w:sz="0" w:space="0" w:color="auto"/>
      </w:divBdr>
    </w:div>
    <w:div w:id="95831450">
      <w:bodyDiv w:val="1"/>
      <w:marLeft w:val="0"/>
      <w:marRight w:val="0"/>
      <w:marTop w:val="0"/>
      <w:marBottom w:val="0"/>
      <w:divBdr>
        <w:top w:val="none" w:sz="0" w:space="0" w:color="auto"/>
        <w:left w:val="none" w:sz="0" w:space="0" w:color="auto"/>
        <w:bottom w:val="none" w:sz="0" w:space="0" w:color="auto"/>
        <w:right w:val="none" w:sz="0" w:space="0" w:color="auto"/>
      </w:divBdr>
    </w:div>
    <w:div w:id="478575220">
      <w:bodyDiv w:val="1"/>
      <w:marLeft w:val="0"/>
      <w:marRight w:val="0"/>
      <w:marTop w:val="0"/>
      <w:marBottom w:val="0"/>
      <w:divBdr>
        <w:top w:val="none" w:sz="0" w:space="0" w:color="auto"/>
        <w:left w:val="none" w:sz="0" w:space="0" w:color="auto"/>
        <w:bottom w:val="none" w:sz="0" w:space="0" w:color="auto"/>
        <w:right w:val="none" w:sz="0" w:space="0" w:color="auto"/>
      </w:divBdr>
    </w:div>
    <w:div w:id="483274710">
      <w:bodyDiv w:val="1"/>
      <w:marLeft w:val="0"/>
      <w:marRight w:val="0"/>
      <w:marTop w:val="0"/>
      <w:marBottom w:val="0"/>
      <w:divBdr>
        <w:top w:val="none" w:sz="0" w:space="0" w:color="auto"/>
        <w:left w:val="none" w:sz="0" w:space="0" w:color="auto"/>
        <w:bottom w:val="none" w:sz="0" w:space="0" w:color="auto"/>
        <w:right w:val="none" w:sz="0" w:space="0" w:color="auto"/>
      </w:divBdr>
    </w:div>
    <w:div w:id="627511079">
      <w:bodyDiv w:val="1"/>
      <w:marLeft w:val="0"/>
      <w:marRight w:val="0"/>
      <w:marTop w:val="0"/>
      <w:marBottom w:val="0"/>
      <w:divBdr>
        <w:top w:val="none" w:sz="0" w:space="0" w:color="auto"/>
        <w:left w:val="none" w:sz="0" w:space="0" w:color="auto"/>
        <w:bottom w:val="none" w:sz="0" w:space="0" w:color="auto"/>
        <w:right w:val="none" w:sz="0" w:space="0" w:color="auto"/>
      </w:divBdr>
    </w:div>
    <w:div w:id="742414054">
      <w:bodyDiv w:val="1"/>
      <w:marLeft w:val="0"/>
      <w:marRight w:val="0"/>
      <w:marTop w:val="0"/>
      <w:marBottom w:val="0"/>
      <w:divBdr>
        <w:top w:val="none" w:sz="0" w:space="0" w:color="auto"/>
        <w:left w:val="none" w:sz="0" w:space="0" w:color="auto"/>
        <w:bottom w:val="none" w:sz="0" w:space="0" w:color="auto"/>
        <w:right w:val="none" w:sz="0" w:space="0" w:color="auto"/>
      </w:divBdr>
    </w:div>
    <w:div w:id="949314339">
      <w:bodyDiv w:val="1"/>
      <w:marLeft w:val="0"/>
      <w:marRight w:val="0"/>
      <w:marTop w:val="0"/>
      <w:marBottom w:val="0"/>
      <w:divBdr>
        <w:top w:val="none" w:sz="0" w:space="0" w:color="auto"/>
        <w:left w:val="none" w:sz="0" w:space="0" w:color="auto"/>
        <w:bottom w:val="none" w:sz="0" w:space="0" w:color="auto"/>
        <w:right w:val="none" w:sz="0" w:space="0" w:color="auto"/>
      </w:divBdr>
    </w:div>
    <w:div w:id="971250974">
      <w:bodyDiv w:val="1"/>
      <w:marLeft w:val="0"/>
      <w:marRight w:val="0"/>
      <w:marTop w:val="0"/>
      <w:marBottom w:val="0"/>
      <w:divBdr>
        <w:top w:val="none" w:sz="0" w:space="0" w:color="auto"/>
        <w:left w:val="none" w:sz="0" w:space="0" w:color="auto"/>
        <w:bottom w:val="none" w:sz="0" w:space="0" w:color="auto"/>
        <w:right w:val="none" w:sz="0" w:space="0" w:color="auto"/>
      </w:divBdr>
    </w:div>
    <w:div w:id="1199657738">
      <w:bodyDiv w:val="1"/>
      <w:marLeft w:val="0"/>
      <w:marRight w:val="0"/>
      <w:marTop w:val="0"/>
      <w:marBottom w:val="0"/>
      <w:divBdr>
        <w:top w:val="none" w:sz="0" w:space="0" w:color="auto"/>
        <w:left w:val="none" w:sz="0" w:space="0" w:color="auto"/>
        <w:bottom w:val="none" w:sz="0" w:space="0" w:color="auto"/>
        <w:right w:val="none" w:sz="0" w:space="0" w:color="auto"/>
      </w:divBdr>
    </w:div>
    <w:div w:id="1237327719">
      <w:bodyDiv w:val="1"/>
      <w:marLeft w:val="0"/>
      <w:marRight w:val="0"/>
      <w:marTop w:val="0"/>
      <w:marBottom w:val="0"/>
      <w:divBdr>
        <w:top w:val="none" w:sz="0" w:space="0" w:color="auto"/>
        <w:left w:val="none" w:sz="0" w:space="0" w:color="auto"/>
        <w:bottom w:val="none" w:sz="0" w:space="0" w:color="auto"/>
        <w:right w:val="none" w:sz="0" w:space="0" w:color="auto"/>
      </w:divBdr>
    </w:div>
    <w:div w:id="1284266550">
      <w:bodyDiv w:val="1"/>
      <w:marLeft w:val="0"/>
      <w:marRight w:val="0"/>
      <w:marTop w:val="0"/>
      <w:marBottom w:val="0"/>
      <w:divBdr>
        <w:top w:val="none" w:sz="0" w:space="0" w:color="auto"/>
        <w:left w:val="none" w:sz="0" w:space="0" w:color="auto"/>
        <w:bottom w:val="none" w:sz="0" w:space="0" w:color="auto"/>
        <w:right w:val="none" w:sz="0" w:space="0" w:color="auto"/>
      </w:divBdr>
    </w:div>
    <w:div w:id="1298878736">
      <w:bodyDiv w:val="1"/>
      <w:marLeft w:val="0"/>
      <w:marRight w:val="0"/>
      <w:marTop w:val="0"/>
      <w:marBottom w:val="0"/>
      <w:divBdr>
        <w:top w:val="none" w:sz="0" w:space="0" w:color="auto"/>
        <w:left w:val="none" w:sz="0" w:space="0" w:color="auto"/>
        <w:bottom w:val="none" w:sz="0" w:space="0" w:color="auto"/>
        <w:right w:val="none" w:sz="0" w:space="0" w:color="auto"/>
      </w:divBdr>
    </w:div>
    <w:div w:id="1356078248">
      <w:bodyDiv w:val="1"/>
      <w:marLeft w:val="0"/>
      <w:marRight w:val="0"/>
      <w:marTop w:val="0"/>
      <w:marBottom w:val="0"/>
      <w:divBdr>
        <w:top w:val="none" w:sz="0" w:space="0" w:color="auto"/>
        <w:left w:val="none" w:sz="0" w:space="0" w:color="auto"/>
        <w:bottom w:val="none" w:sz="0" w:space="0" w:color="auto"/>
        <w:right w:val="none" w:sz="0" w:space="0" w:color="auto"/>
      </w:divBdr>
    </w:div>
    <w:div w:id="15812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Trust-wide%20Documents\Health%20&amp;%20Safety\First%20Aid%20at%20Work%20Policy.docx" TargetMode="External"/><Relationship Id="rId13" Type="http://schemas.openxmlformats.org/officeDocument/2006/relationships/hyperlink" Target="file:///C:\Trust-wide%20Documents\Antimicrobial%20Stewardship%20for%20Adult%20and%20Child%20Patients%20Policy\Antimicrobial%20Stewardship%20for%20Adult%20and%20Child%20Patients%20Policy.docx" TargetMode="External"/><Relationship Id="rId3" Type="http://schemas.openxmlformats.org/officeDocument/2006/relationships/settings" Target="settings.xml"/><Relationship Id="rId7" Type="http://schemas.openxmlformats.org/officeDocument/2006/relationships/hyperlink" Target="file:///C:\Trust-wide%20Documents\Health%20&amp;%20Safety\Employee%20Immunisation%20and%20Screening%20for%20Occupational%20Health%20Nurses%20Guidelines.docx" TargetMode="External"/><Relationship Id="rId12" Type="http://schemas.openxmlformats.org/officeDocument/2006/relationships/hyperlink" Target="file:///C:\Trust-wide%20Documents\Swab%20and%20Needlecount\Swab%20Instrument%20and%20Needle%20Counts%20for%20All%20Patients%20undergoing%20a%20Surgical%20Procedure%20at%20the%20Great%20Western%20Hospital%20Policy.docx"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Trust-wide%20Documents\Health%20&amp;%20Safety\Driving%20at%20Work%20Policy.docx" TargetMode="External"/><Relationship Id="rId11" Type="http://schemas.openxmlformats.org/officeDocument/2006/relationships/hyperlink" Target="file:///C:\Trust-wide%20Documents\Blood%20-%20%20Transfusion,%20Issue,%20Ordering,%20Emergency,%20Haemorrhage,%20Jehovahs%20Witnesses\Requesting%20a%20Blood%20Transfusion%20and%20the%20Collection%20of%20Blood%20Samples%20for%20Pre-transfusion%20Compatibility%20Testing.docx" TargetMode="External"/><Relationship Id="rId5" Type="http://schemas.openxmlformats.org/officeDocument/2006/relationships/hyperlink" Target="file:///C:\Trust-wide%20Documents\Health%20&amp;%20Safety\Display%20Screen%20Equipment%20(DSE)%20Policy.docx" TargetMode="External"/><Relationship Id="rId15" Type="http://schemas.openxmlformats.org/officeDocument/2006/relationships/fontTable" Target="fontTable.xml"/><Relationship Id="rId10" Type="http://schemas.openxmlformats.org/officeDocument/2006/relationships/hyperlink" Target="file:///C:\Trust-wide%20Documents\Nutrition%20and%20Hydration%20-%20Meals,%20NG,%20PEG\Percutaneous%20Endoscopic%20Gastrostomy%20(PEG)%20Placement%20and%20Management%20(Adults)%20Clinical%20Guideline.docx" TargetMode="External"/><Relationship Id="rId4" Type="http://schemas.openxmlformats.org/officeDocument/2006/relationships/webSettings" Target="webSettings.xml"/><Relationship Id="rId9" Type="http://schemas.openxmlformats.org/officeDocument/2006/relationships/hyperlink" Target="file:///C:\Trust-wide%20Documents\Health%20&amp;%20Safety\Lone%20Workers%20Policy%20and%20Guidance.docx" TargetMode="External"/><Relationship Id="rId14" Type="http://schemas.openxmlformats.org/officeDocument/2006/relationships/hyperlink" Target="file:///C:\Trust-wide%20Documents\Nutrition%20and%20Hydration%20-%20Meals,%20NG,%20PEG\Enteral%20Nutrition%20for%20Preterm%20Infants%20Clinical%20Guidelin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Carter, Brian</cp:lastModifiedBy>
  <cp:revision>2</cp:revision>
  <dcterms:created xsi:type="dcterms:W3CDTF">2017-09-08T14:00:00Z</dcterms:created>
  <dcterms:modified xsi:type="dcterms:W3CDTF">2017-09-08T14:00:00Z</dcterms:modified>
</cp:coreProperties>
</file>