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F65" w:rsidRPr="00BE3D31" w:rsidRDefault="00BE3D31" w:rsidP="00BE3D31">
      <w:pPr>
        <w:jc w:val="center"/>
        <w:rPr>
          <w:rFonts w:ascii="Arial" w:hAnsi="Arial" w:cs="Arial"/>
          <w:b/>
          <w:sz w:val="24"/>
          <w:szCs w:val="24"/>
        </w:rPr>
      </w:pPr>
      <w:bookmarkStart w:id="0" w:name="_GoBack"/>
      <w:bookmarkEnd w:id="0"/>
      <w:r w:rsidRPr="003D24CC">
        <w:rPr>
          <w:rFonts w:ascii="Arial" w:hAnsi="Arial" w:cs="Arial"/>
          <w:b/>
          <w:sz w:val="24"/>
          <w:szCs w:val="24"/>
        </w:rPr>
        <w:t>List of Policies and Procedures made</w:t>
      </w:r>
      <w:r>
        <w:rPr>
          <w:rFonts w:ascii="Arial" w:hAnsi="Arial" w:cs="Arial"/>
          <w:b/>
          <w:sz w:val="24"/>
          <w:szCs w:val="24"/>
        </w:rPr>
        <w:t xml:space="preserve"> live</w:t>
      </w:r>
      <w:r w:rsidRPr="003D24CC">
        <w:rPr>
          <w:rFonts w:ascii="Arial" w:hAnsi="Arial" w:cs="Arial"/>
          <w:b/>
          <w:sz w:val="24"/>
          <w:szCs w:val="24"/>
        </w:rPr>
        <w:t xml:space="preserve"> </w:t>
      </w:r>
      <w:r>
        <w:rPr>
          <w:rFonts w:ascii="Arial" w:hAnsi="Arial" w:cs="Arial"/>
          <w:b/>
          <w:sz w:val="24"/>
          <w:szCs w:val="24"/>
        </w:rPr>
        <w:t xml:space="preserve">May </w:t>
      </w:r>
      <w:r w:rsidRPr="003D24CC">
        <w:rPr>
          <w:rFonts w:ascii="Arial" w:hAnsi="Arial" w:cs="Arial"/>
          <w:b/>
          <w:sz w:val="24"/>
          <w:szCs w:val="24"/>
        </w:rPr>
        <w:t>2017</w:t>
      </w:r>
    </w:p>
    <w:tbl>
      <w:tblPr>
        <w:tblStyle w:val="TableGrid"/>
        <w:tblW w:w="5000" w:type="pct"/>
        <w:tblLayout w:type="fixed"/>
        <w:tblLook w:val="04A0" w:firstRow="1" w:lastRow="0" w:firstColumn="1" w:lastColumn="0" w:noHBand="0" w:noVBand="1"/>
      </w:tblPr>
      <w:tblGrid>
        <w:gridCol w:w="2586"/>
        <w:gridCol w:w="2581"/>
        <w:gridCol w:w="3020"/>
        <w:gridCol w:w="4255"/>
        <w:gridCol w:w="1421"/>
        <w:gridCol w:w="1235"/>
        <w:gridCol w:w="3443"/>
        <w:gridCol w:w="1277"/>
        <w:gridCol w:w="1332"/>
      </w:tblGrid>
      <w:tr w:rsidR="00BE3D31" w:rsidRPr="007139F4" w:rsidTr="00B06411">
        <w:trPr>
          <w:cantSplit/>
          <w:tblHeader/>
        </w:trPr>
        <w:tc>
          <w:tcPr>
            <w:tcW w:w="611"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Name of Document</w:t>
            </w:r>
          </w:p>
        </w:tc>
        <w:tc>
          <w:tcPr>
            <w:tcW w:w="610"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Hyperlink</w:t>
            </w:r>
          </w:p>
        </w:tc>
        <w:tc>
          <w:tcPr>
            <w:tcW w:w="714"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 xml:space="preserve">Details of document </w:t>
            </w:r>
          </w:p>
        </w:tc>
        <w:tc>
          <w:tcPr>
            <w:tcW w:w="1006"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Who does it apply to</w:t>
            </w:r>
          </w:p>
        </w:tc>
        <w:tc>
          <w:tcPr>
            <w:tcW w:w="336"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What version is it</w:t>
            </w:r>
          </w:p>
        </w:tc>
        <w:tc>
          <w:tcPr>
            <w:tcW w:w="292"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 xml:space="preserve">Date went live </w:t>
            </w:r>
          </w:p>
        </w:tc>
        <w:tc>
          <w:tcPr>
            <w:tcW w:w="814"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Any specific changes to be aware of</w:t>
            </w:r>
          </w:p>
        </w:tc>
        <w:tc>
          <w:tcPr>
            <w:tcW w:w="302"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WH&amp;C to use</w:t>
            </w:r>
          </w:p>
        </w:tc>
        <w:tc>
          <w:tcPr>
            <w:tcW w:w="315" w:type="pct"/>
            <w:shd w:val="clear" w:color="auto" w:fill="BFBFBF" w:themeFill="background1" w:themeFillShade="BF"/>
          </w:tcPr>
          <w:p w:rsidR="00BE3D31" w:rsidRPr="003D24CC" w:rsidRDefault="00BE3D31" w:rsidP="00BE3D31">
            <w:pPr>
              <w:rPr>
                <w:rFonts w:ascii="Arial" w:hAnsi="Arial" w:cs="Arial"/>
                <w:b/>
                <w:sz w:val="24"/>
                <w:szCs w:val="24"/>
              </w:rPr>
            </w:pPr>
            <w:r w:rsidRPr="003D24CC">
              <w:rPr>
                <w:rFonts w:ascii="Arial" w:hAnsi="Arial" w:cs="Arial"/>
                <w:b/>
                <w:sz w:val="24"/>
                <w:szCs w:val="24"/>
              </w:rPr>
              <w:t>SCHS to use</w:t>
            </w:r>
          </w:p>
        </w:tc>
      </w:tr>
      <w:tr w:rsidR="00BE3D31" w:rsidRPr="007139F4"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Grievance Resolution Policy</w:t>
            </w:r>
          </w:p>
        </w:tc>
        <w:tc>
          <w:tcPr>
            <w:tcW w:w="610" w:type="pct"/>
          </w:tcPr>
          <w:p w:rsidR="00BE3D31" w:rsidRPr="00664447" w:rsidRDefault="00D050CD" w:rsidP="00BE3D31">
            <w:pPr>
              <w:rPr>
                <w:rFonts w:ascii="Arial" w:hAnsi="Arial" w:cs="Arial"/>
                <w:color w:val="000000" w:themeColor="text1"/>
                <w:sz w:val="20"/>
                <w:szCs w:val="20"/>
              </w:rPr>
            </w:pPr>
            <w:hyperlink r:id="rId6" w:history="1">
              <w:r w:rsidR="00BE3D31" w:rsidRPr="00674612">
                <w:rPr>
                  <w:rStyle w:val="Hyperlink"/>
                  <w:rFonts w:ascii="Arial" w:eastAsia="Times New Roman" w:hAnsi="Arial" w:cs="Arial"/>
                  <w:sz w:val="20"/>
                  <w:szCs w:val="20"/>
                  <w:lang w:eastAsia="en-GB"/>
                </w:rPr>
                <w:t>Grievance Resolution Policy</w:t>
              </w:r>
            </w:hyperlink>
          </w:p>
        </w:tc>
        <w:tc>
          <w:tcPr>
            <w:tcW w:w="714"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 xml:space="preserve">This policy provides a framework for guidance on how to resolve a concern / grievance. </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All employees directly employed by the Trust, whether permanent, part-time or temporary (including fixed-term contract).  It applies equally to all others working for the Trust, including private-sector, voluntary-sector, bank, agency, locum, and </w:t>
            </w:r>
            <w:proofErr w:type="spellStart"/>
            <w:r w:rsidRPr="00664447">
              <w:rPr>
                <w:rFonts w:ascii="Arial" w:hAnsi="Arial" w:cs="Arial"/>
                <w:sz w:val="20"/>
                <w:szCs w:val="20"/>
              </w:rPr>
              <w:t>secondees</w:t>
            </w:r>
            <w:proofErr w:type="spellEnd"/>
            <w:r w:rsidRPr="00664447">
              <w:rPr>
                <w:rFonts w:ascii="Arial" w:hAnsi="Arial" w:cs="Arial"/>
                <w:sz w:val="20"/>
                <w:szCs w:val="20"/>
              </w:rPr>
              <w:t>.  For simplicity, they are referred to as ‘employees’ throughout this policy.</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2.0</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16/05/17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Appendix C (Formal Grievance Notification Form) added to document</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Yes</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No. protected under TUPE</w:t>
            </w:r>
          </w:p>
        </w:tc>
      </w:tr>
      <w:tr w:rsidR="00BE3D31"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Policy and Procedural Document Template</w:t>
            </w:r>
          </w:p>
        </w:tc>
        <w:tc>
          <w:tcPr>
            <w:tcW w:w="610" w:type="pct"/>
          </w:tcPr>
          <w:p w:rsidR="00BE3D31" w:rsidRPr="00664447" w:rsidRDefault="00BE3D31" w:rsidP="00BE3D31">
            <w:pPr>
              <w:rPr>
                <w:rFonts w:ascii="Arial" w:hAnsi="Arial" w:cs="Arial"/>
                <w:color w:val="000000" w:themeColor="text1"/>
                <w:sz w:val="20"/>
                <w:szCs w:val="20"/>
              </w:rPr>
            </w:pPr>
            <w:r w:rsidRPr="00664447">
              <w:rPr>
                <w:rFonts w:ascii="Arial" w:eastAsia="Times New Roman" w:hAnsi="Arial" w:cs="Arial"/>
                <w:color w:val="0000FF"/>
                <w:sz w:val="20"/>
                <w:szCs w:val="20"/>
                <w:u w:val="single"/>
                <w:lang w:eastAsia="en-GB"/>
              </w:rPr>
              <w:t xml:space="preserve">Policy and </w:t>
            </w:r>
            <w:hyperlink r:id="rId7" w:history="1">
              <w:r w:rsidRPr="00674612">
                <w:rPr>
                  <w:rStyle w:val="Hyperlink"/>
                  <w:rFonts w:ascii="Arial" w:eastAsia="Times New Roman" w:hAnsi="Arial" w:cs="Arial"/>
                  <w:sz w:val="20"/>
                  <w:szCs w:val="20"/>
                  <w:lang w:eastAsia="en-GB"/>
                </w:rPr>
                <w:t>Procedural</w:t>
              </w:r>
            </w:hyperlink>
            <w:r w:rsidRPr="00664447">
              <w:rPr>
                <w:rFonts w:ascii="Arial" w:eastAsia="Times New Roman" w:hAnsi="Arial" w:cs="Arial"/>
                <w:color w:val="0000FF"/>
                <w:sz w:val="20"/>
                <w:szCs w:val="20"/>
                <w:u w:val="single"/>
                <w:lang w:eastAsia="en-GB"/>
              </w:rPr>
              <w:t xml:space="preserve"> Document Template</w:t>
            </w:r>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This is a template for writing policies and procedural document.  For advice contact Hayley Aplin, Risk and Governance Facilitator</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those writing a policy and procedure</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2.0</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03/05/2017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Revision made to include June Foster as a Mandatory </w:t>
            </w:r>
            <w:proofErr w:type="spellStart"/>
            <w:r w:rsidRPr="00664447">
              <w:rPr>
                <w:rFonts w:ascii="Arial" w:hAnsi="Arial" w:cs="Arial"/>
                <w:sz w:val="20"/>
                <w:szCs w:val="20"/>
              </w:rPr>
              <w:t>consultee</w:t>
            </w:r>
            <w:proofErr w:type="spellEnd"/>
            <w:r w:rsidRPr="00664447">
              <w:rPr>
                <w:rFonts w:ascii="Arial" w:hAnsi="Arial" w:cs="Arial"/>
                <w:sz w:val="20"/>
                <w:szCs w:val="20"/>
              </w:rPr>
              <w:t xml:space="preserve"> for WH&amp;C and to ensure the maytarget audience includes WH&amp;C</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No</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Yes</w:t>
            </w:r>
          </w:p>
        </w:tc>
      </w:tr>
      <w:tr w:rsidR="00BE3D31"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Prevention and Management of Baby/Child Abduction Policy</w:t>
            </w:r>
          </w:p>
        </w:tc>
        <w:tc>
          <w:tcPr>
            <w:tcW w:w="610" w:type="pct"/>
          </w:tcPr>
          <w:p w:rsidR="00BE3D31" w:rsidRPr="00664447" w:rsidRDefault="00BE3D31" w:rsidP="00BE3D31">
            <w:pPr>
              <w:rPr>
                <w:rFonts w:ascii="Arial" w:hAnsi="Arial" w:cs="Arial"/>
                <w:color w:val="000000" w:themeColor="text1"/>
                <w:sz w:val="20"/>
                <w:szCs w:val="20"/>
              </w:rPr>
            </w:pPr>
            <w:r w:rsidRPr="00664447">
              <w:rPr>
                <w:rFonts w:ascii="Arial" w:eastAsia="Times New Roman" w:hAnsi="Arial" w:cs="Arial"/>
                <w:color w:val="0000FF"/>
                <w:sz w:val="20"/>
                <w:szCs w:val="20"/>
                <w:u w:val="single"/>
                <w:lang w:eastAsia="en-GB"/>
              </w:rPr>
              <w:t xml:space="preserve">Prevention and </w:t>
            </w:r>
            <w:hyperlink r:id="rId8" w:history="1">
              <w:r w:rsidRPr="00674612">
                <w:rPr>
                  <w:rStyle w:val="Hyperlink"/>
                  <w:rFonts w:ascii="Arial" w:eastAsia="Times New Roman" w:hAnsi="Arial" w:cs="Arial"/>
                  <w:sz w:val="20"/>
                  <w:szCs w:val="20"/>
                  <w:lang w:eastAsia="en-GB"/>
                </w:rPr>
                <w:t>Management</w:t>
              </w:r>
            </w:hyperlink>
            <w:r w:rsidRPr="00664447">
              <w:rPr>
                <w:rFonts w:ascii="Arial" w:eastAsia="Times New Roman" w:hAnsi="Arial" w:cs="Arial"/>
                <w:color w:val="0000FF"/>
                <w:sz w:val="20"/>
                <w:szCs w:val="20"/>
                <w:u w:val="single"/>
                <w:lang w:eastAsia="en-GB"/>
              </w:rPr>
              <w:t xml:space="preserve"> of Baby/Child Abduction Policy</w:t>
            </w:r>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policy outlines Great Western Hospitals NHS Foundation Trust (the Trust) operational security procedures in place within its in-patient areas of the Maternity Unit (Delivery Suite, White Horse Birth Centre and Hazel Ward), SCBU &amp; Children’s Ward and actions to be taken and responsibility in the event of </w:t>
            </w:r>
            <w:proofErr w:type="gramStart"/>
            <w:r w:rsidRPr="00664447">
              <w:rPr>
                <w:rFonts w:ascii="Arial" w:hAnsi="Arial" w:cs="Arial"/>
                <w:sz w:val="20"/>
                <w:szCs w:val="20"/>
              </w:rPr>
              <w:t>a suspected</w:t>
            </w:r>
            <w:proofErr w:type="gramEnd"/>
            <w:r w:rsidRPr="00664447">
              <w:rPr>
                <w:rFonts w:ascii="Arial" w:hAnsi="Arial" w:cs="Arial"/>
                <w:sz w:val="20"/>
                <w:szCs w:val="20"/>
              </w:rPr>
              <w:t>/confirmed baby/child abduction.</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All Maternity Employees, Site managers, Switchboard, Associate Medical Director of Women, Children’s &amp; Sexual Health. Divisional Director of Women, Children’s &amp; Sexual Health</w:t>
            </w:r>
          </w:p>
          <w:p w:rsidR="00BE3D31" w:rsidRPr="00664447" w:rsidRDefault="00BE3D31" w:rsidP="00BE3D31">
            <w:pPr>
              <w:rPr>
                <w:rFonts w:ascii="Arial" w:hAnsi="Arial" w:cs="Arial"/>
                <w:sz w:val="20"/>
                <w:szCs w:val="20"/>
              </w:rPr>
            </w:pPr>
            <w:r w:rsidRPr="00664447">
              <w:rPr>
                <w:rFonts w:ascii="Arial" w:hAnsi="Arial" w:cs="Arial"/>
                <w:sz w:val="20"/>
                <w:szCs w:val="20"/>
              </w:rPr>
              <w:t>Carillion Ltd Security Guards</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1.0</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24/05/2017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New document</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No</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Yes if applicable</w:t>
            </w:r>
          </w:p>
        </w:tc>
      </w:tr>
      <w:tr w:rsidR="00BE3D31"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Safeguarding Adults at Risk Supervision Policy</w:t>
            </w:r>
          </w:p>
        </w:tc>
        <w:tc>
          <w:tcPr>
            <w:tcW w:w="610" w:type="pct"/>
          </w:tcPr>
          <w:p w:rsidR="00BE3D31" w:rsidRPr="00664447" w:rsidRDefault="00D050CD" w:rsidP="00BE3D31">
            <w:pPr>
              <w:rPr>
                <w:rFonts w:ascii="Arial" w:hAnsi="Arial" w:cs="Arial"/>
                <w:color w:val="000000" w:themeColor="text1"/>
                <w:sz w:val="20"/>
                <w:szCs w:val="20"/>
              </w:rPr>
            </w:pPr>
            <w:hyperlink r:id="rId9" w:history="1">
              <w:r w:rsidR="00BE3D31" w:rsidRPr="00674612">
                <w:rPr>
                  <w:rStyle w:val="Hyperlink"/>
                  <w:rFonts w:ascii="Arial" w:eastAsia="Times New Roman" w:hAnsi="Arial" w:cs="Arial"/>
                  <w:sz w:val="20"/>
                  <w:szCs w:val="20"/>
                  <w:lang w:eastAsia="en-GB"/>
                </w:rPr>
                <w:t>Safeguarding Adults at Risk Supervision Policy</w:t>
              </w:r>
            </w:hyperlink>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The purpose of the policy is to promote and develop a culture that values regular safeguarding adults at risk supervision in order</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All employees directly employed by the Trust (including those who deliver services on behalf of Wiltshire Health and Care) who work in services where they may come into Professional contact with vulnerable adults, whether permanent, part-time or temporary (including fixed-term contract).  </w:t>
            </w:r>
          </w:p>
          <w:p w:rsidR="00BE3D31" w:rsidRPr="00664447" w:rsidRDefault="00BE3D31" w:rsidP="00BE3D31">
            <w:pPr>
              <w:rPr>
                <w:rFonts w:ascii="Arial" w:hAnsi="Arial" w:cs="Arial"/>
                <w:sz w:val="20"/>
                <w:szCs w:val="20"/>
              </w:rPr>
            </w:pPr>
          </w:p>
          <w:p w:rsidR="00BE3D31" w:rsidRPr="00664447" w:rsidRDefault="00BE3D31" w:rsidP="00BE3D31">
            <w:pPr>
              <w:rPr>
                <w:rFonts w:ascii="Arial" w:hAnsi="Arial" w:cs="Arial"/>
                <w:sz w:val="20"/>
                <w:szCs w:val="20"/>
              </w:rPr>
            </w:pPr>
            <w:r w:rsidRPr="00664447">
              <w:rPr>
                <w:rFonts w:ascii="Arial" w:hAnsi="Arial" w:cs="Arial"/>
                <w:sz w:val="20"/>
                <w:szCs w:val="20"/>
              </w:rPr>
              <w:t xml:space="preserve">It applies equally to all others working for the Trust, including private-sector, voluntary-sector, bank, agency, locum, and </w:t>
            </w:r>
            <w:proofErr w:type="spellStart"/>
            <w:r w:rsidRPr="00664447">
              <w:rPr>
                <w:rFonts w:ascii="Arial" w:hAnsi="Arial" w:cs="Arial"/>
                <w:sz w:val="20"/>
                <w:szCs w:val="20"/>
              </w:rPr>
              <w:t>secondees</w:t>
            </w:r>
            <w:proofErr w:type="spellEnd"/>
            <w:r w:rsidRPr="00664447">
              <w:rPr>
                <w:rFonts w:ascii="Arial" w:hAnsi="Arial" w:cs="Arial"/>
                <w:sz w:val="20"/>
                <w:szCs w:val="20"/>
              </w:rPr>
              <w:t>.  For simplicity, they are referred to as ‘employees’ throughout this policy</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1.0</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04/05/2017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was a full review so treat all content as fully revised. </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Yes</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Yes</w:t>
            </w:r>
          </w:p>
        </w:tc>
      </w:tr>
      <w:tr w:rsidR="00BE3D31"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South West Neonatal Network Guideline - The Use of Probiotics in Preterm Babies</w:t>
            </w:r>
          </w:p>
        </w:tc>
        <w:tc>
          <w:tcPr>
            <w:tcW w:w="610" w:type="pct"/>
          </w:tcPr>
          <w:p w:rsidR="00BE3D31" w:rsidRPr="00664447" w:rsidRDefault="00BE3D31" w:rsidP="00BE3D31">
            <w:pPr>
              <w:rPr>
                <w:rFonts w:ascii="Arial" w:hAnsi="Arial" w:cs="Arial"/>
                <w:color w:val="000000" w:themeColor="text1"/>
                <w:sz w:val="20"/>
                <w:szCs w:val="20"/>
              </w:rPr>
            </w:pPr>
            <w:r w:rsidRPr="00664447">
              <w:rPr>
                <w:rFonts w:ascii="Arial" w:eastAsia="Times New Roman" w:hAnsi="Arial" w:cs="Arial"/>
                <w:color w:val="0000FF"/>
                <w:sz w:val="20"/>
                <w:szCs w:val="20"/>
                <w:u w:val="single"/>
                <w:lang w:eastAsia="en-GB"/>
              </w:rPr>
              <w:t xml:space="preserve">South West Neonatal Network </w:t>
            </w:r>
            <w:hyperlink r:id="rId10" w:history="1">
              <w:r w:rsidRPr="00674612">
                <w:rPr>
                  <w:rStyle w:val="Hyperlink"/>
                  <w:rFonts w:ascii="Arial" w:eastAsia="Times New Roman" w:hAnsi="Arial" w:cs="Arial"/>
                  <w:sz w:val="20"/>
                  <w:szCs w:val="20"/>
                  <w:lang w:eastAsia="en-GB"/>
                </w:rPr>
                <w:t>Guideline</w:t>
              </w:r>
            </w:hyperlink>
            <w:r w:rsidRPr="00664447">
              <w:rPr>
                <w:rFonts w:ascii="Arial" w:eastAsia="Times New Roman" w:hAnsi="Arial" w:cs="Arial"/>
                <w:color w:val="0000FF"/>
                <w:sz w:val="20"/>
                <w:szCs w:val="20"/>
                <w:u w:val="single"/>
                <w:lang w:eastAsia="en-GB"/>
              </w:rPr>
              <w:t xml:space="preserve"> - The Use of Probiotics in Preterm Babies</w:t>
            </w:r>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South West Neonatal Network Guideline - The Use of Probiotics in Preterm Babies</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guidelines applies to neonatal units that fall within the South west Neonatal Network, who care for babies &lt;32 weeks gestation and/or </w:t>
            </w:r>
            <w:proofErr w:type="spellStart"/>
            <w:r w:rsidRPr="00664447">
              <w:rPr>
                <w:rFonts w:ascii="Arial" w:hAnsi="Arial" w:cs="Arial"/>
                <w:sz w:val="20"/>
                <w:szCs w:val="20"/>
              </w:rPr>
              <w:t>Birthweight</w:t>
            </w:r>
            <w:proofErr w:type="spellEnd"/>
            <w:r w:rsidRPr="00664447">
              <w:rPr>
                <w:rFonts w:ascii="Arial" w:hAnsi="Arial" w:cs="Arial"/>
                <w:sz w:val="20"/>
                <w:szCs w:val="20"/>
              </w:rPr>
              <w:t xml:space="preserve"> &lt;1500g this includes the following hospitals.</w:t>
            </w:r>
          </w:p>
        </w:tc>
        <w:tc>
          <w:tcPr>
            <w:tcW w:w="336" w:type="pct"/>
          </w:tcPr>
          <w:p w:rsidR="00BE3D31" w:rsidRPr="00664447" w:rsidRDefault="00BE3D31" w:rsidP="00BE3D31">
            <w:pPr>
              <w:rPr>
                <w:rFonts w:ascii="Arial" w:hAnsi="Arial" w:cs="Arial"/>
                <w:caps/>
                <w:sz w:val="20"/>
                <w:szCs w:val="20"/>
              </w:rPr>
            </w:pPr>
            <w:r w:rsidRPr="00664447">
              <w:rPr>
                <w:rFonts w:ascii="Arial" w:hAnsi="Arial" w:cs="Arial"/>
                <w:sz w:val="20"/>
                <w:szCs w:val="20"/>
              </w:rPr>
              <w:t>N/</w:t>
            </w:r>
            <w:r w:rsidRPr="00664447">
              <w:rPr>
                <w:rFonts w:ascii="Arial" w:hAnsi="Arial" w:cs="Arial"/>
                <w:caps/>
                <w:sz w:val="20"/>
                <w:szCs w:val="20"/>
              </w:rPr>
              <w:t>A</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16/05/2017</w:t>
            </w:r>
          </w:p>
        </w:tc>
        <w:tc>
          <w:tcPr>
            <w:tcW w:w="814"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external document</w:t>
            </w:r>
          </w:p>
        </w:tc>
        <w:tc>
          <w:tcPr>
            <w:tcW w:w="302" w:type="pct"/>
          </w:tcPr>
          <w:p w:rsidR="00BE3D31" w:rsidRPr="00664447" w:rsidRDefault="00B06411" w:rsidP="00BE3D31">
            <w:pPr>
              <w:rPr>
                <w:rFonts w:ascii="Arial" w:hAnsi="Arial" w:cs="Arial"/>
                <w:color w:val="000000"/>
                <w:sz w:val="20"/>
                <w:szCs w:val="20"/>
              </w:rPr>
            </w:pPr>
            <w:r>
              <w:rPr>
                <w:rFonts w:ascii="Arial" w:hAnsi="Arial" w:cs="Arial"/>
                <w:color w:val="000000"/>
                <w:sz w:val="20"/>
                <w:szCs w:val="20"/>
              </w:rPr>
              <w:t>No</w:t>
            </w:r>
          </w:p>
        </w:tc>
        <w:tc>
          <w:tcPr>
            <w:tcW w:w="315" w:type="pct"/>
          </w:tcPr>
          <w:p w:rsidR="00BE3D31" w:rsidRPr="00664447" w:rsidRDefault="00B06411" w:rsidP="00BE3D31">
            <w:pPr>
              <w:rPr>
                <w:rFonts w:ascii="Arial" w:hAnsi="Arial" w:cs="Arial"/>
                <w:color w:val="000000"/>
                <w:sz w:val="20"/>
                <w:szCs w:val="20"/>
              </w:rPr>
            </w:pPr>
            <w:r>
              <w:rPr>
                <w:rFonts w:ascii="Arial" w:hAnsi="Arial" w:cs="Arial"/>
                <w:color w:val="000000"/>
                <w:sz w:val="20"/>
                <w:szCs w:val="20"/>
              </w:rPr>
              <w:t xml:space="preserve">Yes if applicable </w:t>
            </w:r>
          </w:p>
        </w:tc>
      </w:tr>
      <w:tr w:rsidR="00BE3D31" w:rsidTr="00B06411">
        <w:trPr>
          <w:cantSplit/>
          <w:tblHeader/>
        </w:trPr>
        <w:tc>
          <w:tcPr>
            <w:tcW w:w="611" w:type="pct"/>
          </w:tcPr>
          <w:p w:rsidR="00BE3D31" w:rsidRPr="00F754A0" w:rsidRDefault="00BE3D31" w:rsidP="00BE3D31">
            <w:pPr>
              <w:rPr>
                <w:rFonts w:ascii="Arial" w:hAnsi="Arial" w:cs="Arial"/>
                <w:b/>
                <w:color w:val="000000" w:themeColor="text1"/>
                <w:sz w:val="20"/>
                <w:szCs w:val="20"/>
              </w:rPr>
            </w:pPr>
            <w:r w:rsidRPr="00F754A0">
              <w:rPr>
                <w:rFonts w:ascii="Arial" w:eastAsia="Times New Roman" w:hAnsi="Arial" w:cs="Arial"/>
                <w:b/>
                <w:color w:val="000000" w:themeColor="text1"/>
                <w:sz w:val="20"/>
                <w:szCs w:val="20"/>
                <w:lang w:eastAsia="en-GB"/>
              </w:rPr>
              <w:t>The Safe Use, Operation and Management of the McKinley T34 Ambulatory Syringe Driver – Subcutaneous Route Only. (Adults only) Competency</w:t>
            </w:r>
          </w:p>
        </w:tc>
        <w:tc>
          <w:tcPr>
            <w:tcW w:w="610" w:type="pct"/>
          </w:tcPr>
          <w:p w:rsidR="00BE3D31" w:rsidRPr="00664447" w:rsidRDefault="00BE3D31" w:rsidP="00BE3D31">
            <w:pPr>
              <w:rPr>
                <w:rFonts w:ascii="Arial" w:hAnsi="Arial" w:cs="Arial"/>
                <w:color w:val="000000" w:themeColor="text1"/>
                <w:sz w:val="20"/>
                <w:szCs w:val="20"/>
              </w:rPr>
            </w:pPr>
            <w:r w:rsidRPr="00664447">
              <w:rPr>
                <w:rFonts w:ascii="Arial" w:eastAsia="Times New Roman" w:hAnsi="Arial" w:cs="Arial"/>
                <w:color w:val="0000FF"/>
                <w:sz w:val="20"/>
                <w:szCs w:val="20"/>
                <w:u w:val="single"/>
                <w:lang w:eastAsia="en-GB"/>
              </w:rPr>
              <w:t xml:space="preserve">The Safe Use, Operation and Management of the McKinley T34 Ambulatory </w:t>
            </w:r>
            <w:hyperlink r:id="rId11" w:history="1">
              <w:r w:rsidRPr="00674612">
                <w:rPr>
                  <w:rStyle w:val="Hyperlink"/>
                  <w:rFonts w:ascii="Arial" w:eastAsia="Times New Roman" w:hAnsi="Arial" w:cs="Arial"/>
                  <w:sz w:val="20"/>
                  <w:szCs w:val="20"/>
                  <w:lang w:eastAsia="en-GB"/>
                </w:rPr>
                <w:t>Syringe</w:t>
              </w:r>
            </w:hyperlink>
            <w:r w:rsidRPr="00664447">
              <w:rPr>
                <w:rFonts w:ascii="Arial" w:eastAsia="Times New Roman" w:hAnsi="Arial" w:cs="Arial"/>
                <w:color w:val="0000FF"/>
                <w:sz w:val="20"/>
                <w:szCs w:val="20"/>
                <w:u w:val="single"/>
                <w:lang w:eastAsia="en-GB"/>
              </w:rPr>
              <w:t xml:space="preserve"> Driver – Subcutaneous Route Only. (Adults only) Competency</w:t>
            </w:r>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This is the competency for the safe use, operation and management of the McKinley T34 Ambulatory Syringe Driver – Subcutaneous route only. (Adults only)</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Trust registered clinical employees</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1.0</w:t>
            </w:r>
          </w:p>
        </w:tc>
        <w:tc>
          <w:tcPr>
            <w:tcW w:w="292" w:type="pct"/>
          </w:tcPr>
          <w:p w:rsidR="00BE3D31" w:rsidRPr="00664447" w:rsidRDefault="00BE3D31" w:rsidP="00BE3D31">
            <w:pPr>
              <w:rPr>
                <w:rFonts w:ascii="Arial" w:hAnsi="Arial" w:cs="Arial"/>
                <w:bCs/>
                <w:color w:val="000000"/>
                <w:sz w:val="20"/>
                <w:szCs w:val="20"/>
              </w:rPr>
            </w:pPr>
            <w:r w:rsidRPr="00664447">
              <w:rPr>
                <w:rFonts w:ascii="Arial" w:hAnsi="Arial" w:cs="Arial"/>
                <w:bCs/>
                <w:color w:val="000000"/>
                <w:sz w:val="20"/>
                <w:szCs w:val="20"/>
              </w:rPr>
              <w:t>15/05/2017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was a full review so treat all content as fully revised. </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No</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Only of advised to do so</w:t>
            </w:r>
          </w:p>
        </w:tc>
      </w:tr>
      <w:tr w:rsidR="00BE3D31" w:rsidTr="00B06411">
        <w:trPr>
          <w:cantSplit/>
          <w:tblHeader/>
        </w:trPr>
        <w:tc>
          <w:tcPr>
            <w:tcW w:w="611" w:type="pct"/>
          </w:tcPr>
          <w:p w:rsidR="00BE3D31" w:rsidRPr="003544EE" w:rsidRDefault="00BE3D31" w:rsidP="00BE3D31">
            <w:pPr>
              <w:rPr>
                <w:rFonts w:ascii="Arial" w:hAnsi="Arial" w:cs="Arial"/>
                <w:b/>
                <w:sz w:val="20"/>
                <w:szCs w:val="20"/>
              </w:rPr>
            </w:pPr>
            <w:r w:rsidRPr="003544EE">
              <w:rPr>
                <w:rFonts w:ascii="Arial" w:eastAsia="Times New Roman" w:hAnsi="Arial" w:cs="Arial"/>
                <w:b/>
                <w:sz w:val="20"/>
                <w:szCs w:val="20"/>
                <w:lang w:eastAsia="en-GB"/>
              </w:rPr>
              <w:lastRenderedPageBreak/>
              <w:t>Trustwide Transportation of Blood and Blood Components from a Designated Blood Refrigerator or Platelet Agitator Competency</w:t>
            </w:r>
          </w:p>
        </w:tc>
        <w:tc>
          <w:tcPr>
            <w:tcW w:w="610" w:type="pct"/>
          </w:tcPr>
          <w:p w:rsidR="00BE3D31" w:rsidRPr="00664447" w:rsidRDefault="00BE3D31" w:rsidP="00BE3D31">
            <w:pPr>
              <w:rPr>
                <w:rFonts w:ascii="Arial" w:hAnsi="Arial" w:cs="Arial"/>
                <w:color w:val="000000" w:themeColor="text1"/>
                <w:sz w:val="20"/>
                <w:szCs w:val="20"/>
              </w:rPr>
            </w:pPr>
            <w:r w:rsidRPr="00664447">
              <w:rPr>
                <w:rFonts w:ascii="Arial" w:eastAsia="Times New Roman" w:hAnsi="Arial" w:cs="Arial"/>
                <w:color w:val="0000FF"/>
                <w:sz w:val="20"/>
                <w:szCs w:val="20"/>
                <w:u w:val="single"/>
                <w:lang w:eastAsia="en-GB"/>
              </w:rPr>
              <w:t xml:space="preserve">Trustwide Transportation of Blood and Blood Components from a </w:t>
            </w:r>
            <w:hyperlink r:id="rId12" w:history="1">
              <w:r w:rsidRPr="00674612">
                <w:rPr>
                  <w:rStyle w:val="Hyperlink"/>
                  <w:rFonts w:ascii="Arial" w:eastAsia="Times New Roman" w:hAnsi="Arial" w:cs="Arial"/>
                  <w:sz w:val="20"/>
                  <w:szCs w:val="20"/>
                  <w:lang w:eastAsia="en-GB"/>
                </w:rPr>
                <w:t>Designated</w:t>
              </w:r>
            </w:hyperlink>
            <w:r w:rsidRPr="00664447">
              <w:rPr>
                <w:rFonts w:ascii="Arial" w:eastAsia="Times New Roman" w:hAnsi="Arial" w:cs="Arial"/>
                <w:color w:val="0000FF"/>
                <w:sz w:val="20"/>
                <w:szCs w:val="20"/>
                <w:u w:val="single"/>
                <w:lang w:eastAsia="en-GB"/>
              </w:rPr>
              <w:t xml:space="preserve"> Blood Refrigerator or Platelet Agitator Competency</w:t>
            </w:r>
          </w:p>
        </w:tc>
        <w:tc>
          <w:tcPr>
            <w:tcW w:w="7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competency is designed to ensure that relevant staff are competency assessed against standardised procedures for the removal/ return and transportation of blood and blood components within </w:t>
            </w:r>
            <w:proofErr w:type="gramStart"/>
            <w:r w:rsidRPr="00664447">
              <w:rPr>
                <w:rFonts w:ascii="Arial" w:hAnsi="Arial" w:cs="Arial"/>
                <w:sz w:val="20"/>
                <w:szCs w:val="20"/>
              </w:rPr>
              <w:t>the  Trust</w:t>
            </w:r>
            <w:proofErr w:type="gramEnd"/>
            <w:r w:rsidRPr="00664447">
              <w:rPr>
                <w:rFonts w:ascii="Arial" w:hAnsi="Arial" w:cs="Arial"/>
                <w:sz w:val="20"/>
                <w:szCs w:val="20"/>
              </w:rPr>
              <w:t xml:space="preserve"> and relevant community settings.</w:t>
            </w:r>
          </w:p>
        </w:tc>
        <w:tc>
          <w:tcPr>
            <w:tcW w:w="1006" w:type="pct"/>
          </w:tcPr>
          <w:p w:rsidR="00BE3D31" w:rsidRPr="00664447" w:rsidRDefault="00BE3D31" w:rsidP="00BE3D31">
            <w:pPr>
              <w:rPr>
                <w:rFonts w:ascii="Arial" w:hAnsi="Arial" w:cs="Arial"/>
                <w:sz w:val="20"/>
                <w:szCs w:val="20"/>
              </w:rPr>
            </w:pPr>
            <w:r w:rsidRPr="00664447">
              <w:rPr>
                <w:rFonts w:ascii="Arial" w:hAnsi="Arial" w:cs="Arial"/>
                <w:sz w:val="20"/>
                <w:szCs w:val="20"/>
              </w:rPr>
              <w:t>All employees involved solely in the blood collection &amp; transportation process</w:t>
            </w:r>
          </w:p>
        </w:tc>
        <w:tc>
          <w:tcPr>
            <w:tcW w:w="336" w:type="pct"/>
          </w:tcPr>
          <w:p w:rsidR="00BE3D31" w:rsidRPr="00664447" w:rsidRDefault="00BE3D31" w:rsidP="00BE3D31">
            <w:pPr>
              <w:rPr>
                <w:rFonts w:ascii="Arial" w:hAnsi="Arial" w:cs="Arial"/>
                <w:sz w:val="20"/>
                <w:szCs w:val="20"/>
              </w:rPr>
            </w:pPr>
            <w:r w:rsidRPr="00664447">
              <w:rPr>
                <w:rFonts w:ascii="Arial" w:hAnsi="Arial" w:cs="Arial"/>
                <w:sz w:val="20"/>
                <w:szCs w:val="20"/>
              </w:rPr>
              <w:t>1.0</w:t>
            </w:r>
          </w:p>
        </w:tc>
        <w:tc>
          <w:tcPr>
            <w:tcW w:w="292" w:type="pct"/>
          </w:tcPr>
          <w:p w:rsidR="00BE3D31" w:rsidRPr="00664447" w:rsidRDefault="00BE3D31" w:rsidP="00BE3D31">
            <w:pPr>
              <w:rPr>
                <w:rFonts w:ascii="Arial" w:hAnsi="Arial" w:cs="Arial"/>
                <w:color w:val="000000"/>
                <w:sz w:val="20"/>
                <w:szCs w:val="20"/>
              </w:rPr>
            </w:pPr>
            <w:r w:rsidRPr="00664447">
              <w:rPr>
                <w:rFonts w:ascii="Arial" w:hAnsi="Arial" w:cs="Arial"/>
                <w:color w:val="000000"/>
                <w:sz w:val="20"/>
                <w:szCs w:val="20"/>
              </w:rPr>
              <w:t>18/05/2017</w:t>
            </w:r>
          </w:p>
        </w:tc>
        <w:tc>
          <w:tcPr>
            <w:tcW w:w="814" w:type="pct"/>
          </w:tcPr>
          <w:p w:rsidR="00BE3D31" w:rsidRPr="00664447" w:rsidRDefault="00BE3D31" w:rsidP="00BE3D31">
            <w:pPr>
              <w:rPr>
                <w:rFonts w:ascii="Arial" w:hAnsi="Arial" w:cs="Arial"/>
                <w:sz w:val="20"/>
                <w:szCs w:val="20"/>
              </w:rPr>
            </w:pPr>
            <w:r w:rsidRPr="00664447">
              <w:rPr>
                <w:rFonts w:ascii="Arial" w:hAnsi="Arial" w:cs="Arial"/>
                <w:sz w:val="20"/>
                <w:szCs w:val="20"/>
              </w:rPr>
              <w:t xml:space="preserve">This was a full review so treat all content as fully revised. </w:t>
            </w:r>
          </w:p>
        </w:tc>
        <w:tc>
          <w:tcPr>
            <w:tcW w:w="302" w:type="pct"/>
          </w:tcPr>
          <w:p w:rsidR="00BE3D31" w:rsidRPr="00664447" w:rsidRDefault="00B06411" w:rsidP="00BE3D31">
            <w:pPr>
              <w:rPr>
                <w:rFonts w:ascii="Arial" w:hAnsi="Arial" w:cs="Arial"/>
                <w:sz w:val="20"/>
                <w:szCs w:val="20"/>
              </w:rPr>
            </w:pPr>
            <w:r>
              <w:rPr>
                <w:rFonts w:ascii="Arial" w:hAnsi="Arial" w:cs="Arial"/>
                <w:sz w:val="20"/>
                <w:szCs w:val="20"/>
              </w:rPr>
              <w:t>No</w:t>
            </w:r>
          </w:p>
        </w:tc>
        <w:tc>
          <w:tcPr>
            <w:tcW w:w="315" w:type="pct"/>
          </w:tcPr>
          <w:p w:rsidR="00BE3D31" w:rsidRPr="00664447" w:rsidRDefault="00B06411" w:rsidP="00BE3D31">
            <w:pPr>
              <w:rPr>
                <w:rFonts w:ascii="Arial" w:hAnsi="Arial" w:cs="Arial"/>
                <w:sz w:val="20"/>
                <w:szCs w:val="20"/>
              </w:rPr>
            </w:pPr>
            <w:r>
              <w:rPr>
                <w:rFonts w:ascii="Arial" w:hAnsi="Arial" w:cs="Arial"/>
                <w:sz w:val="20"/>
                <w:szCs w:val="20"/>
              </w:rPr>
              <w:t xml:space="preserve">No </w:t>
            </w:r>
          </w:p>
        </w:tc>
      </w:tr>
      <w:tr w:rsidR="0003538A" w:rsidTr="003544EE">
        <w:trPr>
          <w:cantSplit/>
          <w:tblHeader/>
        </w:trPr>
        <w:tc>
          <w:tcPr>
            <w:tcW w:w="611" w:type="pct"/>
          </w:tcPr>
          <w:p w:rsidR="0003538A" w:rsidRPr="003544EE" w:rsidRDefault="0003538A" w:rsidP="003544EE">
            <w:pPr>
              <w:rPr>
                <w:rFonts w:ascii="Arial" w:hAnsi="Arial" w:cs="Arial"/>
                <w:b/>
                <w:sz w:val="20"/>
                <w:szCs w:val="20"/>
              </w:rPr>
            </w:pPr>
            <w:r w:rsidRPr="003544EE">
              <w:rPr>
                <w:rFonts w:ascii="Arial" w:hAnsi="Arial" w:cs="Arial"/>
                <w:b/>
                <w:sz w:val="20"/>
                <w:szCs w:val="20"/>
              </w:rPr>
              <w:t xml:space="preserve">Pharmacist Independent Prescribers for Adult Patients in the Theatres Admission Lounge, </w:t>
            </w:r>
            <w:r w:rsidRPr="003544EE">
              <w:rPr>
                <w:rFonts w:ascii="Arial" w:hAnsi="Arial" w:cs="Arial"/>
                <w:b/>
                <w:sz w:val="20"/>
                <w:szCs w:val="20"/>
              </w:rPr>
              <w:br/>
              <w:t xml:space="preserve">Great Western Hospital Protocol </w:t>
            </w:r>
            <w:r w:rsidRPr="003544EE">
              <w:rPr>
                <w:rFonts w:ascii="Arial" w:hAnsi="Arial" w:cs="Arial"/>
                <w:b/>
                <w:sz w:val="20"/>
                <w:szCs w:val="20"/>
              </w:rPr>
              <w:br/>
            </w:r>
          </w:p>
          <w:p w:rsidR="0003538A" w:rsidRPr="003544EE" w:rsidRDefault="0003538A" w:rsidP="003544EE">
            <w:pPr>
              <w:rPr>
                <w:rFonts w:ascii="Arial" w:eastAsia="Times New Roman" w:hAnsi="Arial" w:cs="Arial"/>
                <w:b/>
                <w:sz w:val="20"/>
                <w:szCs w:val="20"/>
                <w:lang w:eastAsia="en-GB"/>
              </w:rPr>
            </w:pPr>
          </w:p>
        </w:tc>
        <w:tc>
          <w:tcPr>
            <w:tcW w:w="610" w:type="pct"/>
          </w:tcPr>
          <w:p w:rsidR="0003538A" w:rsidRPr="003544EE" w:rsidRDefault="00D050CD" w:rsidP="003544EE">
            <w:pPr>
              <w:rPr>
                <w:rFonts w:ascii="Arial" w:hAnsi="Arial" w:cs="Arial"/>
                <w:sz w:val="20"/>
                <w:szCs w:val="20"/>
              </w:rPr>
            </w:pPr>
            <w:hyperlink r:id="rId13" w:history="1">
              <w:r w:rsidR="0003538A" w:rsidRPr="003544EE">
                <w:rPr>
                  <w:rStyle w:val="Hyperlink"/>
                  <w:rFonts w:ascii="Arial" w:hAnsi="Arial" w:cs="Arial"/>
                  <w:sz w:val="20"/>
                  <w:szCs w:val="20"/>
                </w:rPr>
                <w:t xml:space="preserve">Pharmacist Independent Prescribers for Adult Patients in the Theatres Admission Lounge, </w:t>
              </w:r>
              <w:r w:rsidR="0003538A" w:rsidRPr="003544EE">
                <w:rPr>
                  <w:rStyle w:val="Hyperlink"/>
                  <w:rFonts w:ascii="Arial" w:hAnsi="Arial" w:cs="Arial"/>
                  <w:sz w:val="20"/>
                  <w:szCs w:val="20"/>
                </w:rPr>
                <w:br/>
                <w:t>Great Western Hospital Protocol</w:t>
              </w:r>
            </w:hyperlink>
            <w:r w:rsidR="0003538A" w:rsidRPr="003544EE">
              <w:rPr>
                <w:rFonts w:ascii="Arial" w:hAnsi="Arial" w:cs="Arial"/>
                <w:sz w:val="20"/>
                <w:szCs w:val="20"/>
              </w:rPr>
              <w:t xml:space="preserve"> </w:t>
            </w:r>
            <w:r w:rsidR="0003538A" w:rsidRPr="003544EE">
              <w:rPr>
                <w:rFonts w:ascii="Arial" w:hAnsi="Arial" w:cs="Arial"/>
                <w:sz w:val="20"/>
                <w:szCs w:val="20"/>
              </w:rPr>
              <w:br/>
            </w:r>
          </w:p>
          <w:p w:rsidR="0003538A" w:rsidRPr="003544EE" w:rsidRDefault="0003538A" w:rsidP="003544EE">
            <w:pPr>
              <w:rPr>
                <w:rFonts w:ascii="Arial" w:eastAsia="Times New Roman" w:hAnsi="Arial" w:cs="Arial"/>
                <w:b/>
                <w:sz w:val="20"/>
                <w:szCs w:val="20"/>
                <w:lang w:eastAsia="en-GB"/>
              </w:rPr>
            </w:pPr>
          </w:p>
        </w:tc>
        <w:tc>
          <w:tcPr>
            <w:tcW w:w="714" w:type="pct"/>
          </w:tcPr>
          <w:p w:rsidR="0003538A" w:rsidRDefault="0003538A" w:rsidP="003544EE">
            <w:pPr>
              <w:rPr>
                <w:rFonts w:ascii="Arial" w:hAnsi="Arial" w:cs="Arial"/>
                <w:color w:val="000000"/>
                <w:sz w:val="20"/>
                <w:szCs w:val="20"/>
              </w:rPr>
            </w:pPr>
            <w:r>
              <w:rPr>
                <w:rFonts w:ascii="Arial" w:hAnsi="Arial" w:cs="Arial"/>
                <w:color w:val="000000"/>
                <w:sz w:val="20"/>
                <w:szCs w:val="20"/>
              </w:rPr>
              <w:t xml:space="preserve">This protocol sets out the agreed service provision of Pharmacist Independent Prescribers (PIPs) writing drug charts for elective orthopaedic patients (who are being admitted to Aldbourne ward postoperatively) in the Theatres Admission Lounge (TAL).  </w:t>
            </w:r>
          </w:p>
        </w:tc>
        <w:tc>
          <w:tcPr>
            <w:tcW w:w="1006" w:type="pct"/>
          </w:tcPr>
          <w:p w:rsidR="0003538A" w:rsidRDefault="0003538A" w:rsidP="003544EE">
            <w:pPr>
              <w:rPr>
                <w:rFonts w:ascii="Arial" w:hAnsi="Arial" w:cs="Arial"/>
                <w:color w:val="000000"/>
                <w:sz w:val="20"/>
                <w:szCs w:val="20"/>
              </w:rPr>
            </w:pPr>
            <w:r>
              <w:rPr>
                <w:rFonts w:ascii="Arial" w:hAnsi="Arial" w:cs="Arial"/>
                <w:color w:val="000000"/>
                <w:sz w:val="20"/>
                <w:szCs w:val="20"/>
              </w:rPr>
              <w:t>Orthopaedic Department employees</w:t>
            </w:r>
          </w:p>
        </w:tc>
        <w:tc>
          <w:tcPr>
            <w:tcW w:w="336" w:type="pct"/>
          </w:tcPr>
          <w:p w:rsidR="0003538A" w:rsidRPr="00664447" w:rsidRDefault="0003538A" w:rsidP="003544EE">
            <w:pPr>
              <w:rPr>
                <w:rFonts w:ascii="Arial" w:hAnsi="Arial" w:cs="Arial"/>
                <w:sz w:val="20"/>
                <w:szCs w:val="20"/>
              </w:rPr>
            </w:pPr>
            <w:r>
              <w:rPr>
                <w:rFonts w:ascii="Arial" w:hAnsi="Arial" w:cs="Arial"/>
                <w:sz w:val="20"/>
                <w:szCs w:val="20"/>
              </w:rPr>
              <w:t>1.0</w:t>
            </w:r>
          </w:p>
        </w:tc>
        <w:tc>
          <w:tcPr>
            <w:tcW w:w="292" w:type="pct"/>
          </w:tcPr>
          <w:p w:rsidR="0003538A" w:rsidRPr="00664447" w:rsidRDefault="0003538A" w:rsidP="003544EE">
            <w:pPr>
              <w:rPr>
                <w:rFonts w:ascii="Arial" w:hAnsi="Arial" w:cs="Arial"/>
                <w:color w:val="000000"/>
                <w:sz w:val="20"/>
                <w:szCs w:val="20"/>
              </w:rPr>
            </w:pPr>
            <w:r>
              <w:rPr>
                <w:rFonts w:ascii="Arial" w:hAnsi="Arial" w:cs="Arial"/>
                <w:color w:val="000000"/>
                <w:sz w:val="20"/>
                <w:szCs w:val="20"/>
              </w:rPr>
              <w:t>30/05/17</w:t>
            </w:r>
          </w:p>
        </w:tc>
        <w:tc>
          <w:tcPr>
            <w:tcW w:w="814" w:type="pct"/>
          </w:tcPr>
          <w:p w:rsidR="0003538A" w:rsidRDefault="0003538A" w:rsidP="003544EE">
            <w:pPr>
              <w:rPr>
                <w:rFonts w:ascii="Arial" w:hAnsi="Arial" w:cs="Arial"/>
                <w:color w:val="000000"/>
                <w:sz w:val="20"/>
                <w:szCs w:val="20"/>
              </w:rPr>
            </w:pPr>
            <w:r w:rsidRPr="00664447">
              <w:rPr>
                <w:rFonts w:ascii="Arial" w:hAnsi="Arial" w:cs="Arial"/>
                <w:sz w:val="20"/>
                <w:szCs w:val="20"/>
              </w:rPr>
              <w:t>This was a full review so treat all content as fully revised.</w:t>
            </w:r>
          </w:p>
        </w:tc>
        <w:tc>
          <w:tcPr>
            <w:tcW w:w="302" w:type="pct"/>
          </w:tcPr>
          <w:p w:rsidR="0003538A" w:rsidRPr="00664447" w:rsidRDefault="0003538A" w:rsidP="00592972">
            <w:pPr>
              <w:rPr>
                <w:rFonts w:ascii="Arial" w:hAnsi="Arial" w:cs="Arial"/>
                <w:sz w:val="20"/>
                <w:szCs w:val="20"/>
              </w:rPr>
            </w:pPr>
            <w:r>
              <w:rPr>
                <w:rFonts w:ascii="Arial" w:hAnsi="Arial" w:cs="Arial"/>
                <w:sz w:val="20"/>
                <w:szCs w:val="20"/>
              </w:rPr>
              <w:t>No</w:t>
            </w:r>
          </w:p>
        </w:tc>
        <w:tc>
          <w:tcPr>
            <w:tcW w:w="315" w:type="pct"/>
          </w:tcPr>
          <w:p w:rsidR="0003538A" w:rsidRPr="00664447" w:rsidRDefault="0003538A" w:rsidP="00592972">
            <w:pPr>
              <w:rPr>
                <w:rFonts w:ascii="Arial" w:hAnsi="Arial" w:cs="Arial"/>
                <w:sz w:val="20"/>
                <w:szCs w:val="20"/>
              </w:rPr>
            </w:pPr>
            <w:r>
              <w:rPr>
                <w:rFonts w:ascii="Arial" w:hAnsi="Arial" w:cs="Arial"/>
                <w:sz w:val="20"/>
                <w:szCs w:val="20"/>
              </w:rPr>
              <w:t xml:space="preserve">No </w:t>
            </w:r>
          </w:p>
        </w:tc>
      </w:tr>
      <w:tr w:rsidR="0003538A" w:rsidTr="003544EE">
        <w:trPr>
          <w:cantSplit/>
          <w:tblHeader/>
        </w:trPr>
        <w:tc>
          <w:tcPr>
            <w:tcW w:w="611" w:type="pct"/>
          </w:tcPr>
          <w:p w:rsidR="0003538A" w:rsidRPr="003544EE" w:rsidRDefault="0003538A" w:rsidP="003544EE">
            <w:pPr>
              <w:rPr>
                <w:rFonts w:ascii="Arial" w:hAnsi="Arial" w:cs="Arial"/>
                <w:b/>
                <w:sz w:val="20"/>
                <w:szCs w:val="20"/>
              </w:rPr>
            </w:pPr>
            <w:r w:rsidRPr="003544EE">
              <w:rPr>
                <w:rFonts w:ascii="Arial" w:hAnsi="Arial" w:cs="Arial"/>
                <w:b/>
                <w:sz w:val="20"/>
                <w:szCs w:val="20"/>
              </w:rPr>
              <w:t>Vaccination for Adult Patients Prior to and during Chemotherapy Clinical Guideline</w:t>
            </w:r>
          </w:p>
          <w:p w:rsidR="0003538A" w:rsidRPr="003544EE" w:rsidRDefault="0003538A" w:rsidP="003544EE">
            <w:pPr>
              <w:rPr>
                <w:rFonts w:ascii="Arial" w:hAnsi="Arial" w:cs="Arial"/>
                <w:b/>
                <w:sz w:val="20"/>
                <w:szCs w:val="20"/>
              </w:rPr>
            </w:pPr>
          </w:p>
        </w:tc>
        <w:tc>
          <w:tcPr>
            <w:tcW w:w="610" w:type="pct"/>
          </w:tcPr>
          <w:p w:rsidR="0003538A" w:rsidRPr="003544EE" w:rsidRDefault="00D050CD" w:rsidP="003544EE">
            <w:pPr>
              <w:rPr>
                <w:rFonts w:ascii="Arial" w:hAnsi="Arial" w:cs="Arial"/>
                <w:sz w:val="20"/>
                <w:szCs w:val="20"/>
              </w:rPr>
            </w:pPr>
            <w:hyperlink r:id="rId14" w:history="1">
              <w:r w:rsidR="0003538A" w:rsidRPr="003544EE">
                <w:rPr>
                  <w:rStyle w:val="Hyperlink"/>
                  <w:rFonts w:ascii="Arial" w:hAnsi="Arial" w:cs="Arial"/>
                  <w:sz w:val="20"/>
                  <w:szCs w:val="20"/>
                </w:rPr>
                <w:t>Vaccination for Adult Patients Prior to and during Chemotherapy Clinical Guideline</w:t>
              </w:r>
            </w:hyperlink>
          </w:p>
          <w:p w:rsidR="0003538A" w:rsidRPr="003544EE" w:rsidRDefault="0003538A" w:rsidP="003544EE">
            <w:pPr>
              <w:rPr>
                <w:rFonts w:ascii="Arial" w:hAnsi="Arial" w:cs="Arial"/>
                <w:b/>
                <w:sz w:val="20"/>
                <w:szCs w:val="20"/>
              </w:rPr>
            </w:pPr>
          </w:p>
        </w:tc>
        <w:tc>
          <w:tcPr>
            <w:tcW w:w="714" w:type="pct"/>
          </w:tcPr>
          <w:p w:rsidR="0003538A" w:rsidRDefault="0003538A" w:rsidP="003544EE">
            <w:pPr>
              <w:rPr>
                <w:rFonts w:ascii="Arial" w:hAnsi="Arial" w:cs="Arial"/>
                <w:color w:val="000000"/>
              </w:rPr>
            </w:pPr>
            <w:r>
              <w:rPr>
                <w:rFonts w:ascii="Arial" w:hAnsi="Arial" w:cs="Arial"/>
                <w:color w:val="000000"/>
              </w:rPr>
              <w:t xml:space="preserve">This documents provides guidance for employees to advise the patient when to </w:t>
            </w:r>
            <w:proofErr w:type="gramStart"/>
            <w:r>
              <w:rPr>
                <w:rFonts w:ascii="Arial" w:hAnsi="Arial" w:cs="Arial"/>
                <w:color w:val="000000"/>
              </w:rPr>
              <w:t>seek  General</w:t>
            </w:r>
            <w:proofErr w:type="gramEnd"/>
            <w:r>
              <w:rPr>
                <w:rFonts w:ascii="Arial" w:hAnsi="Arial" w:cs="Arial"/>
                <w:color w:val="000000"/>
              </w:rPr>
              <w:t xml:space="preserve"> Practitioner administration of vaccinations prior to and during chemotherapy.  This guideline is to clarify the guidance for vaccination of chemotherapy patients.</w:t>
            </w:r>
          </w:p>
        </w:tc>
        <w:tc>
          <w:tcPr>
            <w:tcW w:w="1006" w:type="pct"/>
          </w:tcPr>
          <w:p w:rsidR="0003538A" w:rsidRDefault="0003538A" w:rsidP="003544EE">
            <w:pPr>
              <w:rPr>
                <w:rFonts w:ascii="Arial" w:hAnsi="Arial" w:cs="Arial"/>
                <w:color w:val="000000"/>
              </w:rPr>
            </w:pPr>
            <w:r>
              <w:rPr>
                <w:rFonts w:ascii="Arial" w:hAnsi="Arial" w:cs="Arial"/>
                <w:color w:val="000000"/>
              </w:rPr>
              <w:t>All chemotherapy employees (Medical, Nursing)</w:t>
            </w:r>
          </w:p>
        </w:tc>
        <w:tc>
          <w:tcPr>
            <w:tcW w:w="336" w:type="pct"/>
          </w:tcPr>
          <w:p w:rsidR="0003538A" w:rsidRPr="00664447" w:rsidRDefault="0003538A" w:rsidP="003544EE">
            <w:pPr>
              <w:rPr>
                <w:rFonts w:ascii="Arial" w:hAnsi="Arial" w:cs="Arial"/>
                <w:sz w:val="20"/>
                <w:szCs w:val="20"/>
              </w:rPr>
            </w:pPr>
            <w:r>
              <w:rPr>
                <w:rFonts w:ascii="Arial" w:hAnsi="Arial" w:cs="Arial"/>
                <w:sz w:val="20"/>
                <w:szCs w:val="20"/>
              </w:rPr>
              <w:t>1.0</w:t>
            </w:r>
          </w:p>
        </w:tc>
        <w:tc>
          <w:tcPr>
            <w:tcW w:w="292" w:type="pct"/>
          </w:tcPr>
          <w:p w:rsidR="0003538A" w:rsidRPr="00664447" w:rsidRDefault="0003538A" w:rsidP="003544EE">
            <w:pPr>
              <w:rPr>
                <w:rFonts w:ascii="Arial" w:hAnsi="Arial" w:cs="Arial"/>
                <w:color w:val="000000"/>
                <w:sz w:val="20"/>
                <w:szCs w:val="20"/>
              </w:rPr>
            </w:pPr>
            <w:r>
              <w:rPr>
                <w:rFonts w:ascii="Arial" w:hAnsi="Arial" w:cs="Arial"/>
                <w:color w:val="000000"/>
                <w:sz w:val="20"/>
                <w:szCs w:val="20"/>
              </w:rPr>
              <w:t>30/05/17</w:t>
            </w:r>
          </w:p>
        </w:tc>
        <w:tc>
          <w:tcPr>
            <w:tcW w:w="814" w:type="pct"/>
          </w:tcPr>
          <w:p w:rsidR="0003538A" w:rsidRDefault="0003538A" w:rsidP="003544EE">
            <w:pPr>
              <w:rPr>
                <w:rFonts w:ascii="Arial" w:hAnsi="Arial" w:cs="Arial"/>
                <w:color w:val="000000"/>
                <w:sz w:val="20"/>
                <w:szCs w:val="20"/>
              </w:rPr>
            </w:pPr>
            <w:r>
              <w:rPr>
                <w:rFonts w:ascii="Arial" w:hAnsi="Arial" w:cs="Arial"/>
                <w:color w:val="000000"/>
                <w:sz w:val="20"/>
                <w:szCs w:val="20"/>
              </w:rPr>
              <w:t xml:space="preserve">New document </w:t>
            </w:r>
          </w:p>
        </w:tc>
        <w:tc>
          <w:tcPr>
            <w:tcW w:w="302" w:type="pct"/>
          </w:tcPr>
          <w:p w:rsidR="0003538A" w:rsidRPr="00664447" w:rsidRDefault="0003538A" w:rsidP="00592972">
            <w:pPr>
              <w:rPr>
                <w:rFonts w:ascii="Arial" w:hAnsi="Arial" w:cs="Arial"/>
                <w:sz w:val="20"/>
                <w:szCs w:val="20"/>
              </w:rPr>
            </w:pPr>
            <w:r>
              <w:rPr>
                <w:rFonts w:ascii="Arial" w:hAnsi="Arial" w:cs="Arial"/>
                <w:sz w:val="20"/>
                <w:szCs w:val="20"/>
              </w:rPr>
              <w:t>No</w:t>
            </w:r>
          </w:p>
        </w:tc>
        <w:tc>
          <w:tcPr>
            <w:tcW w:w="315" w:type="pct"/>
          </w:tcPr>
          <w:p w:rsidR="0003538A" w:rsidRPr="00664447" w:rsidRDefault="0003538A" w:rsidP="00592972">
            <w:pPr>
              <w:rPr>
                <w:rFonts w:ascii="Arial" w:hAnsi="Arial" w:cs="Arial"/>
                <w:sz w:val="20"/>
                <w:szCs w:val="20"/>
              </w:rPr>
            </w:pPr>
            <w:r>
              <w:rPr>
                <w:rFonts w:ascii="Arial" w:hAnsi="Arial" w:cs="Arial"/>
                <w:sz w:val="20"/>
                <w:szCs w:val="20"/>
              </w:rPr>
              <w:t xml:space="preserve">No </w:t>
            </w:r>
          </w:p>
        </w:tc>
      </w:tr>
    </w:tbl>
    <w:p w:rsidR="00FA6030" w:rsidRDefault="00FA6030"/>
    <w:sectPr w:rsidR="00FA6030" w:rsidSect="00BE3D31">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30"/>
    <w:rsid w:val="0003538A"/>
    <w:rsid w:val="001C1A0F"/>
    <w:rsid w:val="001D46A2"/>
    <w:rsid w:val="003544EE"/>
    <w:rsid w:val="003B2F65"/>
    <w:rsid w:val="003D56D6"/>
    <w:rsid w:val="004851F6"/>
    <w:rsid w:val="004C46F3"/>
    <w:rsid w:val="00597416"/>
    <w:rsid w:val="00664447"/>
    <w:rsid w:val="00674612"/>
    <w:rsid w:val="006C05C5"/>
    <w:rsid w:val="007139F4"/>
    <w:rsid w:val="00B06411"/>
    <w:rsid w:val="00BE3D31"/>
    <w:rsid w:val="00D050CD"/>
    <w:rsid w:val="00DD3D8B"/>
    <w:rsid w:val="00ED3BFA"/>
    <w:rsid w:val="00F126A9"/>
    <w:rsid w:val="00F232FF"/>
    <w:rsid w:val="00F754A0"/>
    <w:rsid w:val="00FA5C40"/>
    <w:rsid w:val="00FA6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39F4"/>
    <w:rPr>
      <w:color w:val="0000FF" w:themeColor="hyperlink"/>
      <w:u w:val="single"/>
    </w:rPr>
  </w:style>
  <w:style w:type="character" w:styleId="FollowedHyperlink">
    <w:name w:val="FollowedHyperlink"/>
    <w:basedOn w:val="DefaultParagraphFont"/>
    <w:uiPriority w:val="99"/>
    <w:semiHidden/>
    <w:unhideWhenUsed/>
    <w:rsid w:val="00B064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39F4"/>
    <w:rPr>
      <w:color w:val="0000FF" w:themeColor="hyperlink"/>
      <w:u w:val="single"/>
    </w:rPr>
  </w:style>
  <w:style w:type="character" w:styleId="FollowedHyperlink">
    <w:name w:val="FollowedHyperlink"/>
    <w:basedOn w:val="DefaultParagraphFont"/>
    <w:uiPriority w:val="99"/>
    <w:semiHidden/>
    <w:unhideWhenUsed/>
    <w:rsid w:val="00B064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6700">
      <w:bodyDiv w:val="1"/>
      <w:marLeft w:val="0"/>
      <w:marRight w:val="0"/>
      <w:marTop w:val="0"/>
      <w:marBottom w:val="0"/>
      <w:divBdr>
        <w:top w:val="none" w:sz="0" w:space="0" w:color="auto"/>
        <w:left w:val="none" w:sz="0" w:space="0" w:color="auto"/>
        <w:bottom w:val="none" w:sz="0" w:space="0" w:color="auto"/>
        <w:right w:val="none" w:sz="0" w:space="0" w:color="auto"/>
      </w:divBdr>
    </w:div>
    <w:div w:id="179900145">
      <w:bodyDiv w:val="1"/>
      <w:marLeft w:val="0"/>
      <w:marRight w:val="0"/>
      <w:marTop w:val="0"/>
      <w:marBottom w:val="0"/>
      <w:divBdr>
        <w:top w:val="none" w:sz="0" w:space="0" w:color="auto"/>
        <w:left w:val="none" w:sz="0" w:space="0" w:color="auto"/>
        <w:bottom w:val="none" w:sz="0" w:space="0" w:color="auto"/>
        <w:right w:val="none" w:sz="0" w:space="0" w:color="auto"/>
      </w:divBdr>
    </w:div>
    <w:div w:id="205605210">
      <w:bodyDiv w:val="1"/>
      <w:marLeft w:val="0"/>
      <w:marRight w:val="0"/>
      <w:marTop w:val="0"/>
      <w:marBottom w:val="0"/>
      <w:divBdr>
        <w:top w:val="none" w:sz="0" w:space="0" w:color="auto"/>
        <w:left w:val="none" w:sz="0" w:space="0" w:color="auto"/>
        <w:bottom w:val="none" w:sz="0" w:space="0" w:color="auto"/>
        <w:right w:val="none" w:sz="0" w:space="0" w:color="auto"/>
      </w:divBdr>
    </w:div>
    <w:div w:id="232012430">
      <w:bodyDiv w:val="1"/>
      <w:marLeft w:val="0"/>
      <w:marRight w:val="0"/>
      <w:marTop w:val="0"/>
      <w:marBottom w:val="0"/>
      <w:divBdr>
        <w:top w:val="none" w:sz="0" w:space="0" w:color="auto"/>
        <w:left w:val="none" w:sz="0" w:space="0" w:color="auto"/>
        <w:bottom w:val="none" w:sz="0" w:space="0" w:color="auto"/>
        <w:right w:val="none" w:sz="0" w:space="0" w:color="auto"/>
      </w:divBdr>
    </w:div>
    <w:div w:id="232088376">
      <w:bodyDiv w:val="1"/>
      <w:marLeft w:val="0"/>
      <w:marRight w:val="0"/>
      <w:marTop w:val="0"/>
      <w:marBottom w:val="0"/>
      <w:divBdr>
        <w:top w:val="none" w:sz="0" w:space="0" w:color="auto"/>
        <w:left w:val="none" w:sz="0" w:space="0" w:color="auto"/>
        <w:bottom w:val="none" w:sz="0" w:space="0" w:color="auto"/>
        <w:right w:val="none" w:sz="0" w:space="0" w:color="auto"/>
      </w:divBdr>
    </w:div>
    <w:div w:id="250547092">
      <w:bodyDiv w:val="1"/>
      <w:marLeft w:val="0"/>
      <w:marRight w:val="0"/>
      <w:marTop w:val="0"/>
      <w:marBottom w:val="0"/>
      <w:divBdr>
        <w:top w:val="none" w:sz="0" w:space="0" w:color="auto"/>
        <w:left w:val="none" w:sz="0" w:space="0" w:color="auto"/>
        <w:bottom w:val="none" w:sz="0" w:space="0" w:color="auto"/>
        <w:right w:val="none" w:sz="0" w:space="0" w:color="auto"/>
      </w:divBdr>
    </w:div>
    <w:div w:id="291403507">
      <w:bodyDiv w:val="1"/>
      <w:marLeft w:val="0"/>
      <w:marRight w:val="0"/>
      <w:marTop w:val="0"/>
      <w:marBottom w:val="0"/>
      <w:divBdr>
        <w:top w:val="none" w:sz="0" w:space="0" w:color="auto"/>
        <w:left w:val="none" w:sz="0" w:space="0" w:color="auto"/>
        <w:bottom w:val="none" w:sz="0" w:space="0" w:color="auto"/>
        <w:right w:val="none" w:sz="0" w:space="0" w:color="auto"/>
      </w:divBdr>
    </w:div>
    <w:div w:id="299966475">
      <w:bodyDiv w:val="1"/>
      <w:marLeft w:val="0"/>
      <w:marRight w:val="0"/>
      <w:marTop w:val="0"/>
      <w:marBottom w:val="0"/>
      <w:divBdr>
        <w:top w:val="none" w:sz="0" w:space="0" w:color="auto"/>
        <w:left w:val="none" w:sz="0" w:space="0" w:color="auto"/>
        <w:bottom w:val="none" w:sz="0" w:space="0" w:color="auto"/>
        <w:right w:val="none" w:sz="0" w:space="0" w:color="auto"/>
      </w:divBdr>
    </w:div>
    <w:div w:id="352657984">
      <w:bodyDiv w:val="1"/>
      <w:marLeft w:val="0"/>
      <w:marRight w:val="0"/>
      <w:marTop w:val="0"/>
      <w:marBottom w:val="0"/>
      <w:divBdr>
        <w:top w:val="none" w:sz="0" w:space="0" w:color="auto"/>
        <w:left w:val="none" w:sz="0" w:space="0" w:color="auto"/>
        <w:bottom w:val="none" w:sz="0" w:space="0" w:color="auto"/>
        <w:right w:val="none" w:sz="0" w:space="0" w:color="auto"/>
      </w:divBdr>
    </w:div>
    <w:div w:id="376858539">
      <w:bodyDiv w:val="1"/>
      <w:marLeft w:val="0"/>
      <w:marRight w:val="0"/>
      <w:marTop w:val="0"/>
      <w:marBottom w:val="0"/>
      <w:divBdr>
        <w:top w:val="none" w:sz="0" w:space="0" w:color="auto"/>
        <w:left w:val="none" w:sz="0" w:space="0" w:color="auto"/>
        <w:bottom w:val="none" w:sz="0" w:space="0" w:color="auto"/>
        <w:right w:val="none" w:sz="0" w:space="0" w:color="auto"/>
      </w:divBdr>
    </w:div>
    <w:div w:id="394090203">
      <w:bodyDiv w:val="1"/>
      <w:marLeft w:val="0"/>
      <w:marRight w:val="0"/>
      <w:marTop w:val="0"/>
      <w:marBottom w:val="0"/>
      <w:divBdr>
        <w:top w:val="none" w:sz="0" w:space="0" w:color="auto"/>
        <w:left w:val="none" w:sz="0" w:space="0" w:color="auto"/>
        <w:bottom w:val="none" w:sz="0" w:space="0" w:color="auto"/>
        <w:right w:val="none" w:sz="0" w:space="0" w:color="auto"/>
      </w:divBdr>
    </w:div>
    <w:div w:id="424881934">
      <w:bodyDiv w:val="1"/>
      <w:marLeft w:val="0"/>
      <w:marRight w:val="0"/>
      <w:marTop w:val="0"/>
      <w:marBottom w:val="0"/>
      <w:divBdr>
        <w:top w:val="none" w:sz="0" w:space="0" w:color="auto"/>
        <w:left w:val="none" w:sz="0" w:space="0" w:color="auto"/>
        <w:bottom w:val="none" w:sz="0" w:space="0" w:color="auto"/>
        <w:right w:val="none" w:sz="0" w:space="0" w:color="auto"/>
      </w:divBdr>
    </w:div>
    <w:div w:id="451217447">
      <w:bodyDiv w:val="1"/>
      <w:marLeft w:val="0"/>
      <w:marRight w:val="0"/>
      <w:marTop w:val="0"/>
      <w:marBottom w:val="0"/>
      <w:divBdr>
        <w:top w:val="none" w:sz="0" w:space="0" w:color="auto"/>
        <w:left w:val="none" w:sz="0" w:space="0" w:color="auto"/>
        <w:bottom w:val="none" w:sz="0" w:space="0" w:color="auto"/>
        <w:right w:val="none" w:sz="0" w:space="0" w:color="auto"/>
      </w:divBdr>
    </w:div>
    <w:div w:id="687416213">
      <w:bodyDiv w:val="1"/>
      <w:marLeft w:val="0"/>
      <w:marRight w:val="0"/>
      <w:marTop w:val="0"/>
      <w:marBottom w:val="0"/>
      <w:divBdr>
        <w:top w:val="none" w:sz="0" w:space="0" w:color="auto"/>
        <w:left w:val="none" w:sz="0" w:space="0" w:color="auto"/>
        <w:bottom w:val="none" w:sz="0" w:space="0" w:color="auto"/>
        <w:right w:val="none" w:sz="0" w:space="0" w:color="auto"/>
      </w:divBdr>
    </w:div>
    <w:div w:id="722798558">
      <w:bodyDiv w:val="1"/>
      <w:marLeft w:val="0"/>
      <w:marRight w:val="0"/>
      <w:marTop w:val="0"/>
      <w:marBottom w:val="0"/>
      <w:divBdr>
        <w:top w:val="none" w:sz="0" w:space="0" w:color="auto"/>
        <w:left w:val="none" w:sz="0" w:space="0" w:color="auto"/>
        <w:bottom w:val="none" w:sz="0" w:space="0" w:color="auto"/>
        <w:right w:val="none" w:sz="0" w:space="0" w:color="auto"/>
      </w:divBdr>
    </w:div>
    <w:div w:id="790709584">
      <w:bodyDiv w:val="1"/>
      <w:marLeft w:val="0"/>
      <w:marRight w:val="0"/>
      <w:marTop w:val="0"/>
      <w:marBottom w:val="0"/>
      <w:divBdr>
        <w:top w:val="none" w:sz="0" w:space="0" w:color="auto"/>
        <w:left w:val="none" w:sz="0" w:space="0" w:color="auto"/>
        <w:bottom w:val="none" w:sz="0" w:space="0" w:color="auto"/>
        <w:right w:val="none" w:sz="0" w:space="0" w:color="auto"/>
      </w:divBdr>
    </w:div>
    <w:div w:id="811211539">
      <w:bodyDiv w:val="1"/>
      <w:marLeft w:val="0"/>
      <w:marRight w:val="0"/>
      <w:marTop w:val="0"/>
      <w:marBottom w:val="0"/>
      <w:divBdr>
        <w:top w:val="none" w:sz="0" w:space="0" w:color="auto"/>
        <w:left w:val="none" w:sz="0" w:space="0" w:color="auto"/>
        <w:bottom w:val="none" w:sz="0" w:space="0" w:color="auto"/>
        <w:right w:val="none" w:sz="0" w:space="0" w:color="auto"/>
      </w:divBdr>
    </w:div>
    <w:div w:id="837572752">
      <w:bodyDiv w:val="1"/>
      <w:marLeft w:val="0"/>
      <w:marRight w:val="0"/>
      <w:marTop w:val="0"/>
      <w:marBottom w:val="0"/>
      <w:divBdr>
        <w:top w:val="none" w:sz="0" w:space="0" w:color="auto"/>
        <w:left w:val="none" w:sz="0" w:space="0" w:color="auto"/>
        <w:bottom w:val="none" w:sz="0" w:space="0" w:color="auto"/>
        <w:right w:val="none" w:sz="0" w:space="0" w:color="auto"/>
      </w:divBdr>
    </w:div>
    <w:div w:id="971135351">
      <w:bodyDiv w:val="1"/>
      <w:marLeft w:val="0"/>
      <w:marRight w:val="0"/>
      <w:marTop w:val="0"/>
      <w:marBottom w:val="0"/>
      <w:divBdr>
        <w:top w:val="none" w:sz="0" w:space="0" w:color="auto"/>
        <w:left w:val="none" w:sz="0" w:space="0" w:color="auto"/>
        <w:bottom w:val="none" w:sz="0" w:space="0" w:color="auto"/>
        <w:right w:val="none" w:sz="0" w:space="0" w:color="auto"/>
      </w:divBdr>
    </w:div>
    <w:div w:id="1204824067">
      <w:bodyDiv w:val="1"/>
      <w:marLeft w:val="0"/>
      <w:marRight w:val="0"/>
      <w:marTop w:val="0"/>
      <w:marBottom w:val="0"/>
      <w:divBdr>
        <w:top w:val="none" w:sz="0" w:space="0" w:color="auto"/>
        <w:left w:val="none" w:sz="0" w:space="0" w:color="auto"/>
        <w:bottom w:val="none" w:sz="0" w:space="0" w:color="auto"/>
        <w:right w:val="none" w:sz="0" w:space="0" w:color="auto"/>
      </w:divBdr>
    </w:div>
    <w:div w:id="1348212815">
      <w:bodyDiv w:val="1"/>
      <w:marLeft w:val="0"/>
      <w:marRight w:val="0"/>
      <w:marTop w:val="0"/>
      <w:marBottom w:val="0"/>
      <w:divBdr>
        <w:top w:val="none" w:sz="0" w:space="0" w:color="auto"/>
        <w:left w:val="none" w:sz="0" w:space="0" w:color="auto"/>
        <w:bottom w:val="none" w:sz="0" w:space="0" w:color="auto"/>
        <w:right w:val="none" w:sz="0" w:space="0" w:color="auto"/>
      </w:divBdr>
    </w:div>
    <w:div w:id="1440566249">
      <w:bodyDiv w:val="1"/>
      <w:marLeft w:val="0"/>
      <w:marRight w:val="0"/>
      <w:marTop w:val="0"/>
      <w:marBottom w:val="0"/>
      <w:divBdr>
        <w:top w:val="none" w:sz="0" w:space="0" w:color="auto"/>
        <w:left w:val="none" w:sz="0" w:space="0" w:color="auto"/>
        <w:bottom w:val="none" w:sz="0" w:space="0" w:color="auto"/>
        <w:right w:val="none" w:sz="0" w:space="0" w:color="auto"/>
      </w:divBdr>
    </w:div>
    <w:div w:id="1531530946">
      <w:bodyDiv w:val="1"/>
      <w:marLeft w:val="0"/>
      <w:marRight w:val="0"/>
      <w:marTop w:val="0"/>
      <w:marBottom w:val="0"/>
      <w:divBdr>
        <w:top w:val="none" w:sz="0" w:space="0" w:color="auto"/>
        <w:left w:val="none" w:sz="0" w:space="0" w:color="auto"/>
        <w:bottom w:val="none" w:sz="0" w:space="0" w:color="auto"/>
        <w:right w:val="none" w:sz="0" w:space="0" w:color="auto"/>
      </w:divBdr>
    </w:div>
    <w:div w:id="1540900508">
      <w:bodyDiv w:val="1"/>
      <w:marLeft w:val="0"/>
      <w:marRight w:val="0"/>
      <w:marTop w:val="0"/>
      <w:marBottom w:val="0"/>
      <w:divBdr>
        <w:top w:val="none" w:sz="0" w:space="0" w:color="auto"/>
        <w:left w:val="none" w:sz="0" w:space="0" w:color="auto"/>
        <w:bottom w:val="none" w:sz="0" w:space="0" w:color="auto"/>
        <w:right w:val="none" w:sz="0" w:space="0" w:color="auto"/>
      </w:divBdr>
    </w:div>
    <w:div w:id="1566069472">
      <w:bodyDiv w:val="1"/>
      <w:marLeft w:val="0"/>
      <w:marRight w:val="0"/>
      <w:marTop w:val="0"/>
      <w:marBottom w:val="0"/>
      <w:divBdr>
        <w:top w:val="none" w:sz="0" w:space="0" w:color="auto"/>
        <w:left w:val="none" w:sz="0" w:space="0" w:color="auto"/>
        <w:bottom w:val="none" w:sz="0" w:space="0" w:color="auto"/>
        <w:right w:val="none" w:sz="0" w:space="0" w:color="auto"/>
      </w:divBdr>
    </w:div>
    <w:div w:id="1609775095">
      <w:bodyDiv w:val="1"/>
      <w:marLeft w:val="0"/>
      <w:marRight w:val="0"/>
      <w:marTop w:val="0"/>
      <w:marBottom w:val="0"/>
      <w:divBdr>
        <w:top w:val="none" w:sz="0" w:space="0" w:color="auto"/>
        <w:left w:val="none" w:sz="0" w:space="0" w:color="auto"/>
        <w:bottom w:val="none" w:sz="0" w:space="0" w:color="auto"/>
        <w:right w:val="none" w:sz="0" w:space="0" w:color="auto"/>
      </w:divBdr>
    </w:div>
    <w:div w:id="1624925765">
      <w:bodyDiv w:val="1"/>
      <w:marLeft w:val="0"/>
      <w:marRight w:val="0"/>
      <w:marTop w:val="0"/>
      <w:marBottom w:val="0"/>
      <w:divBdr>
        <w:top w:val="none" w:sz="0" w:space="0" w:color="auto"/>
        <w:left w:val="none" w:sz="0" w:space="0" w:color="auto"/>
        <w:bottom w:val="none" w:sz="0" w:space="0" w:color="auto"/>
        <w:right w:val="none" w:sz="0" w:space="0" w:color="auto"/>
      </w:divBdr>
    </w:div>
    <w:div w:id="1644776531">
      <w:bodyDiv w:val="1"/>
      <w:marLeft w:val="0"/>
      <w:marRight w:val="0"/>
      <w:marTop w:val="0"/>
      <w:marBottom w:val="0"/>
      <w:divBdr>
        <w:top w:val="none" w:sz="0" w:space="0" w:color="auto"/>
        <w:left w:val="none" w:sz="0" w:space="0" w:color="auto"/>
        <w:bottom w:val="none" w:sz="0" w:space="0" w:color="auto"/>
        <w:right w:val="none" w:sz="0" w:space="0" w:color="auto"/>
      </w:divBdr>
    </w:div>
    <w:div w:id="1983265233">
      <w:bodyDiv w:val="1"/>
      <w:marLeft w:val="0"/>
      <w:marRight w:val="0"/>
      <w:marTop w:val="0"/>
      <w:marBottom w:val="0"/>
      <w:divBdr>
        <w:top w:val="none" w:sz="0" w:space="0" w:color="auto"/>
        <w:left w:val="none" w:sz="0" w:space="0" w:color="auto"/>
        <w:bottom w:val="none" w:sz="0" w:space="0" w:color="auto"/>
        <w:right w:val="none" w:sz="0" w:space="0" w:color="auto"/>
      </w:divBdr>
    </w:div>
    <w:div w:id="1996837088">
      <w:bodyDiv w:val="1"/>
      <w:marLeft w:val="0"/>
      <w:marRight w:val="0"/>
      <w:marTop w:val="0"/>
      <w:marBottom w:val="0"/>
      <w:divBdr>
        <w:top w:val="none" w:sz="0" w:space="0" w:color="auto"/>
        <w:left w:val="none" w:sz="0" w:space="0" w:color="auto"/>
        <w:bottom w:val="none" w:sz="0" w:space="0" w:color="auto"/>
        <w:right w:val="none" w:sz="0" w:space="0" w:color="auto"/>
      </w:divBdr>
    </w:div>
    <w:div w:id="2097436985">
      <w:bodyDiv w:val="1"/>
      <w:marLeft w:val="0"/>
      <w:marRight w:val="0"/>
      <w:marTop w:val="0"/>
      <w:marBottom w:val="0"/>
      <w:divBdr>
        <w:top w:val="none" w:sz="0" w:space="0" w:color="auto"/>
        <w:left w:val="none" w:sz="0" w:space="0" w:color="auto"/>
        <w:bottom w:val="none" w:sz="0" w:space="0" w:color="auto"/>
        <w:right w:val="none" w:sz="0" w:space="0" w:color="auto"/>
      </w:divBdr>
    </w:div>
    <w:div w:id="2099936680">
      <w:bodyDiv w:val="1"/>
      <w:marLeft w:val="0"/>
      <w:marRight w:val="0"/>
      <w:marTop w:val="0"/>
      <w:marBottom w:val="0"/>
      <w:divBdr>
        <w:top w:val="none" w:sz="0" w:space="0" w:color="auto"/>
        <w:left w:val="none" w:sz="0" w:space="0" w:color="auto"/>
        <w:bottom w:val="none" w:sz="0" w:space="0" w:color="auto"/>
        <w:right w:val="none" w:sz="0" w:space="0" w:color="auto"/>
      </w:divBdr>
    </w:div>
    <w:div w:id="21022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Trust-wide%20Documents\Maternity%20%20-%20Women's%20&amp;%20Children's\Prevention%20and%20Management%20of%20Baby%20or%20Child%20Abduction%20Policy.docx" TargetMode="External"/><Relationship Id="rId13" Type="http://schemas.openxmlformats.org/officeDocument/2006/relationships/hyperlink" Target="file:///T:\Trust-wide%20Documents\Medicines,%20Drugs%20&amp;%20Gas%20-%20Control,%20Presecripton,%20Safe,%20Storage,%20Transport,%20Administration\Pharmacist%20Independent%20Prescribers%20for%20Adult%20Patients%20in%20the%20Theatres%20Admission%20Lounge%20GWH%20Protocol.docx" TargetMode="External"/><Relationship Id="rId3" Type="http://schemas.microsoft.com/office/2007/relationships/stylesWithEffects" Target="stylesWithEffects.xml"/><Relationship Id="rId7" Type="http://schemas.openxmlformats.org/officeDocument/2006/relationships/hyperlink" Target="file:///T:\Trust-wide%20Documents\Templates%20and%20Policy%20Governance\Policy%20Procedure%20Guideline%20Template.docx" TargetMode="External"/><Relationship Id="rId12" Type="http://schemas.openxmlformats.org/officeDocument/2006/relationships/hyperlink" Target="file:///T:\Trust-wide%20Documents\Competencies\Trustwide%20Transportation%20of%20Blood%20and%20Blood%20Components%20from%20a%20Blood%20Refrigerator%20or%20Platelet%20Agitator%20Competency.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T:\Trust-wide%20Documents\HR%20&amp;%20Workforce%20%20-%20leave,%20conduct,%20absence,%20sickness,%20CPD,%20%20performance,%20induction,%20Bank,%20etc\Grievance%20Resolution%20Policy.docx" TargetMode="External"/><Relationship Id="rId11" Type="http://schemas.openxmlformats.org/officeDocument/2006/relationships/hyperlink" Target="file:///T:\Trust-wide%20Documents\Competencies\The%20Safe%20Use,%20Operation%20and%20Management%20of%20the%20T34%20Ambulatory%20Syringe%20Pump%20Driver%20&#8211;%20Subcutaneous%20(sc)%20Route%20Only.%20(Adults%20only)%20Clinical%20Competency.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T:\Trust-wide%20Documents\Maternity%20%20-%20Women's%20&amp;%20Children's\South%20West%20Neonatal%20Network%20Guideline%20-%20The%20Use%20of%20Probiotics%20in%20Preterm%20Babies.pdf" TargetMode="External"/><Relationship Id="rId4" Type="http://schemas.openxmlformats.org/officeDocument/2006/relationships/settings" Target="settings.xml"/><Relationship Id="rId9" Type="http://schemas.openxmlformats.org/officeDocument/2006/relationships/hyperlink" Target="file:///T:\Trust-wide%20Documents\Safeguarding\Safeguarding%20Adults%20at%20Risk%20Supervision%20Policy.docx" TargetMode="External"/><Relationship Id="rId14" Type="http://schemas.openxmlformats.org/officeDocument/2006/relationships/hyperlink" Target="file:///T:\Trust-wide%20Documents\Chemotherapy,%20Cancer%20and%20Oncology\Vaccination%20for%20Adult%20Patients%20Prior%20to%20and%20during%20Chemotherapy%20Clinical%20Guidelin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D16ED-0EAC-4037-B52F-4BFCFCA4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2017-09-08T14:01:00Z</dcterms:created>
  <dcterms:modified xsi:type="dcterms:W3CDTF">2017-09-08T14:01:00Z</dcterms:modified>
</cp:coreProperties>
</file>