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24" w:rsidRPr="00DB2C93" w:rsidRDefault="008C2B56" w:rsidP="004B102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 xml:space="preserve">Managers Guide to Employee Records </w:t>
      </w:r>
    </w:p>
    <w:p w:rsidR="004B1024" w:rsidRPr="008712A6" w:rsidRDefault="004B1024" w:rsidP="004B102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712A6">
        <w:rPr>
          <w:rFonts w:ascii="Arial" w:hAnsi="Arial" w:cs="Arial"/>
          <w:b/>
          <w:sz w:val="24"/>
          <w:szCs w:val="24"/>
        </w:rPr>
        <w:t>Overview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>The purpose of this guideline is to provide clarification as to what information should be held by the Great Western</w:t>
      </w:r>
      <w:r w:rsidR="000E216C">
        <w:rPr>
          <w:rFonts w:ascii="Arial" w:hAnsi="Arial" w:cs="Arial"/>
        </w:rPr>
        <w:t xml:space="preserve"> Hospitals </w:t>
      </w:r>
      <w:r w:rsidRPr="004B1024">
        <w:rPr>
          <w:rFonts w:ascii="Arial" w:hAnsi="Arial" w:cs="Arial"/>
        </w:rPr>
        <w:t>NHS Foundation Trust (hereafter refer</w:t>
      </w:r>
      <w:r w:rsidR="000E216C">
        <w:rPr>
          <w:rFonts w:ascii="Arial" w:hAnsi="Arial" w:cs="Arial"/>
        </w:rPr>
        <w:t xml:space="preserve">red to as ‘the Trust’) on </w:t>
      </w:r>
      <w:r w:rsidR="000E216C" w:rsidRPr="000E216C">
        <w:rPr>
          <w:rFonts w:ascii="Arial" w:hAnsi="Arial" w:cs="Arial"/>
        </w:rPr>
        <w:t>prospective</w:t>
      </w:r>
      <w:r w:rsidRPr="004B1024">
        <w:rPr>
          <w:rFonts w:ascii="Arial" w:hAnsi="Arial" w:cs="Arial"/>
        </w:rPr>
        <w:t>, current and ex-employees.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 xml:space="preserve">As an employer the Trust has a responsibility under the Data Protection Act (1998) to ensure that all information held on its prospective, current and </w:t>
      </w:r>
      <w:r w:rsidR="000E216C">
        <w:rPr>
          <w:rFonts w:ascii="Arial" w:hAnsi="Arial" w:cs="Arial"/>
        </w:rPr>
        <w:t xml:space="preserve">ex- employees </w:t>
      </w:r>
      <w:r w:rsidRPr="004B1024">
        <w:rPr>
          <w:rFonts w:ascii="Arial" w:hAnsi="Arial" w:cs="Arial"/>
        </w:rPr>
        <w:t>is appropriate, not excessive, securely held, accessible and destroyed in a timely way.</w:t>
      </w:r>
    </w:p>
    <w:p w:rsidR="004B1024" w:rsidRPr="008712A6" w:rsidRDefault="004B1024" w:rsidP="004B102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712A6">
        <w:rPr>
          <w:rFonts w:ascii="Arial" w:hAnsi="Arial" w:cs="Arial"/>
          <w:b/>
          <w:sz w:val="24"/>
          <w:szCs w:val="24"/>
        </w:rPr>
        <w:t>Documents - Pre-employment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>All documentation in support of a recruitment process will be collated and retained by the Recruitment Team under the job reference associated with the process.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 xml:space="preserve">Unsuccessful applications, documentation relating to the recruitment process and any pre-employment checks related to unsuccessful applicants will be destroyed </w:t>
      </w:r>
      <w:r w:rsidRPr="004B1024">
        <w:rPr>
          <w:rFonts w:ascii="Arial" w:hAnsi="Arial" w:cs="Arial"/>
          <w:b/>
        </w:rPr>
        <w:t>after 12 months</w:t>
      </w:r>
      <w:r w:rsidRPr="004B1024">
        <w:rPr>
          <w:rFonts w:ascii="Arial" w:hAnsi="Arial" w:cs="Arial"/>
        </w:rPr>
        <w:t>.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 xml:space="preserve">Information related to applicants who have withdrawn will be marked with the applicants name and job reference and destroyed after </w:t>
      </w:r>
      <w:r w:rsidRPr="004B1024">
        <w:rPr>
          <w:rFonts w:ascii="Arial" w:hAnsi="Arial" w:cs="Arial"/>
          <w:b/>
        </w:rPr>
        <w:t>12 months</w:t>
      </w:r>
      <w:r w:rsidRPr="004B1024">
        <w:rPr>
          <w:rFonts w:ascii="Arial" w:hAnsi="Arial" w:cs="Arial"/>
        </w:rPr>
        <w:t>.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>All documentation in support of the appointment of an employee will be retained within the HR department by the Recruitment function until the pre-employment checks have been completed, following which they will be securely stored within the central HR filing system. Files will be stored when the pre-emplo</w:t>
      </w:r>
      <w:r w:rsidR="000E216C">
        <w:rPr>
          <w:rFonts w:ascii="Arial" w:hAnsi="Arial" w:cs="Arial"/>
        </w:rPr>
        <w:t xml:space="preserve">yment checks have been completed </w:t>
      </w:r>
      <w:r w:rsidRPr="004B1024">
        <w:rPr>
          <w:rFonts w:ascii="Arial" w:hAnsi="Arial" w:cs="Arial"/>
        </w:rPr>
        <w:t>and files signed off as complete</w:t>
      </w:r>
      <w:r w:rsidR="000E216C">
        <w:rPr>
          <w:rFonts w:ascii="Arial" w:hAnsi="Arial" w:cs="Arial"/>
        </w:rPr>
        <w:t xml:space="preserve"> by the Recruitment Administrator</w:t>
      </w:r>
      <w:r w:rsidRPr="004B1024">
        <w:rPr>
          <w:rFonts w:ascii="Arial" w:hAnsi="Arial" w:cs="Arial"/>
        </w:rPr>
        <w:t xml:space="preserve">. </w:t>
      </w:r>
      <w:r w:rsidRPr="000E216C">
        <w:rPr>
          <w:rFonts w:ascii="Arial" w:hAnsi="Arial" w:cs="Arial"/>
          <w:i/>
        </w:rPr>
        <w:t>(Recruitment Checklist Appendix 1).</w:t>
      </w:r>
    </w:p>
    <w:p w:rsidR="00DB2C93" w:rsidRDefault="004B1024" w:rsidP="00DB2C9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712A6">
        <w:rPr>
          <w:rFonts w:ascii="Arial" w:hAnsi="Arial" w:cs="Arial"/>
          <w:b/>
          <w:sz w:val="24"/>
          <w:szCs w:val="24"/>
        </w:rPr>
        <w:t>Employee Files</w:t>
      </w:r>
    </w:p>
    <w:p w:rsidR="00DB2C93" w:rsidRPr="00DB2C93" w:rsidRDefault="00DB2C93" w:rsidP="00DB2C93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B1024" w:rsidRPr="004B1024" w:rsidRDefault="004B1024" w:rsidP="004B102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B1024">
        <w:rPr>
          <w:rFonts w:ascii="Arial" w:hAnsi="Arial" w:cs="Arial"/>
          <w:b/>
        </w:rPr>
        <w:t>HR File</w:t>
      </w:r>
    </w:p>
    <w:p w:rsidR="004B1024" w:rsidRDefault="004B1024" w:rsidP="004B1024">
      <w:pPr>
        <w:rPr>
          <w:rFonts w:ascii="Arial" w:hAnsi="Arial" w:cs="Arial"/>
          <w:i/>
        </w:rPr>
      </w:pPr>
      <w:r w:rsidRPr="004B1024">
        <w:rPr>
          <w:rFonts w:ascii="Arial" w:hAnsi="Arial" w:cs="Arial"/>
        </w:rPr>
        <w:t xml:space="preserve">Information on current employees will be stored within the central HR filing system. This will include the pre-employment checks, any formal sanctions from Employee Relations investigations and Occupational Health reports received as part of the management of the employee’s sickness </w:t>
      </w:r>
      <w:r w:rsidRPr="000E216C">
        <w:rPr>
          <w:rFonts w:ascii="Arial" w:hAnsi="Arial" w:cs="Arial"/>
          <w:i/>
        </w:rPr>
        <w:t>(see Appendix 2).</w:t>
      </w:r>
    </w:p>
    <w:p w:rsidR="004D1CA0" w:rsidRPr="004D1CA0" w:rsidRDefault="004D1CA0" w:rsidP="004D1CA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D1CA0">
        <w:rPr>
          <w:rFonts w:ascii="Arial" w:hAnsi="Arial" w:cs="Arial"/>
          <w:b/>
        </w:rPr>
        <w:t>Bank / Staffing Solutions</w:t>
      </w:r>
    </w:p>
    <w:p w:rsidR="004D1CA0" w:rsidRPr="004B1024" w:rsidRDefault="004D1CA0" w:rsidP="004B1024">
      <w:pPr>
        <w:rPr>
          <w:rFonts w:ascii="Arial" w:hAnsi="Arial" w:cs="Arial"/>
        </w:rPr>
      </w:pPr>
      <w:r w:rsidRPr="004D1CA0">
        <w:rPr>
          <w:rFonts w:ascii="Arial" w:hAnsi="Arial" w:cs="Arial"/>
        </w:rPr>
        <w:t>Information on bank staff will be stored within the central HR filing system. This will include the pre-employment checks, bank agreements, any formal sanctions from Employee Relations investigations and Occupational Health reports received as part of the management of the employee’s sickness.</w:t>
      </w:r>
    </w:p>
    <w:p w:rsidR="004B1024" w:rsidRPr="004B1024" w:rsidRDefault="004B1024" w:rsidP="004B102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B1024">
        <w:rPr>
          <w:rFonts w:ascii="Arial" w:hAnsi="Arial" w:cs="Arial"/>
          <w:b/>
        </w:rPr>
        <w:t>Local / Line Manager’s file</w:t>
      </w:r>
    </w:p>
    <w:p w:rsidR="004D1CA0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 xml:space="preserve">Annual Leave, Study Leave &amp; appraisal records will be stored on the local file with the line manager. In addition, where necessary, a manager may store informal file notes regarding the employee’s conduct or performance. File notes should be shared with the employee and </w:t>
      </w:r>
      <w:r w:rsidRPr="004B1024">
        <w:rPr>
          <w:rFonts w:ascii="Arial" w:hAnsi="Arial" w:cs="Arial"/>
        </w:rPr>
        <w:lastRenderedPageBreak/>
        <w:t xml:space="preserve">where possible signed by both parties. File notes should only relate to professional matters </w:t>
      </w:r>
      <w:r w:rsidRPr="000E216C">
        <w:rPr>
          <w:rFonts w:ascii="Arial" w:hAnsi="Arial" w:cs="Arial"/>
          <w:i/>
        </w:rPr>
        <w:t>(see Appendix 2).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>Where an employee moves departments within the Trust their local file must be transferred to their new line manager follow</w:t>
      </w:r>
      <w:r w:rsidR="004D1CA0">
        <w:rPr>
          <w:rFonts w:ascii="Arial" w:hAnsi="Arial" w:cs="Arial"/>
        </w:rPr>
        <w:t>ing the completion of the change of assignment form</w:t>
      </w:r>
      <w:r w:rsidRPr="004B1024">
        <w:rPr>
          <w:rFonts w:ascii="Arial" w:hAnsi="Arial" w:cs="Arial"/>
        </w:rPr>
        <w:t>. This should include their annual and study leave records as well as any file notes documenting concerns.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>Where an employee takes on an additional role in a different area, a copy of the existing local file should be sent to the new line manager.</w:t>
      </w:r>
    </w:p>
    <w:p w:rsidR="004B1024" w:rsidRPr="008712A6" w:rsidRDefault="004B1024" w:rsidP="004B102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712A6">
        <w:rPr>
          <w:rFonts w:ascii="Arial" w:hAnsi="Arial" w:cs="Arial"/>
          <w:b/>
          <w:sz w:val="24"/>
          <w:szCs w:val="24"/>
        </w:rPr>
        <w:t>Leavers</w:t>
      </w:r>
    </w:p>
    <w:p w:rsidR="004B1024" w:rsidRPr="004B1024" w:rsidRDefault="004B1024" w:rsidP="004B1024">
      <w:pPr>
        <w:rPr>
          <w:rFonts w:ascii="Arial" w:hAnsi="Arial" w:cs="Arial"/>
        </w:rPr>
      </w:pPr>
      <w:r w:rsidRPr="004B1024">
        <w:rPr>
          <w:rFonts w:ascii="Arial" w:hAnsi="Arial" w:cs="Arial"/>
        </w:rPr>
        <w:t xml:space="preserve">When an employee leaves the organisation the local file should be reduced to only the study, annual and appraisal records and sent to the Trust’s HR department </w:t>
      </w:r>
      <w:r w:rsidR="004E47D2">
        <w:rPr>
          <w:rFonts w:ascii="Arial" w:hAnsi="Arial" w:cs="Arial"/>
        </w:rPr>
        <w:t xml:space="preserve">within </w:t>
      </w:r>
      <w:r w:rsidR="004E47D2" w:rsidRPr="004E47D2">
        <w:rPr>
          <w:rFonts w:ascii="Arial" w:hAnsi="Arial" w:cs="Arial"/>
          <w:b/>
        </w:rPr>
        <w:t xml:space="preserve">2 weeks </w:t>
      </w:r>
      <w:r w:rsidR="004E47D2">
        <w:rPr>
          <w:rFonts w:ascii="Arial" w:hAnsi="Arial" w:cs="Arial"/>
        </w:rPr>
        <w:t xml:space="preserve">of Termination Note being submitted </w:t>
      </w:r>
      <w:r w:rsidRPr="004B1024">
        <w:rPr>
          <w:rFonts w:ascii="Arial" w:hAnsi="Arial" w:cs="Arial"/>
        </w:rPr>
        <w:t>for amalgamation with the central HR record.</w:t>
      </w:r>
    </w:p>
    <w:p w:rsidR="004B1024" w:rsidRPr="004B1024" w:rsidRDefault="004E47D2" w:rsidP="004B10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amalgamated HR file will held within the Recruitment team for 3 months, after which time it will be transferred to and offsite storage facilities. </w:t>
      </w:r>
      <w:r w:rsidR="004B1024" w:rsidRPr="004B1024">
        <w:rPr>
          <w:rFonts w:ascii="Arial" w:hAnsi="Arial" w:cs="Arial"/>
        </w:rPr>
        <w:t>HR records will</w:t>
      </w:r>
      <w:r>
        <w:rPr>
          <w:rFonts w:ascii="Arial" w:hAnsi="Arial" w:cs="Arial"/>
        </w:rPr>
        <w:t xml:space="preserve"> then</w:t>
      </w:r>
      <w:r w:rsidR="004B1024" w:rsidRPr="004B1024">
        <w:rPr>
          <w:rFonts w:ascii="Arial" w:hAnsi="Arial" w:cs="Arial"/>
        </w:rPr>
        <w:t xml:space="preserve"> be retained for a minimum of </w:t>
      </w:r>
      <w:r w:rsidR="004B1024" w:rsidRPr="004B1024">
        <w:rPr>
          <w:rFonts w:ascii="Arial" w:hAnsi="Arial" w:cs="Arial"/>
          <w:b/>
        </w:rPr>
        <w:t xml:space="preserve">6 </w:t>
      </w:r>
      <w:r w:rsidRPr="004B1024">
        <w:rPr>
          <w:rFonts w:ascii="Arial" w:hAnsi="Arial" w:cs="Arial"/>
          <w:b/>
        </w:rPr>
        <w:t>years</w:t>
      </w:r>
      <w:r>
        <w:rPr>
          <w:rFonts w:ascii="Arial" w:hAnsi="Arial" w:cs="Arial"/>
        </w:rPr>
        <w:t xml:space="preserve">; records </w:t>
      </w:r>
      <w:r w:rsidR="004B1024" w:rsidRPr="004B1024">
        <w:rPr>
          <w:rFonts w:ascii="Arial" w:hAnsi="Arial" w:cs="Arial"/>
        </w:rPr>
        <w:t>wi</w:t>
      </w:r>
      <w:r>
        <w:rPr>
          <w:rFonts w:ascii="Arial" w:hAnsi="Arial" w:cs="Arial"/>
        </w:rPr>
        <w:t xml:space="preserve">ll be destroyed in the 7th year. </w:t>
      </w:r>
      <w:r w:rsidR="004B1024" w:rsidRPr="004B10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Summary information will remain on </w:t>
      </w:r>
      <w:r w:rsidR="004B1024" w:rsidRPr="004B1024">
        <w:rPr>
          <w:rFonts w:ascii="Arial" w:hAnsi="Arial" w:cs="Arial"/>
        </w:rPr>
        <w:t>ESR following the destruction of the personal file.</w:t>
      </w:r>
    </w:p>
    <w:p w:rsidR="00D1070F" w:rsidRPr="00486C74" w:rsidRDefault="00D1070F" w:rsidP="004B1024">
      <w:pPr>
        <w:rPr>
          <w:rFonts w:ascii="Arial" w:hAnsi="Arial" w:cs="Arial"/>
        </w:rPr>
      </w:pPr>
      <w:r w:rsidRPr="00486C74">
        <w:rPr>
          <w:rFonts w:ascii="Arial" w:hAnsi="Arial" w:cs="Arial"/>
          <w:b/>
        </w:rPr>
        <w:t>Issued by:</w:t>
      </w:r>
      <w:r w:rsidRPr="00486C74">
        <w:rPr>
          <w:rFonts w:ascii="Arial" w:hAnsi="Arial" w:cs="Arial"/>
        </w:rPr>
        <w:t xml:space="preserve"> </w:t>
      </w:r>
      <w:r w:rsidR="00486C74">
        <w:rPr>
          <w:rFonts w:ascii="Arial" w:hAnsi="Arial" w:cs="Arial"/>
        </w:rPr>
        <w:t xml:space="preserve"> Human Resources </w:t>
      </w:r>
    </w:p>
    <w:p w:rsidR="00D02A14" w:rsidRPr="00486C74" w:rsidRDefault="00D1070F" w:rsidP="004B1024">
      <w:pPr>
        <w:rPr>
          <w:rFonts w:ascii="Arial" w:hAnsi="Arial" w:cs="Arial"/>
        </w:rPr>
      </w:pPr>
      <w:r w:rsidRPr="00486C74">
        <w:rPr>
          <w:rFonts w:ascii="Arial" w:hAnsi="Arial" w:cs="Arial"/>
          <w:b/>
        </w:rPr>
        <w:t>Date:</w:t>
      </w:r>
      <w:r w:rsidRPr="00486C74">
        <w:rPr>
          <w:rFonts w:ascii="Arial" w:hAnsi="Arial" w:cs="Arial"/>
        </w:rPr>
        <w:t xml:space="preserve"> 9</w:t>
      </w:r>
      <w:r w:rsidRPr="00486C74">
        <w:rPr>
          <w:rFonts w:ascii="Arial" w:hAnsi="Arial" w:cs="Arial"/>
          <w:vertAlign w:val="superscript"/>
        </w:rPr>
        <w:t>th</w:t>
      </w:r>
      <w:r w:rsidRPr="00486C74">
        <w:rPr>
          <w:rFonts w:ascii="Arial" w:hAnsi="Arial" w:cs="Arial"/>
        </w:rPr>
        <w:t xml:space="preserve"> May 2016 </w:t>
      </w:r>
    </w:p>
    <w:p w:rsidR="004E47D2" w:rsidRPr="00486C74" w:rsidRDefault="004E47D2" w:rsidP="004B1024">
      <w:pPr>
        <w:rPr>
          <w:rFonts w:ascii="Arial" w:hAnsi="Arial" w:cs="Arial"/>
        </w:rPr>
      </w:pPr>
    </w:p>
    <w:p w:rsidR="004E47D2" w:rsidRDefault="004E47D2" w:rsidP="004B1024"/>
    <w:p w:rsidR="004E47D2" w:rsidRDefault="004E47D2" w:rsidP="004B1024"/>
    <w:p w:rsidR="004E47D2" w:rsidRDefault="004E47D2" w:rsidP="004B1024"/>
    <w:p w:rsidR="004E47D2" w:rsidRDefault="004E47D2" w:rsidP="004B1024"/>
    <w:p w:rsidR="004E47D2" w:rsidRDefault="004E47D2" w:rsidP="004B1024"/>
    <w:p w:rsidR="004E47D2" w:rsidRDefault="004E47D2" w:rsidP="004B1024"/>
    <w:p w:rsidR="004E47D2" w:rsidRDefault="004E47D2" w:rsidP="004B1024"/>
    <w:p w:rsidR="004E47D2" w:rsidRDefault="004E47D2" w:rsidP="004B1024"/>
    <w:p w:rsidR="004B1024" w:rsidRDefault="004B1024" w:rsidP="004B1024"/>
    <w:p w:rsidR="004B1024" w:rsidRDefault="004B1024" w:rsidP="004B1024"/>
    <w:p w:rsidR="004B1024" w:rsidRDefault="004B1024" w:rsidP="004B1024"/>
    <w:p w:rsidR="004B1024" w:rsidRDefault="004B1024" w:rsidP="004B1024"/>
    <w:p w:rsidR="004B1024" w:rsidRDefault="004B1024" w:rsidP="004B1024"/>
    <w:p w:rsidR="00DB2C93" w:rsidRDefault="00DB2C93" w:rsidP="004B1024"/>
    <w:p w:rsidR="004B1024" w:rsidRDefault="004B1024" w:rsidP="004B1024">
      <w:pPr>
        <w:rPr>
          <w:rFonts w:ascii="Arial" w:hAnsi="Arial" w:cs="Arial"/>
          <w:b/>
        </w:rPr>
      </w:pPr>
      <w:r w:rsidRPr="004B1024">
        <w:rPr>
          <w:rFonts w:ascii="Arial" w:hAnsi="Arial" w:cs="Arial"/>
          <w:b/>
        </w:rPr>
        <w:t>Recruitment Checklist Appendix 1</w:t>
      </w:r>
    </w:p>
    <w:tbl>
      <w:tblPr>
        <w:tblW w:w="6780" w:type="dxa"/>
        <w:tblInd w:w="93" w:type="dxa"/>
        <w:tblLook w:val="04A0" w:firstRow="1" w:lastRow="0" w:firstColumn="1" w:lastColumn="0" w:noHBand="0" w:noVBand="1"/>
      </w:tblPr>
      <w:tblGrid>
        <w:gridCol w:w="1159"/>
        <w:gridCol w:w="4520"/>
        <w:gridCol w:w="1120"/>
      </w:tblGrid>
      <w:tr w:rsidR="008C2B56" w:rsidRPr="008C2B56" w:rsidTr="008C2B56">
        <w:trPr>
          <w:trHeight w:val="300"/>
        </w:trPr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en-GB"/>
              </w:rPr>
            </w:pPr>
            <w:bookmarkStart w:id="1" w:name="RANGE!A1:C53"/>
            <w:r w:rsidRPr="008C2B56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en-GB"/>
              </w:rPr>
              <w:t>New Starter Checklist - March 16</w:t>
            </w:r>
            <w:bookmarkEnd w:id="1"/>
          </w:p>
        </w:tc>
      </w:tr>
      <w:tr w:rsidR="008C2B56" w:rsidRPr="008C2B56" w:rsidTr="008C2B5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Vacancy Number:                                                                           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C2B56" w:rsidRPr="008C2B56" w:rsidTr="008C2B5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Applied on: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C2B56" w:rsidRPr="008C2B56" w:rsidTr="008C2B56">
        <w:trPr>
          <w:trHeight w:val="375"/>
        </w:trPr>
        <w:tc>
          <w:tcPr>
            <w:tcW w:w="67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Name:</w:t>
            </w:r>
          </w:p>
        </w:tc>
      </w:tr>
      <w:tr w:rsidR="008C2B56" w:rsidRPr="008C2B56" w:rsidTr="008C2B56">
        <w:trPr>
          <w:trHeight w:val="375"/>
        </w:trPr>
        <w:tc>
          <w:tcPr>
            <w:tcW w:w="678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Post Title &amp; </w:t>
            </w:r>
            <w:proofErr w:type="spellStart"/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Dept</w:t>
            </w:r>
            <w:proofErr w:type="spellEnd"/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/Ward:</w:t>
            </w:r>
          </w:p>
        </w:tc>
      </w:tr>
      <w:tr w:rsidR="008C2B56" w:rsidRPr="008C2B56" w:rsidTr="008C2B56">
        <w:trPr>
          <w:trHeight w:val="255"/>
        </w:trPr>
        <w:tc>
          <w:tcPr>
            <w:tcW w:w="56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Requirement: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Completed: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Copy of: 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Recruitment Pack - </w:t>
            </w: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inc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Advert, JD &amp; VRP - RAP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Universal Job Match Print out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Contract request form completed and signed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52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HCA Numeracy &amp; Literacy Results recorded on </w:t>
            </w: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spreadsheet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, if applicable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Applicant Signature on file &amp; verified against 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Added to ESRAD Recruitment Database (if applicable)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Transfer from NHS jobs to ESR &amp; 'Offer Accept'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4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Any previous NHS service? IAT run, where applicable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CoS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Certificate Of Sponsorship Required?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Y or N 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Pre-employment Checks: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Alert List checked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469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Verification of ID: 1x photo &amp; 2 address or 2 x photo &amp; 1 address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46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Right to Work Check - Nat ID card or Passport or B/Cert &amp; N Ins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Illegal Working checks added to ESR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Copy of NVQ certificates/degree - if relevant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Offer emailed: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Occ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Health Form e-mailed: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Occ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Health clearance rec'd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492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DBS Update Service checked or certificate seen if issued within the last 3 years: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7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DBS ID check requested (if applicable) 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DBS e-invite sent (if applicable) 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Date DBS  Clearance received into ES Team: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DBS Disclosure No: 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Risk Assessment received, if applicable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FAST TRACK AGREED - Form Completed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Reason for Fast Track: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Self Declaration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(if applicable)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Overseas Police check -  if less than 5yrs in UK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758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NHS employee:  1 ref previous employer                          Non NHS: 3 years which can be 1 ref              Agency/bank: 3 best refs, last employer, longest employer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thinDiagCross" w:color="000000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45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Name &amp; Organisation:                    Sent: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45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Name &amp; Organisation:                    Sent: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486C74">
        <w:trPr>
          <w:trHeight w:val="43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Name &amp; Organisation:                    Sent: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486C74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Any Prof registration: NMC/HCPC/OTHER?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486C74">
        <w:trPr>
          <w:trHeight w:val="263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Registration number and evidence on file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START DATE: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486C74">
        <w:trPr>
          <w:trHeight w:val="267"/>
        </w:trPr>
        <w:tc>
          <w:tcPr>
            <w:tcW w:w="114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Contract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Date of Trust Induction: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proofErr w:type="gram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Preceptorship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confirmed</w:t>
            </w:r>
            <w:proofErr w:type="gram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on Induction </w:t>
            </w: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spreadsheet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Fixed Term Contract/Secondment end date?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Fixed term/Secondment added to ESR (if applicable)?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Contract/Change letter issued: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Email Roster team copy of contract: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Satisfaction Survey Sent to Manager: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Payroll form entered onto ESR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Additional Information form entered onto ESR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ESR &amp; </w:t>
            </w:r>
            <w:proofErr w:type="spellStart"/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NHSJobs</w:t>
            </w:r>
            <w:proofErr w:type="spellEnd"/>
            <w:r w:rsidRPr="008C2B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marked as 'Recruitment Closed'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338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Self Declaration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removed from file: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26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DBS </w:t>
            </w:r>
            <w:proofErr w:type="spellStart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Certifcate</w:t>
            </w:r>
            <w:proofErr w:type="spellEnd"/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removed from file: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8C2B56" w:rsidRPr="008C2B56" w:rsidTr="008C2B56">
        <w:trPr>
          <w:trHeight w:val="612"/>
        </w:trPr>
        <w:tc>
          <w:tcPr>
            <w:tcW w:w="5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C2B56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Signed as complete: ………………………………   Date……..….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C2B56" w:rsidRPr="008C2B56" w:rsidTr="008C2B5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8C2B56" w:rsidRPr="008C2B56" w:rsidTr="008C2B5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B56" w:rsidRPr="008C2B56" w:rsidRDefault="008C2B56" w:rsidP="008C2B5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</w:tbl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8712A6" w:rsidRDefault="008712A6" w:rsidP="004B1024">
      <w:pPr>
        <w:rPr>
          <w:rFonts w:ascii="Arial" w:hAnsi="Arial" w:cs="Arial"/>
          <w:b/>
        </w:rPr>
      </w:pPr>
    </w:p>
    <w:p w:rsidR="004E47D2" w:rsidRDefault="004E47D2" w:rsidP="004B1024">
      <w:pPr>
        <w:rPr>
          <w:rFonts w:ascii="Arial" w:hAnsi="Arial" w:cs="Arial"/>
          <w:b/>
        </w:rPr>
      </w:pPr>
    </w:p>
    <w:p w:rsidR="008C2B56" w:rsidRDefault="008C2B56" w:rsidP="004B1024">
      <w:pPr>
        <w:rPr>
          <w:rFonts w:ascii="Arial" w:hAnsi="Arial" w:cs="Arial"/>
          <w:b/>
        </w:rPr>
      </w:pPr>
    </w:p>
    <w:p w:rsidR="008712A6" w:rsidRDefault="008712A6" w:rsidP="008712A6">
      <w:pPr>
        <w:rPr>
          <w:rFonts w:ascii="Arial" w:hAnsi="Arial" w:cs="Arial"/>
          <w:b/>
        </w:rPr>
      </w:pPr>
      <w:r w:rsidRPr="008712A6">
        <w:rPr>
          <w:rFonts w:ascii="Arial" w:hAnsi="Arial" w:cs="Arial"/>
          <w:b/>
        </w:rPr>
        <w:t xml:space="preserve">Appendix 2: </w:t>
      </w:r>
    </w:p>
    <w:p w:rsidR="008712A6" w:rsidRPr="008712A6" w:rsidRDefault="004E47D2" w:rsidP="00871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HR </w:t>
      </w:r>
      <w:r w:rsidR="008712A6" w:rsidRPr="008712A6">
        <w:rPr>
          <w:rFonts w:ascii="Arial" w:hAnsi="Arial" w:cs="Arial"/>
          <w:b/>
        </w:rPr>
        <w:t>Record</w:t>
      </w:r>
      <w:r>
        <w:rPr>
          <w:rFonts w:ascii="Arial" w:hAnsi="Arial" w:cs="Arial"/>
          <w:b/>
        </w:rPr>
        <w:t>s</w:t>
      </w:r>
    </w:p>
    <w:p w:rsidR="008712A6" w:rsidRPr="008712A6" w:rsidRDefault="004E47D2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IAT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Job description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Advert</w:t>
      </w:r>
      <w:r w:rsidR="004E47D2">
        <w:rPr>
          <w:rFonts w:ascii="Arial" w:hAnsi="Arial" w:cs="Arial"/>
        </w:rPr>
        <w:t>/RAP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Interview notes</w:t>
      </w:r>
      <w:r w:rsidR="004E47D2">
        <w:rPr>
          <w:rFonts w:ascii="Arial" w:hAnsi="Arial" w:cs="Arial"/>
        </w:rPr>
        <w:t xml:space="preserve">/contract request 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Offer of employment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Qualifications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tabs>
          <w:tab w:val="left" w:pos="1641"/>
        </w:tabs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References</w:t>
      </w:r>
      <w:r w:rsidRPr="008712A6">
        <w:rPr>
          <w:rFonts w:ascii="Arial" w:hAnsi="Arial" w:cs="Arial"/>
        </w:rPr>
        <w:tab/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Right to work docs (passport)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Visa (if required)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Recruitment Occupational Health clearance</w:t>
      </w:r>
    </w:p>
    <w:p w:rsidR="004E47D2" w:rsidRDefault="004E47D2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Confirmation of DBS clearance </w:t>
      </w:r>
    </w:p>
    <w:p w:rsidR="008712A6" w:rsidRP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Professional registrations check</w:t>
      </w:r>
    </w:p>
    <w:p w:rsidR="004E47D2" w:rsidRDefault="004E47D2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New starter form and additional personal details form. </w:t>
      </w:r>
    </w:p>
    <w:p w:rsidR="008712A6" w:rsidRDefault="008712A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Signed contract</w:t>
      </w:r>
    </w:p>
    <w:p w:rsidR="008C2B56" w:rsidRPr="008712A6" w:rsidRDefault="008C2B5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Model declaration </w:t>
      </w:r>
    </w:p>
    <w:p w:rsidR="008712A6" w:rsidRDefault="008712A6" w:rsidP="004E47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Annual visa check (if required)</w:t>
      </w:r>
    </w:p>
    <w:p w:rsidR="008C2B56" w:rsidRDefault="008C2B56" w:rsidP="008C2B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2B56">
        <w:rPr>
          <w:rFonts w:ascii="Arial" w:hAnsi="Arial" w:cs="Arial"/>
        </w:rPr>
        <w:t>maternity, paternity, adoption or flexible working requests &amp; outcome</w:t>
      </w:r>
    </w:p>
    <w:p w:rsidR="008C2B56" w:rsidRPr="008C2B56" w:rsidRDefault="008C2B56" w:rsidP="008C2B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of assignment forms </w:t>
      </w:r>
    </w:p>
    <w:p w:rsidR="008712A6" w:rsidRPr="008712A6" w:rsidRDefault="008C2B56" w:rsidP="008712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Live f</w:t>
      </w:r>
      <w:r w:rsidR="008712A6" w:rsidRPr="008712A6">
        <w:rPr>
          <w:rFonts w:ascii="Arial" w:hAnsi="Arial" w:cs="Arial"/>
        </w:rPr>
        <w:t>ormal ER outcomes</w:t>
      </w:r>
    </w:p>
    <w:p w:rsidR="008712A6" w:rsidRPr="004E47D2" w:rsidRDefault="008712A6" w:rsidP="008712A6">
      <w:pPr>
        <w:rPr>
          <w:rFonts w:ascii="Arial" w:hAnsi="Arial" w:cs="Arial"/>
          <w:b/>
        </w:rPr>
      </w:pPr>
    </w:p>
    <w:p w:rsidR="004E47D2" w:rsidRDefault="004E47D2" w:rsidP="004E47D2">
      <w:pPr>
        <w:spacing w:after="0"/>
        <w:rPr>
          <w:rFonts w:ascii="Arial" w:hAnsi="Arial" w:cs="Arial"/>
          <w:b/>
        </w:rPr>
      </w:pPr>
      <w:r w:rsidRPr="004E47D2">
        <w:rPr>
          <w:rFonts w:ascii="Arial" w:hAnsi="Arial" w:cs="Arial"/>
          <w:b/>
        </w:rPr>
        <w:t xml:space="preserve">Local Files/Line Manager Records </w:t>
      </w:r>
    </w:p>
    <w:p w:rsidR="004E47D2" w:rsidRPr="004E47D2" w:rsidRDefault="004E47D2" w:rsidP="004E47D2">
      <w:pPr>
        <w:spacing w:after="0"/>
        <w:rPr>
          <w:rFonts w:ascii="Arial" w:hAnsi="Arial" w:cs="Arial"/>
          <w:b/>
        </w:rPr>
      </w:pP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Annual leave record</w:t>
      </w: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Study leave record</w:t>
      </w: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Appraisal</w:t>
      </w: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Return to work forms</w:t>
      </w: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Referral to Occupational Health form</w:t>
      </w: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Occupational Health Reports</w:t>
      </w: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File Notes (e.g. recording lateness)</w:t>
      </w:r>
    </w:p>
    <w:p w:rsid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Copies of maternity, paternity, adoption or flexible working requests &amp; outcome</w:t>
      </w:r>
    </w:p>
    <w:p w:rsidR="008C2B56" w:rsidRPr="008C2B56" w:rsidRDefault="008C2B56" w:rsidP="008C2B5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2B56">
        <w:rPr>
          <w:rFonts w:ascii="Arial" w:hAnsi="Arial" w:cs="Arial"/>
        </w:rPr>
        <w:t xml:space="preserve">Change of assignment forms </w:t>
      </w:r>
    </w:p>
    <w:p w:rsidR="008712A6" w:rsidRPr="008712A6" w:rsidRDefault="008712A6" w:rsidP="008712A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712A6">
        <w:rPr>
          <w:rFonts w:ascii="Arial" w:hAnsi="Arial" w:cs="Arial"/>
        </w:rPr>
        <w:t>Leavers forms</w:t>
      </w:r>
    </w:p>
    <w:sectPr w:rsidR="008712A6" w:rsidRPr="008712A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F6" w:rsidRDefault="00E110F6" w:rsidP="00D1070F">
      <w:pPr>
        <w:spacing w:after="0" w:line="240" w:lineRule="auto"/>
      </w:pPr>
      <w:r>
        <w:separator/>
      </w:r>
    </w:p>
  </w:endnote>
  <w:endnote w:type="continuationSeparator" w:id="0">
    <w:p w:rsidR="00E110F6" w:rsidRDefault="00E110F6" w:rsidP="00D1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0F" w:rsidRDefault="00D1070F">
    <w:pPr>
      <w:pStyle w:val="Footer"/>
    </w:pPr>
    <w:r>
      <w:rPr>
        <w:noProof/>
        <w:lang w:eastAsia="en-GB"/>
      </w:rPr>
      <w:drawing>
        <wp:inline distT="0" distB="0" distL="0" distR="0" wp14:anchorId="4BD18AF5">
          <wp:extent cx="2828925" cy="359410"/>
          <wp:effectExtent l="0" t="0" r="952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F6" w:rsidRDefault="00E110F6" w:rsidP="00D1070F">
      <w:pPr>
        <w:spacing w:after="0" w:line="240" w:lineRule="auto"/>
      </w:pPr>
      <w:r>
        <w:separator/>
      </w:r>
    </w:p>
  </w:footnote>
  <w:footnote w:type="continuationSeparator" w:id="0">
    <w:p w:rsidR="00E110F6" w:rsidRDefault="00E110F6" w:rsidP="00D1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0F" w:rsidRDefault="00D1070F" w:rsidP="00D1070F">
    <w:pPr>
      <w:pStyle w:val="Header"/>
      <w:jc w:val="right"/>
    </w:pPr>
    <w:r>
      <w:rPr>
        <w:noProof/>
        <w:lang w:eastAsia="en-GB"/>
      </w:rPr>
      <w:drawing>
        <wp:inline distT="0" distB="0" distL="0" distR="0" wp14:anchorId="15684722" wp14:editId="5C7D9CF8">
          <wp:extent cx="3067050" cy="422275"/>
          <wp:effectExtent l="0" t="0" r="0" b="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1A13"/>
    <w:multiLevelType w:val="hybridMultilevel"/>
    <w:tmpl w:val="10C6E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87794"/>
    <w:multiLevelType w:val="hybridMultilevel"/>
    <w:tmpl w:val="53B4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778CD"/>
    <w:multiLevelType w:val="hybridMultilevel"/>
    <w:tmpl w:val="FD461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24"/>
    <w:rsid w:val="00084782"/>
    <w:rsid w:val="000E216C"/>
    <w:rsid w:val="00486C74"/>
    <w:rsid w:val="004B1024"/>
    <w:rsid w:val="004D1CA0"/>
    <w:rsid w:val="004E47D2"/>
    <w:rsid w:val="008712A6"/>
    <w:rsid w:val="008C2B56"/>
    <w:rsid w:val="008D4691"/>
    <w:rsid w:val="00D02A14"/>
    <w:rsid w:val="00D1070F"/>
    <w:rsid w:val="00DB2C93"/>
    <w:rsid w:val="00E110F6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0F"/>
  </w:style>
  <w:style w:type="paragraph" w:styleId="Footer">
    <w:name w:val="footer"/>
    <w:basedOn w:val="Normal"/>
    <w:link w:val="FooterChar"/>
    <w:uiPriority w:val="99"/>
    <w:unhideWhenUsed/>
    <w:rsid w:val="00D10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0F"/>
  </w:style>
  <w:style w:type="paragraph" w:styleId="BalloonText">
    <w:name w:val="Balloon Text"/>
    <w:basedOn w:val="Normal"/>
    <w:link w:val="BalloonTextChar"/>
    <w:uiPriority w:val="99"/>
    <w:semiHidden/>
    <w:unhideWhenUsed/>
    <w:rsid w:val="00D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0F"/>
  </w:style>
  <w:style w:type="paragraph" w:styleId="Footer">
    <w:name w:val="footer"/>
    <w:basedOn w:val="Normal"/>
    <w:link w:val="FooterChar"/>
    <w:uiPriority w:val="99"/>
    <w:unhideWhenUsed/>
    <w:rsid w:val="00D10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0F"/>
  </w:style>
  <w:style w:type="paragraph" w:styleId="BalloonText">
    <w:name w:val="Balloon Text"/>
    <w:basedOn w:val="Normal"/>
    <w:link w:val="BalloonTextChar"/>
    <w:uiPriority w:val="99"/>
    <w:semiHidden/>
    <w:unhideWhenUsed/>
    <w:rsid w:val="00D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Warner, Claire</dc:creator>
  <cp:lastModifiedBy>Carter, Brian</cp:lastModifiedBy>
  <cp:revision>2</cp:revision>
  <dcterms:created xsi:type="dcterms:W3CDTF">2017-10-23T13:35:00Z</dcterms:created>
  <dcterms:modified xsi:type="dcterms:W3CDTF">2017-10-23T13:35:00Z</dcterms:modified>
</cp:coreProperties>
</file>