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81" w:rsidRPr="001E7D50" w:rsidRDefault="001E7D50" w:rsidP="001E7D50">
      <w:pPr>
        <w:ind w:left="720"/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Treatment Escalation Plan</w:t>
      </w:r>
      <w:r w:rsidR="00470ECE" w:rsidRPr="001E7D50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(TEP)</w:t>
      </w:r>
      <w:r w:rsidR="00470ECE" w:rsidRPr="001E7D50">
        <w:rPr>
          <w:b/>
          <w:sz w:val="52"/>
          <w:szCs w:val="52"/>
        </w:rPr>
        <w:t xml:space="preserve">         </w:t>
      </w:r>
      <w:r w:rsidR="001A60D9" w:rsidRPr="001E7D50">
        <w:rPr>
          <w:b/>
          <w:sz w:val="52"/>
          <w:szCs w:val="52"/>
        </w:rPr>
        <w:t xml:space="preserve">                    </w:t>
      </w:r>
    </w:p>
    <w:p w:rsidR="00241081" w:rsidRPr="00911B4B" w:rsidRDefault="001E7D50" w:rsidP="00241081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>TEP will be rolled out across all</w:t>
      </w:r>
      <w:r w:rsidR="00470ECE" w:rsidRPr="00911B4B">
        <w:rPr>
          <w:sz w:val="24"/>
          <w:szCs w:val="24"/>
        </w:rPr>
        <w:t xml:space="preserve"> GWH sites</w:t>
      </w:r>
      <w:r w:rsidR="00241081" w:rsidRPr="00911B4B">
        <w:rPr>
          <w:sz w:val="24"/>
          <w:szCs w:val="24"/>
        </w:rPr>
        <w:t xml:space="preserve"> and Swindon CCG</w:t>
      </w:r>
      <w:r w:rsidR="00470ECE" w:rsidRPr="00911B4B">
        <w:rPr>
          <w:sz w:val="24"/>
          <w:szCs w:val="24"/>
        </w:rPr>
        <w:t xml:space="preserve"> at the end of August. Wiltshire CCG </w:t>
      </w:r>
      <w:proofErr w:type="gramStart"/>
      <w:r w:rsidRPr="00911B4B">
        <w:rPr>
          <w:sz w:val="24"/>
          <w:szCs w:val="24"/>
        </w:rPr>
        <w:t>are</w:t>
      </w:r>
      <w:proofErr w:type="gramEnd"/>
      <w:r w:rsidRPr="00911B4B">
        <w:rPr>
          <w:sz w:val="24"/>
          <w:szCs w:val="24"/>
        </w:rPr>
        <w:t xml:space="preserve"> already</w:t>
      </w:r>
      <w:r w:rsidR="00470ECE" w:rsidRPr="00911B4B">
        <w:rPr>
          <w:sz w:val="24"/>
          <w:szCs w:val="24"/>
        </w:rPr>
        <w:t xml:space="preserve"> using it so </w:t>
      </w:r>
      <w:r w:rsidR="00911B4B">
        <w:rPr>
          <w:sz w:val="24"/>
          <w:szCs w:val="24"/>
        </w:rPr>
        <w:t>c</w:t>
      </w:r>
      <w:r w:rsidR="00911B4B" w:rsidRPr="00911B4B">
        <w:rPr>
          <w:sz w:val="24"/>
          <w:szCs w:val="24"/>
        </w:rPr>
        <w:t>ommunity &amp;</w:t>
      </w:r>
      <w:r w:rsidRPr="00911B4B">
        <w:rPr>
          <w:sz w:val="24"/>
          <w:szCs w:val="24"/>
        </w:rPr>
        <w:t>”front door” staff</w:t>
      </w:r>
      <w:r w:rsidR="00470ECE" w:rsidRPr="00911B4B">
        <w:rPr>
          <w:sz w:val="24"/>
          <w:szCs w:val="24"/>
        </w:rPr>
        <w:t xml:space="preserve"> </w:t>
      </w:r>
      <w:r w:rsidRPr="00911B4B">
        <w:rPr>
          <w:sz w:val="24"/>
          <w:szCs w:val="24"/>
        </w:rPr>
        <w:t>may</w:t>
      </w:r>
      <w:r w:rsidR="00470ECE" w:rsidRPr="00911B4B">
        <w:rPr>
          <w:sz w:val="24"/>
          <w:szCs w:val="24"/>
        </w:rPr>
        <w:t xml:space="preserve"> already be familiar with it.</w:t>
      </w:r>
    </w:p>
    <w:p w:rsidR="00470ECE" w:rsidRPr="00911B4B" w:rsidRDefault="001E7D50" w:rsidP="001A6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>TEP</w:t>
      </w:r>
      <w:r w:rsidR="00470ECE" w:rsidRPr="00911B4B">
        <w:rPr>
          <w:sz w:val="24"/>
          <w:szCs w:val="24"/>
        </w:rPr>
        <w:t xml:space="preserve"> discusses levels of treatment appropriate for </w:t>
      </w:r>
      <w:r w:rsidRPr="00911B4B">
        <w:rPr>
          <w:sz w:val="24"/>
          <w:szCs w:val="24"/>
        </w:rPr>
        <w:t>the individual</w:t>
      </w:r>
      <w:r w:rsidR="00470ECE" w:rsidRPr="00911B4B">
        <w:rPr>
          <w:sz w:val="24"/>
          <w:szCs w:val="24"/>
        </w:rPr>
        <w:t xml:space="preserve"> patient</w:t>
      </w:r>
      <w:r w:rsidRPr="00911B4B">
        <w:rPr>
          <w:sz w:val="24"/>
          <w:szCs w:val="24"/>
        </w:rPr>
        <w:t xml:space="preserve"> including resuscitation decisions,</w:t>
      </w:r>
      <w:r w:rsidR="00470ECE" w:rsidRPr="00911B4B">
        <w:rPr>
          <w:sz w:val="24"/>
          <w:szCs w:val="24"/>
        </w:rPr>
        <w:t xml:space="preserve"> so the purple edged DNA</w:t>
      </w:r>
      <w:r w:rsidRPr="00911B4B">
        <w:rPr>
          <w:sz w:val="24"/>
          <w:szCs w:val="24"/>
        </w:rPr>
        <w:t>CP</w:t>
      </w:r>
      <w:r w:rsidR="00470ECE" w:rsidRPr="00911B4B">
        <w:rPr>
          <w:sz w:val="24"/>
          <w:szCs w:val="24"/>
        </w:rPr>
        <w:t xml:space="preserve">R form will </w:t>
      </w:r>
      <w:r w:rsidRPr="00911B4B">
        <w:rPr>
          <w:sz w:val="24"/>
          <w:szCs w:val="24"/>
        </w:rPr>
        <w:t>no longer be used</w:t>
      </w:r>
      <w:r w:rsidR="00470ECE" w:rsidRPr="00911B4B">
        <w:rPr>
          <w:sz w:val="24"/>
          <w:szCs w:val="24"/>
        </w:rPr>
        <w:t>.</w:t>
      </w:r>
    </w:p>
    <w:p w:rsidR="00356B30" w:rsidRPr="00911B4B" w:rsidRDefault="001E7D50" w:rsidP="001A6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>TEP</w:t>
      </w:r>
      <w:r w:rsidR="00470ECE" w:rsidRPr="00911B4B">
        <w:rPr>
          <w:sz w:val="24"/>
          <w:szCs w:val="24"/>
        </w:rPr>
        <w:t xml:space="preserve"> is</w:t>
      </w:r>
      <w:r w:rsidRPr="00911B4B">
        <w:rPr>
          <w:sz w:val="24"/>
          <w:szCs w:val="24"/>
        </w:rPr>
        <w:t xml:space="preserve"> a</w:t>
      </w:r>
      <w:r w:rsidR="00470ECE" w:rsidRPr="00911B4B">
        <w:rPr>
          <w:sz w:val="24"/>
          <w:szCs w:val="24"/>
        </w:rPr>
        <w:t xml:space="preserve"> 2 sided</w:t>
      </w:r>
      <w:r w:rsidRPr="00911B4B">
        <w:rPr>
          <w:sz w:val="24"/>
          <w:szCs w:val="24"/>
        </w:rPr>
        <w:t xml:space="preserve"> document.  </w:t>
      </w:r>
    </w:p>
    <w:p w:rsidR="00356B30" w:rsidRPr="00911B4B" w:rsidRDefault="001E7D50" w:rsidP="00356B30">
      <w:pPr>
        <w:pStyle w:val="ListParagraph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 xml:space="preserve">The front is used to document the treatment &amp; resuscitation decisions and to record who is having the discussions and making the decision.  </w:t>
      </w:r>
    </w:p>
    <w:p w:rsidR="00470ECE" w:rsidRPr="00911B4B" w:rsidRDefault="001E7D50" w:rsidP="00356B30">
      <w:pPr>
        <w:pStyle w:val="ListParagraph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 xml:space="preserve">The reverse is where you will find the </w:t>
      </w:r>
      <w:r w:rsidR="00356B30" w:rsidRPr="00911B4B">
        <w:rPr>
          <w:sz w:val="24"/>
          <w:szCs w:val="24"/>
        </w:rPr>
        <w:t xml:space="preserve">flowcharts and </w:t>
      </w:r>
      <w:r w:rsidRPr="00911B4B">
        <w:rPr>
          <w:sz w:val="24"/>
          <w:szCs w:val="24"/>
        </w:rPr>
        <w:t xml:space="preserve">guidance for use with patient’s </w:t>
      </w:r>
      <w:r w:rsidR="00356B30" w:rsidRPr="00911B4B">
        <w:rPr>
          <w:sz w:val="24"/>
          <w:szCs w:val="24"/>
        </w:rPr>
        <w:t>who you know or suspect may lack the</w:t>
      </w:r>
      <w:r w:rsidR="00470ECE" w:rsidRPr="00911B4B">
        <w:rPr>
          <w:sz w:val="24"/>
          <w:szCs w:val="24"/>
        </w:rPr>
        <w:t xml:space="preserve"> mental capacity to be involved in th</w:t>
      </w:r>
      <w:r w:rsidR="00911B4B">
        <w:rPr>
          <w:sz w:val="24"/>
          <w:szCs w:val="24"/>
        </w:rPr>
        <w:t>eir</w:t>
      </w:r>
      <w:r w:rsidR="001A60D9" w:rsidRPr="00911B4B">
        <w:rPr>
          <w:sz w:val="24"/>
          <w:szCs w:val="24"/>
        </w:rPr>
        <w:t xml:space="preserve"> treatment discussions</w:t>
      </w:r>
      <w:r w:rsidR="00356B30" w:rsidRPr="00911B4B">
        <w:rPr>
          <w:sz w:val="24"/>
          <w:szCs w:val="24"/>
        </w:rPr>
        <w:t>.</w:t>
      </w:r>
      <w:r w:rsidR="001A60D9" w:rsidRPr="00911B4B">
        <w:rPr>
          <w:sz w:val="24"/>
          <w:szCs w:val="24"/>
        </w:rPr>
        <w:t xml:space="preserve"> </w:t>
      </w:r>
      <w:r w:rsidR="00C450A7" w:rsidRPr="00911B4B">
        <w:rPr>
          <w:sz w:val="24"/>
          <w:szCs w:val="24"/>
        </w:rPr>
        <w:t>There is a legal requirement for this to be completed for all patients to whom it may be relevant.</w:t>
      </w:r>
    </w:p>
    <w:p w:rsidR="00470ECE" w:rsidRPr="00911B4B" w:rsidRDefault="00470ECE" w:rsidP="001A6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>Once filled in co</w:t>
      </w:r>
      <w:r w:rsidR="00241081" w:rsidRPr="00911B4B">
        <w:rPr>
          <w:sz w:val="24"/>
          <w:szCs w:val="24"/>
        </w:rPr>
        <w:t>mpletely and correctly, including the name and signature of the Clinician making the decision,</w:t>
      </w:r>
      <w:r w:rsidRPr="00911B4B">
        <w:rPr>
          <w:sz w:val="24"/>
          <w:szCs w:val="24"/>
        </w:rPr>
        <w:t xml:space="preserve"> this document becomes the patient’s property and</w:t>
      </w:r>
      <w:r w:rsidR="00E21C4D">
        <w:rPr>
          <w:sz w:val="24"/>
          <w:szCs w:val="24"/>
        </w:rPr>
        <w:t xml:space="preserve"> stays with the patient (if they wish and it is appropriate)</w:t>
      </w:r>
      <w:r w:rsidRPr="00911B4B">
        <w:rPr>
          <w:sz w:val="24"/>
          <w:szCs w:val="24"/>
        </w:rPr>
        <w:t>.</w:t>
      </w:r>
    </w:p>
    <w:p w:rsidR="00470ECE" w:rsidRPr="00911B4B" w:rsidRDefault="00470ECE" w:rsidP="001A60D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 xml:space="preserve">No need to complete </w:t>
      </w:r>
      <w:r w:rsidR="00241081" w:rsidRPr="00911B4B">
        <w:rPr>
          <w:sz w:val="24"/>
          <w:szCs w:val="24"/>
        </w:rPr>
        <w:t xml:space="preserve">a new </w:t>
      </w:r>
      <w:r w:rsidRPr="00911B4B">
        <w:rPr>
          <w:sz w:val="24"/>
          <w:szCs w:val="24"/>
        </w:rPr>
        <w:t xml:space="preserve">form every time </w:t>
      </w:r>
      <w:r w:rsidR="00241081" w:rsidRPr="00911B4B">
        <w:rPr>
          <w:sz w:val="24"/>
          <w:szCs w:val="24"/>
        </w:rPr>
        <w:t>the patient</w:t>
      </w:r>
      <w:r w:rsidRPr="00911B4B">
        <w:rPr>
          <w:sz w:val="24"/>
          <w:szCs w:val="24"/>
        </w:rPr>
        <w:t xml:space="preserve"> is admitted.</w:t>
      </w:r>
      <w:r w:rsidR="00911B4B" w:rsidRPr="00911B4B">
        <w:rPr>
          <w:sz w:val="24"/>
          <w:szCs w:val="24"/>
        </w:rPr>
        <w:t xml:space="preserve">  Make sure a</w:t>
      </w:r>
      <w:r w:rsidR="00E21C4D">
        <w:rPr>
          <w:sz w:val="24"/>
          <w:szCs w:val="24"/>
        </w:rPr>
        <w:t xml:space="preserve"> current</w:t>
      </w:r>
      <w:r w:rsidR="00A4650E">
        <w:rPr>
          <w:sz w:val="24"/>
          <w:szCs w:val="24"/>
        </w:rPr>
        <w:t>,</w:t>
      </w:r>
      <w:r w:rsidR="00911B4B" w:rsidRPr="00911B4B">
        <w:rPr>
          <w:sz w:val="24"/>
          <w:szCs w:val="24"/>
        </w:rPr>
        <w:t xml:space="preserve"> up-to-date photocopy is retained in the medical notes and return the original to the patient/relative as appropriate. Request a Medway TEP alert (</w:t>
      </w:r>
      <w:hyperlink r:id="rId8" w:history="1">
        <w:r w:rsidR="00911B4B" w:rsidRPr="00911B4B">
          <w:rPr>
            <w:rStyle w:val="Hyperlink"/>
            <w:sz w:val="24"/>
            <w:szCs w:val="24"/>
          </w:rPr>
          <w:t>Tep.ResusDecisions@gwh.nhs.uk</w:t>
        </w:r>
      </w:hyperlink>
      <w:r w:rsidR="00911B4B" w:rsidRPr="00911B4B">
        <w:rPr>
          <w:sz w:val="24"/>
          <w:szCs w:val="24"/>
        </w:rPr>
        <w:t>) is added to their e-notes if one does not exist already.</w:t>
      </w:r>
    </w:p>
    <w:p w:rsidR="001A60D9" w:rsidRPr="00911B4B" w:rsidRDefault="00911B4B" w:rsidP="001A6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B4B">
        <w:rPr>
          <w:sz w:val="24"/>
          <w:szCs w:val="24"/>
        </w:rPr>
        <w:t>The copy should be</w:t>
      </w:r>
      <w:r w:rsidR="00A4650E" w:rsidRPr="00A4650E">
        <w:rPr>
          <w:sz w:val="24"/>
          <w:szCs w:val="24"/>
        </w:rPr>
        <w:t xml:space="preserve"> </w:t>
      </w:r>
      <w:r w:rsidR="00A4650E" w:rsidRPr="00911B4B">
        <w:rPr>
          <w:sz w:val="24"/>
          <w:szCs w:val="24"/>
        </w:rPr>
        <w:t>stored at the front of the admission notes</w:t>
      </w:r>
      <w:r w:rsidR="00A4650E">
        <w:rPr>
          <w:sz w:val="24"/>
          <w:szCs w:val="24"/>
        </w:rPr>
        <w:t>, making it</w:t>
      </w:r>
      <w:r w:rsidR="00470ECE" w:rsidRPr="00911B4B">
        <w:rPr>
          <w:sz w:val="24"/>
          <w:szCs w:val="24"/>
        </w:rPr>
        <w:t xml:space="preserve"> easily identifiable and accessible in case of emergency.</w:t>
      </w:r>
      <w:r w:rsidR="001A60D9" w:rsidRPr="00911B4B">
        <w:rPr>
          <w:sz w:val="24"/>
          <w:szCs w:val="24"/>
        </w:rPr>
        <w:t xml:space="preserve"> The original is given back to the patient. The form is the patient’s property.</w:t>
      </w:r>
    </w:p>
    <w:p w:rsidR="001A60D9" w:rsidRPr="00911B4B" w:rsidRDefault="001A60D9" w:rsidP="001A6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B4B">
        <w:rPr>
          <w:sz w:val="24"/>
          <w:szCs w:val="24"/>
        </w:rPr>
        <w:t>If a</w:t>
      </w:r>
      <w:r w:rsidR="00911B4B" w:rsidRPr="00911B4B">
        <w:rPr>
          <w:sz w:val="24"/>
          <w:szCs w:val="24"/>
        </w:rPr>
        <w:t xml:space="preserve">n up-to-date </w:t>
      </w:r>
      <w:r w:rsidRPr="00911B4B">
        <w:rPr>
          <w:sz w:val="24"/>
          <w:szCs w:val="24"/>
        </w:rPr>
        <w:t xml:space="preserve">photocopy is already in the notes, there is no need to re-copy. </w:t>
      </w:r>
    </w:p>
    <w:p w:rsidR="001A60D9" w:rsidRPr="00911B4B" w:rsidRDefault="001A60D9" w:rsidP="001A6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B4B">
        <w:rPr>
          <w:sz w:val="24"/>
          <w:szCs w:val="24"/>
        </w:rPr>
        <w:t>The decisions are reviewed every time the patient</w:t>
      </w:r>
      <w:r w:rsidR="00911B4B" w:rsidRPr="00911B4B">
        <w:rPr>
          <w:sz w:val="24"/>
          <w:szCs w:val="24"/>
        </w:rPr>
        <w:t xml:space="preserve"> is admitted or</w:t>
      </w:r>
      <w:r w:rsidRPr="00911B4B">
        <w:rPr>
          <w:sz w:val="24"/>
          <w:szCs w:val="24"/>
        </w:rPr>
        <w:t xml:space="preserve"> changes from one consultant to another</w:t>
      </w:r>
      <w:r w:rsidR="00911B4B" w:rsidRPr="00911B4B">
        <w:rPr>
          <w:sz w:val="24"/>
          <w:szCs w:val="24"/>
        </w:rPr>
        <w:t>;</w:t>
      </w:r>
      <w:r w:rsidRPr="00911B4B">
        <w:rPr>
          <w:sz w:val="24"/>
          <w:szCs w:val="24"/>
        </w:rPr>
        <w:t xml:space="preserve"> and from consultant to GP.</w:t>
      </w:r>
    </w:p>
    <w:p w:rsidR="00470ECE" w:rsidRPr="00911B4B" w:rsidRDefault="001A60D9" w:rsidP="001A6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B4B">
        <w:rPr>
          <w:sz w:val="24"/>
          <w:szCs w:val="24"/>
        </w:rPr>
        <w:t>Upon discharge, the decisions are reviewed again</w:t>
      </w:r>
      <w:r w:rsidR="00D628E9" w:rsidRPr="00911B4B">
        <w:rPr>
          <w:sz w:val="24"/>
          <w:szCs w:val="24"/>
        </w:rPr>
        <w:t>. The patient goes home with their original form for use at home.</w:t>
      </w:r>
    </w:p>
    <w:p w:rsidR="00911B4B" w:rsidRPr="00911B4B" w:rsidRDefault="00911B4B" w:rsidP="00911B4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11B4B">
        <w:rPr>
          <w:sz w:val="24"/>
          <w:szCs w:val="24"/>
        </w:rPr>
        <w:t>No need to copy the form for ambulance staff on transferring the patient – the original form should travel with the patient.</w:t>
      </w:r>
    </w:p>
    <w:p w:rsidR="001B541F" w:rsidRPr="00911B4B" w:rsidRDefault="00470ECE" w:rsidP="001A60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B4B">
        <w:rPr>
          <w:sz w:val="24"/>
          <w:szCs w:val="24"/>
        </w:rPr>
        <w:t xml:space="preserve">If the decisions are cancelled, </w:t>
      </w:r>
      <w:r w:rsidR="00911B4B" w:rsidRPr="00911B4B">
        <w:rPr>
          <w:sz w:val="24"/>
          <w:szCs w:val="24"/>
        </w:rPr>
        <w:t>the TEP form needs to be scored through with</w:t>
      </w:r>
      <w:r w:rsidRPr="00911B4B">
        <w:rPr>
          <w:sz w:val="24"/>
          <w:szCs w:val="24"/>
        </w:rPr>
        <w:t xml:space="preserve"> </w:t>
      </w:r>
      <w:r w:rsidR="001A60D9" w:rsidRPr="00911B4B">
        <w:rPr>
          <w:sz w:val="24"/>
          <w:szCs w:val="24"/>
        </w:rPr>
        <w:t>“</w:t>
      </w:r>
      <w:r w:rsidRPr="00911B4B">
        <w:rPr>
          <w:sz w:val="24"/>
          <w:szCs w:val="24"/>
        </w:rPr>
        <w:t>cancelled</w:t>
      </w:r>
      <w:r w:rsidR="001A60D9" w:rsidRPr="00911B4B">
        <w:rPr>
          <w:sz w:val="24"/>
          <w:szCs w:val="24"/>
        </w:rPr>
        <w:t>”</w:t>
      </w:r>
      <w:r w:rsidRPr="00911B4B">
        <w:rPr>
          <w:sz w:val="24"/>
          <w:szCs w:val="24"/>
        </w:rPr>
        <w:t xml:space="preserve"> written across it</w:t>
      </w:r>
      <w:r w:rsidR="00911B4B" w:rsidRPr="00911B4B">
        <w:rPr>
          <w:sz w:val="24"/>
          <w:szCs w:val="24"/>
        </w:rPr>
        <w:t>, the cancellation box completed (in the lower right hand corner of the front page)</w:t>
      </w:r>
      <w:r w:rsidRPr="00911B4B">
        <w:rPr>
          <w:sz w:val="24"/>
          <w:szCs w:val="24"/>
        </w:rPr>
        <w:t xml:space="preserve"> and </w:t>
      </w:r>
      <w:r w:rsidR="00911B4B" w:rsidRPr="00911B4B">
        <w:rPr>
          <w:sz w:val="24"/>
          <w:szCs w:val="24"/>
        </w:rPr>
        <w:t xml:space="preserve">then </w:t>
      </w:r>
      <w:r w:rsidRPr="00911B4B">
        <w:rPr>
          <w:sz w:val="24"/>
          <w:szCs w:val="24"/>
        </w:rPr>
        <w:t>filed at back of patient</w:t>
      </w:r>
      <w:r w:rsidR="001A60D9" w:rsidRPr="00911B4B">
        <w:rPr>
          <w:sz w:val="24"/>
          <w:szCs w:val="24"/>
        </w:rPr>
        <w:t>’</w:t>
      </w:r>
      <w:r w:rsidRPr="00911B4B">
        <w:rPr>
          <w:sz w:val="24"/>
          <w:szCs w:val="24"/>
        </w:rPr>
        <w:t>s notes.</w:t>
      </w:r>
    </w:p>
    <w:p w:rsidR="00470ECE" w:rsidRPr="00470ECE" w:rsidRDefault="00470ECE" w:rsidP="001A60D9">
      <w:pPr>
        <w:pStyle w:val="ListParagraph"/>
        <w:ind w:left="502"/>
        <w:jc w:val="both"/>
        <w:rPr>
          <w:b/>
          <w:sz w:val="28"/>
          <w:szCs w:val="28"/>
        </w:rPr>
      </w:pPr>
    </w:p>
    <w:p w:rsidR="00470ECE" w:rsidRPr="00470ECE" w:rsidRDefault="00470ECE" w:rsidP="001A60D9">
      <w:pPr>
        <w:jc w:val="both"/>
        <w:rPr>
          <w:b/>
          <w:sz w:val="28"/>
          <w:szCs w:val="28"/>
        </w:rPr>
      </w:pPr>
    </w:p>
    <w:sectPr w:rsidR="00470ECE" w:rsidRPr="00470E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FF" w:rsidRDefault="00E31AFF" w:rsidP="001E7D50">
      <w:pPr>
        <w:spacing w:after="0" w:line="240" w:lineRule="auto"/>
      </w:pPr>
      <w:r>
        <w:separator/>
      </w:r>
    </w:p>
  </w:endnote>
  <w:endnote w:type="continuationSeparator" w:id="0">
    <w:p w:rsidR="00E31AFF" w:rsidRDefault="00E31AFF" w:rsidP="001E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E31A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2C46F5">
    <w:pPr>
      <w:pStyle w:val="Footer"/>
    </w:pPr>
    <w:r>
      <w:rPr>
        <w:noProof/>
        <w:lang w:eastAsia="en-GB"/>
      </w:rPr>
      <w:drawing>
        <wp:inline distT="0" distB="0" distL="0" distR="0" wp14:anchorId="64679592" wp14:editId="74E1F726">
          <wp:extent cx="1724025" cy="219075"/>
          <wp:effectExtent l="0" t="0" r="9525" b="9525"/>
          <wp:docPr id="224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E31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FF" w:rsidRDefault="00E31AFF" w:rsidP="001E7D50">
      <w:pPr>
        <w:spacing w:after="0" w:line="240" w:lineRule="auto"/>
      </w:pPr>
      <w:r>
        <w:separator/>
      </w:r>
    </w:p>
  </w:footnote>
  <w:footnote w:type="continuationSeparator" w:id="0">
    <w:p w:rsidR="00E31AFF" w:rsidRDefault="00E31AFF" w:rsidP="001E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E31A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E31AFF" w:rsidP="001E7D50">
    <w:pPr>
      <w:pStyle w:val="Header"/>
      <w:jc w:val="right"/>
    </w:pPr>
    <w:r>
      <w:rPr>
        <w:noProof/>
        <w:lang w:eastAsia="en-GB"/>
      </w:rPr>
      <w:drawing>
        <wp:inline distT="0" distB="0" distL="0" distR="0" wp14:anchorId="2122E323" wp14:editId="527071CE">
          <wp:extent cx="1981200" cy="273971"/>
          <wp:effectExtent l="0" t="0" r="0" b="0"/>
          <wp:docPr id="3" name="Picture 2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GWH blue and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9892" cy="275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FF" w:rsidRDefault="00E31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58E6"/>
    <w:multiLevelType w:val="hybridMultilevel"/>
    <w:tmpl w:val="5344BB0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7D51EF1"/>
    <w:multiLevelType w:val="hybridMultilevel"/>
    <w:tmpl w:val="9C4201C6"/>
    <w:lvl w:ilvl="0" w:tplc="458C7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03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6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8C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6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06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3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A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69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D2562EB"/>
    <w:multiLevelType w:val="hybridMultilevel"/>
    <w:tmpl w:val="3FB8C888"/>
    <w:lvl w:ilvl="0" w:tplc="9116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09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85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4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3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04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E771B31"/>
    <w:multiLevelType w:val="hybridMultilevel"/>
    <w:tmpl w:val="9C32A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CE"/>
    <w:rsid w:val="001A60D9"/>
    <w:rsid w:val="001B541F"/>
    <w:rsid w:val="001E7D50"/>
    <w:rsid w:val="00241081"/>
    <w:rsid w:val="002C46F5"/>
    <w:rsid w:val="00356B30"/>
    <w:rsid w:val="00470ECE"/>
    <w:rsid w:val="00911B4B"/>
    <w:rsid w:val="00950BE3"/>
    <w:rsid w:val="00A4650E"/>
    <w:rsid w:val="00C450A7"/>
    <w:rsid w:val="00D628E9"/>
    <w:rsid w:val="00E21B81"/>
    <w:rsid w:val="00E21C4D"/>
    <w:rsid w:val="00E3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50"/>
  </w:style>
  <w:style w:type="paragraph" w:styleId="Footer">
    <w:name w:val="footer"/>
    <w:basedOn w:val="Normal"/>
    <w:link w:val="FooterChar"/>
    <w:uiPriority w:val="99"/>
    <w:unhideWhenUsed/>
    <w:rsid w:val="001E7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50"/>
  </w:style>
  <w:style w:type="paragraph" w:styleId="BalloonText">
    <w:name w:val="Balloon Text"/>
    <w:basedOn w:val="Normal"/>
    <w:link w:val="BalloonTextChar"/>
    <w:uiPriority w:val="99"/>
    <w:semiHidden/>
    <w:unhideWhenUsed/>
    <w:rsid w:val="001E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50"/>
  </w:style>
  <w:style w:type="paragraph" w:styleId="Footer">
    <w:name w:val="footer"/>
    <w:basedOn w:val="Normal"/>
    <w:link w:val="FooterChar"/>
    <w:uiPriority w:val="99"/>
    <w:unhideWhenUsed/>
    <w:rsid w:val="001E7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50"/>
  </w:style>
  <w:style w:type="paragraph" w:styleId="BalloonText">
    <w:name w:val="Balloon Text"/>
    <w:basedOn w:val="Normal"/>
    <w:link w:val="BalloonTextChar"/>
    <w:uiPriority w:val="99"/>
    <w:semiHidden/>
    <w:unhideWhenUsed/>
    <w:rsid w:val="001E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1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7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p.ResusDecisions@gwh.nhs.u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Martyr, Jeni</dc:creator>
  <cp:lastModifiedBy>victoria.jarrett</cp:lastModifiedBy>
  <cp:revision>2</cp:revision>
  <dcterms:created xsi:type="dcterms:W3CDTF">2015-08-13T13:35:00Z</dcterms:created>
  <dcterms:modified xsi:type="dcterms:W3CDTF">2015-08-13T13:35:00Z</dcterms:modified>
</cp:coreProperties>
</file>