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A6C" w:rsidRDefault="00270A6C" w:rsidP="00270A6C">
      <w:pPr>
        <w:spacing w:before="100" w:beforeAutospacing="1" w:after="100" w:afterAutospacing="1"/>
        <w:jc w:val="center"/>
        <w:rPr>
          <w:rFonts w:ascii="Helv" w:hAnsi="Helv" w:cs="Arial"/>
          <w:b/>
          <w:color w:val="2A2A2A"/>
          <w:sz w:val="22"/>
          <w:szCs w:val="22"/>
          <w:lang w:val="en-US"/>
        </w:rPr>
      </w:pPr>
      <w:bookmarkStart w:id="0" w:name="_GoBack"/>
      <w:bookmarkEnd w:id="0"/>
    </w:p>
    <w:p w:rsidR="00270A6C" w:rsidRPr="008D23A7" w:rsidRDefault="00270A6C" w:rsidP="00270A6C">
      <w:pPr>
        <w:spacing w:before="100" w:beforeAutospacing="1" w:after="100" w:afterAutospacing="1"/>
        <w:jc w:val="center"/>
        <w:rPr>
          <w:rFonts w:ascii="Helv" w:hAnsi="Helv" w:cs="Arial"/>
          <w:b/>
          <w:color w:val="2A2A2A"/>
          <w:sz w:val="22"/>
          <w:szCs w:val="22"/>
          <w:lang w:val="en-US"/>
        </w:rPr>
      </w:pPr>
      <w:r w:rsidRPr="008D23A7">
        <w:rPr>
          <w:rFonts w:ascii="Helv" w:hAnsi="Helv" w:cs="Arial"/>
          <w:b/>
          <w:color w:val="2A2A2A"/>
          <w:sz w:val="22"/>
          <w:szCs w:val="22"/>
          <w:lang w:val="en-US"/>
        </w:rPr>
        <w:t>GREAT WESTERN HOSPITALS NHS FOUNDATION TRUST</w:t>
      </w:r>
    </w:p>
    <w:p w:rsidR="00270A6C" w:rsidRPr="008D23A7" w:rsidRDefault="00270A6C" w:rsidP="00270A6C">
      <w:pPr>
        <w:spacing w:before="100" w:beforeAutospacing="1" w:after="100" w:afterAutospacing="1"/>
        <w:jc w:val="center"/>
        <w:rPr>
          <w:rFonts w:ascii="Helv" w:hAnsi="Helv" w:cs="Arial"/>
          <w:b/>
          <w:color w:val="2A2A2A"/>
          <w:sz w:val="22"/>
          <w:szCs w:val="22"/>
          <w:lang w:val="en-US"/>
        </w:rPr>
      </w:pPr>
      <w:r w:rsidRPr="008D23A7">
        <w:rPr>
          <w:rFonts w:ascii="Helv" w:hAnsi="Helv" w:cs="Arial"/>
          <w:b/>
          <w:color w:val="2A2A2A"/>
          <w:sz w:val="22"/>
          <w:szCs w:val="22"/>
          <w:lang w:val="en-US"/>
        </w:rPr>
        <w:t>RISK TOLERANCE STATEMENT</w:t>
      </w:r>
    </w:p>
    <w:p w:rsidR="00270A6C" w:rsidRPr="008D23A7" w:rsidRDefault="000348F2" w:rsidP="00270A6C">
      <w:pPr>
        <w:spacing w:before="100" w:beforeAutospacing="1" w:after="100" w:afterAutospacing="1"/>
        <w:jc w:val="center"/>
        <w:rPr>
          <w:rFonts w:ascii="Helv" w:hAnsi="Helv" w:cs="Arial"/>
          <w:b/>
          <w:color w:val="2A2A2A"/>
          <w:sz w:val="22"/>
          <w:szCs w:val="22"/>
          <w:lang w:val="en-US"/>
        </w:rPr>
      </w:pPr>
      <w:r>
        <w:rPr>
          <w:rFonts w:ascii="Helv" w:hAnsi="Helv" w:cs="Arial"/>
          <w:b/>
          <w:color w:val="2A2A2A"/>
          <w:sz w:val="22"/>
          <w:szCs w:val="22"/>
          <w:lang w:val="en-US"/>
        </w:rPr>
        <w:t>December 2015</w:t>
      </w:r>
    </w:p>
    <w:p w:rsidR="00270A6C" w:rsidRPr="008D23A7" w:rsidRDefault="00270A6C" w:rsidP="00270A6C">
      <w:pPr>
        <w:rPr>
          <w:rFonts w:ascii="Helv" w:hAnsi="Helv" w:cs="Arial"/>
          <w:color w:val="2A2A2A"/>
          <w:sz w:val="22"/>
          <w:szCs w:val="22"/>
          <w:lang w:val="en-US"/>
        </w:rPr>
      </w:pPr>
    </w:p>
    <w:p w:rsidR="00270A6C" w:rsidRPr="00586541" w:rsidRDefault="00270A6C" w:rsidP="00270A6C">
      <w:pPr>
        <w:jc w:val="both"/>
        <w:rPr>
          <w:rFonts w:ascii="Helv" w:hAnsi="Helv" w:cs="Arial"/>
          <w:sz w:val="22"/>
          <w:szCs w:val="22"/>
          <w:lang w:val="en-US"/>
        </w:rPr>
      </w:pPr>
      <w:r w:rsidRPr="008D23A7">
        <w:rPr>
          <w:rFonts w:ascii="Helv" w:hAnsi="Helv" w:cs="Arial"/>
          <w:color w:val="2A2A2A"/>
          <w:sz w:val="22"/>
          <w:szCs w:val="22"/>
          <w:lang w:val="en-US"/>
        </w:rPr>
        <w:t xml:space="preserve">The management of risk underpins the achievement of the Trust’s objectives. Effective risk management is imperative to </w:t>
      </w:r>
      <w:r w:rsidRPr="00586541">
        <w:rPr>
          <w:rFonts w:ascii="Helv" w:hAnsi="Helv" w:cs="Arial"/>
          <w:sz w:val="22"/>
          <w:szCs w:val="22"/>
          <w:lang w:val="en-US"/>
        </w:rPr>
        <w:t>provide a safe environment and improve quality of care for patients.  Risk management is also significant in the financial and business planning process where robust, sustainable financial health and public accountability in delivering health services is required. Risk management is the responsibility of all staff.</w:t>
      </w:r>
    </w:p>
    <w:p w:rsidR="00270A6C" w:rsidRPr="00586541" w:rsidRDefault="00270A6C" w:rsidP="00270A6C">
      <w:pPr>
        <w:jc w:val="both"/>
        <w:rPr>
          <w:rFonts w:ascii="Helv" w:hAnsi="Helv" w:cs="Arial"/>
          <w:sz w:val="22"/>
          <w:szCs w:val="22"/>
          <w:lang w:val="en-US"/>
        </w:rPr>
      </w:pPr>
    </w:p>
    <w:p w:rsidR="00270A6C" w:rsidRPr="00586541" w:rsidRDefault="00270A6C" w:rsidP="00270A6C">
      <w:pPr>
        <w:jc w:val="both"/>
        <w:rPr>
          <w:rFonts w:ascii="Helv" w:hAnsi="Helv" w:cs="Arial"/>
          <w:sz w:val="22"/>
          <w:szCs w:val="22"/>
          <w:lang w:val="en-US"/>
        </w:rPr>
      </w:pPr>
      <w:r w:rsidRPr="00586541">
        <w:rPr>
          <w:rFonts w:ascii="Helv" w:hAnsi="Helv" w:cs="Arial"/>
          <w:sz w:val="22"/>
          <w:szCs w:val="22"/>
          <w:lang w:val="en-US"/>
        </w:rPr>
        <w:t xml:space="preserve">The Trust recognises that its long term sustainability depends upon the delivery of its strategic objectives and its relationships with its patients, the public and strategic partners.  </w:t>
      </w:r>
      <w:r w:rsidR="000348F2">
        <w:rPr>
          <w:rFonts w:ascii="HelveticaNeue-Light" w:hAnsi="HelveticaNeue-Light" w:cs="HelveticaNeue-Light"/>
          <w:lang w:eastAsia="en-GB"/>
        </w:rPr>
        <w:t>Th</w:t>
      </w:r>
      <w:r w:rsidR="000348F2" w:rsidRPr="00365077">
        <w:rPr>
          <w:rFonts w:ascii="HelveticaNeue-Light" w:hAnsi="HelveticaNeue-Light" w:cs="HelveticaNeue-Light"/>
          <w:lang w:eastAsia="en-GB"/>
        </w:rPr>
        <w:t>e Trust will not accept risks that i</w:t>
      </w:r>
      <w:r w:rsidR="000348F2">
        <w:rPr>
          <w:rFonts w:ascii="HelveticaNeue-Light" w:hAnsi="HelveticaNeue-Light" w:cs="HelveticaNeue-Light"/>
          <w:lang w:eastAsia="en-GB"/>
        </w:rPr>
        <w:t xml:space="preserve">mpact on patient safety and wishes to avoid risks which </w:t>
      </w:r>
      <w:r w:rsidR="000348F2" w:rsidRPr="00365077">
        <w:rPr>
          <w:rFonts w:ascii="HelveticaNeue-Light" w:hAnsi="HelveticaNeue-Light" w:cs="HelveticaNeue-Light"/>
          <w:lang w:eastAsia="en-GB"/>
        </w:rPr>
        <w:t xml:space="preserve">adversely impact on the financial position.  </w:t>
      </w:r>
      <w:r w:rsidR="000348F2" w:rsidRPr="00365077">
        <w:rPr>
          <w:rFonts w:ascii="Helv" w:hAnsi="Helv" w:cs="Arial"/>
          <w:lang w:val="en-US"/>
        </w:rPr>
        <w:t>However, the Trust has a greater appetite to take considered risks in terms of pursuing innovation and challenge current working practices where positive gains can be anticipated within the constraints of the regulatory and legal environment</w:t>
      </w:r>
      <w:r w:rsidR="000348F2">
        <w:rPr>
          <w:rFonts w:ascii="Helv" w:hAnsi="Helv" w:cs="Arial"/>
          <w:lang w:val="en-US"/>
        </w:rPr>
        <w:t xml:space="preserve">.  The Trust has a higher tolerance for reputational impact.  </w:t>
      </w:r>
      <w:r w:rsidRPr="00586541">
        <w:rPr>
          <w:rFonts w:ascii="Helv" w:hAnsi="Helv" w:cs="Arial"/>
          <w:sz w:val="22"/>
          <w:szCs w:val="22"/>
          <w:lang w:val="en-US"/>
        </w:rPr>
        <w:t>This is depicted in the chart below.</w:t>
      </w:r>
    </w:p>
    <w:p w:rsidR="00270A6C" w:rsidRPr="00586541" w:rsidRDefault="00270A6C" w:rsidP="00270A6C">
      <w:pPr>
        <w:jc w:val="both"/>
        <w:rPr>
          <w:rFonts w:ascii="Helv" w:hAnsi="Helv" w:cs="Arial"/>
          <w:sz w:val="22"/>
          <w:szCs w:val="22"/>
          <w:lang w:val="en-US"/>
        </w:rPr>
      </w:pPr>
    </w:p>
    <w:p w:rsidR="00270A6C" w:rsidRDefault="00270A6C" w:rsidP="00270A6C">
      <w:pPr>
        <w:jc w:val="both"/>
        <w:rPr>
          <w:rFonts w:ascii="Helv" w:hAnsi="Helv" w:cs="Arial"/>
          <w:color w:val="2A2A2A"/>
          <w:sz w:val="22"/>
          <w:szCs w:val="22"/>
          <w:lang w:val="en-US"/>
        </w:rPr>
      </w:pPr>
      <w:r w:rsidRPr="00586541">
        <w:rPr>
          <w:rFonts w:ascii="Helv" w:hAnsi="Helv" w:cs="Arial"/>
          <w:sz w:val="22"/>
          <w:szCs w:val="22"/>
          <w:lang w:val="en-US"/>
        </w:rPr>
        <w:t xml:space="preserve">To assist managers and staff in decisions which </w:t>
      </w:r>
      <w:r w:rsidRPr="008D23A7">
        <w:rPr>
          <w:rFonts w:ascii="Helv" w:hAnsi="Helv" w:cs="Arial"/>
          <w:color w:val="2A2A2A"/>
          <w:sz w:val="22"/>
          <w:szCs w:val="22"/>
          <w:lang w:val="en-US"/>
        </w:rPr>
        <w:t>may involve or facilitate exposure to risk, the Trust Board has set out below its current attitude to risk</w:t>
      </w:r>
      <w:r>
        <w:rPr>
          <w:rFonts w:ascii="Helv" w:hAnsi="Helv" w:cs="Arial"/>
          <w:color w:val="2A2A2A"/>
          <w:sz w:val="22"/>
          <w:szCs w:val="22"/>
          <w:lang w:val="en-US"/>
        </w:rPr>
        <w:t>.</w:t>
      </w:r>
    </w:p>
    <w:p w:rsidR="00270A6C" w:rsidRDefault="00270A6C" w:rsidP="00270A6C">
      <w:pPr>
        <w:jc w:val="both"/>
        <w:rPr>
          <w:rFonts w:ascii="Helv" w:hAnsi="Helv" w:cs="Arial"/>
          <w:color w:val="2A2A2A"/>
          <w:sz w:val="22"/>
          <w:szCs w:val="22"/>
          <w:lang w:val="en-US"/>
        </w:rPr>
      </w:pPr>
    </w:p>
    <w:p w:rsidR="00270A6C" w:rsidRPr="008D23A7" w:rsidRDefault="00270A6C" w:rsidP="00270A6C">
      <w:pPr>
        <w:jc w:val="both"/>
        <w:rPr>
          <w:rFonts w:ascii="Helv" w:hAnsi="Helv" w:cs="Arial"/>
          <w:color w:val="2A2A2A"/>
          <w:sz w:val="22"/>
          <w:szCs w:val="22"/>
          <w:lang w:val="en-US"/>
        </w:rPr>
      </w:pPr>
      <w:r w:rsidRPr="008D23A7">
        <w:rPr>
          <w:rFonts w:ascii="Helv" w:hAnsi="Helv" w:cs="Arial"/>
          <w:color w:val="2A2A2A"/>
          <w:sz w:val="22"/>
          <w:szCs w:val="22"/>
          <w:lang w:val="en-US"/>
        </w:rPr>
        <w:t>This may change over time as internal and external circumstances change, but it provides an approved approach to support decision making by managers and staff. Decisions taken which would be contrary to this statement must be referred to the Executive Directors before implementation.</w:t>
      </w:r>
    </w:p>
    <w:p w:rsidR="00270A6C" w:rsidRDefault="00270A6C" w:rsidP="00270A6C">
      <w:pPr>
        <w:rPr>
          <w:rFonts w:ascii="Helv" w:hAnsi="Helv" w:cs="Arial"/>
          <w:color w:val="2A2A2A"/>
          <w:sz w:val="22"/>
          <w:szCs w:val="22"/>
          <w:lang w:val="en-US"/>
        </w:rPr>
      </w:pPr>
    </w:p>
    <w:p w:rsidR="00270A6C" w:rsidRPr="006008D2" w:rsidRDefault="00270A6C" w:rsidP="00270A6C">
      <w:pPr>
        <w:spacing w:after="200" w:line="276" w:lineRule="auto"/>
        <w:rPr>
          <w:rFonts w:ascii="Arial" w:hAnsi="Arial" w:cs="Arial"/>
          <w:b/>
          <w:sz w:val="20"/>
          <w:szCs w:val="20"/>
        </w:rPr>
      </w:pPr>
      <w:r w:rsidRPr="006008D2">
        <w:rPr>
          <w:rFonts w:ascii="Arial" w:hAnsi="Arial" w:cs="Arial"/>
          <w:b/>
          <w:sz w:val="20"/>
          <w:szCs w:val="20"/>
        </w:rPr>
        <w:t xml:space="preserve">Risk Appetite by Area </w:t>
      </w:r>
    </w:p>
    <w:p w:rsidR="00270A6C" w:rsidRPr="00AF362B" w:rsidRDefault="00270A6C" w:rsidP="00270A6C">
      <w:pPr>
        <w:rPr>
          <w:rFonts w:ascii="Arial" w:hAnsi="Arial" w:cs="Arial"/>
          <w:sz w:val="20"/>
          <w:szCs w:val="20"/>
        </w:rPr>
      </w:pPr>
      <w:r w:rsidRPr="004A0E7A">
        <w:rPr>
          <w:rFonts w:ascii="Helv" w:hAnsi="Helv" w:cs="Arial"/>
          <w:noProof/>
          <w:color w:val="2A2A2A"/>
          <w:sz w:val="22"/>
          <w:szCs w:val="22"/>
          <w:lang w:eastAsia="en-GB"/>
        </w:rPr>
        <mc:AlternateContent>
          <mc:Choice Requires="wps">
            <w:drawing>
              <wp:anchor distT="0" distB="0" distL="114300" distR="114300" simplePos="0" relativeHeight="251659264" behindDoc="0" locked="0" layoutInCell="1" allowOverlap="1" wp14:anchorId="18E501F7" wp14:editId="24892D89">
                <wp:simplePos x="0" y="0"/>
                <wp:positionH relativeFrom="column">
                  <wp:posOffset>-514350</wp:posOffset>
                </wp:positionH>
                <wp:positionV relativeFrom="paragraph">
                  <wp:posOffset>131445</wp:posOffset>
                </wp:positionV>
                <wp:extent cx="2374265" cy="14522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52245"/>
                        </a:xfrm>
                        <a:prstGeom prst="rect">
                          <a:avLst/>
                        </a:prstGeom>
                        <a:solidFill>
                          <a:srgbClr val="FFFFFF"/>
                        </a:solidFill>
                        <a:ln w="9525">
                          <a:noFill/>
                          <a:miter lim="800000"/>
                          <a:headEnd/>
                          <a:tailEnd/>
                        </a:ln>
                      </wps:spPr>
                      <wps:txbx>
                        <w:txbxContent>
                          <w:p w:rsidR="00270A6C" w:rsidRPr="004A0E7A" w:rsidRDefault="00270A6C" w:rsidP="00270A6C">
                            <w:pPr>
                              <w:rPr>
                                <w:b/>
                              </w:rPr>
                            </w:pPr>
                            <w:r w:rsidRPr="004A0E7A">
                              <w:rPr>
                                <w:b/>
                              </w:rPr>
                              <w:t>Level of Risk Taking</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5pt;margin-top:10.35pt;width:186.95pt;height:114.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" stroked="f">
                <v:textbox style="layout-flow:vertical;mso-layout-flow-alt:bottom-to-top;mso-fit-shape-to-text:t">
                  <w:txbxContent>
                    <w:p w:rsidR="00270A6C" w:rsidRPr="004A0E7A" w:rsidRDefault="00270A6C" w:rsidP="00270A6C">
                      <w:pPr>
                        <w:rPr>
                          <w:b/>
                        </w:rPr>
                      </w:pPr>
                      <w:r w:rsidRPr="004A0E7A">
                        <w:rPr>
                          <w:b/>
                        </w:rPr>
                        <w:t>Level of Risk Taking</w:t>
                      </w: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
        <w:gridCol w:w="222"/>
        <w:gridCol w:w="1269"/>
        <w:gridCol w:w="283"/>
        <w:gridCol w:w="1337"/>
        <w:gridCol w:w="284"/>
        <w:gridCol w:w="1276"/>
        <w:gridCol w:w="283"/>
        <w:gridCol w:w="1416"/>
        <w:gridCol w:w="283"/>
        <w:gridCol w:w="1352"/>
      </w:tblGrid>
      <w:tr w:rsidR="00270A6C" w:rsidRPr="00AF362B" w:rsidTr="000E5447">
        <w:tc>
          <w:tcPr>
            <w:tcW w:w="1034" w:type="dxa"/>
            <w:tcBorders>
              <w:top w:val="single" w:sz="2" w:space="0" w:color="auto"/>
              <w:bottom w:val="single" w:sz="2" w:space="0" w:color="auto"/>
            </w:tcBorders>
          </w:tcPr>
          <w:p w:rsidR="00270A6C" w:rsidRDefault="00270A6C" w:rsidP="000E5447">
            <w:pPr>
              <w:rPr>
                <w:rFonts w:ascii="Arial" w:hAnsi="Arial" w:cs="Arial"/>
                <w:b/>
                <w:sz w:val="16"/>
                <w:szCs w:val="16"/>
              </w:rPr>
            </w:pPr>
          </w:p>
          <w:p w:rsidR="00270A6C" w:rsidRPr="00526AD1" w:rsidRDefault="00270A6C" w:rsidP="000E5447">
            <w:pPr>
              <w:rPr>
                <w:rFonts w:ascii="Arial" w:hAnsi="Arial" w:cs="Arial"/>
                <w:b/>
                <w:sz w:val="16"/>
                <w:szCs w:val="16"/>
              </w:rPr>
            </w:pPr>
            <w:r w:rsidRPr="00526AD1">
              <w:rPr>
                <w:rFonts w:ascii="Arial" w:hAnsi="Arial" w:cs="Arial"/>
                <w:b/>
                <w:sz w:val="16"/>
                <w:szCs w:val="16"/>
              </w:rPr>
              <w:t>Significant</w:t>
            </w:r>
          </w:p>
          <w:p w:rsidR="00270A6C" w:rsidRPr="00526AD1" w:rsidRDefault="00270A6C" w:rsidP="000E5447">
            <w:pPr>
              <w:rPr>
                <w:rFonts w:ascii="Arial" w:hAnsi="Arial" w:cs="Arial"/>
                <w:b/>
                <w:sz w:val="16"/>
                <w:szCs w:val="16"/>
              </w:rPr>
            </w:pPr>
          </w:p>
        </w:tc>
        <w:tc>
          <w:tcPr>
            <w:tcW w:w="222" w:type="dxa"/>
            <w:tcBorders>
              <w:top w:val="single" w:sz="2" w:space="0" w:color="auto"/>
              <w:bottom w:val="single" w:sz="2" w:space="0" w:color="auto"/>
            </w:tcBorders>
          </w:tcPr>
          <w:p w:rsidR="00270A6C" w:rsidRPr="00AF362B" w:rsidRDefault="00270A6C" w:rsidP="000E5447">
            <w:pPr>
              <w:rPr>
                <w:rFonts w:ascii="Arial" w:hAnsi="Arial" w:cs="Arial"/>
                <w:sz w:val="16"/>
                <w:szCs w:val="16"/>
              </w:rPr>
            </w:pPr>
          </w:p>
        </w:tc>
        <w:tc>
          <w:tcPr>
            <w:tcW w:w="1269"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37"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4" w:type="dxa"/>
            <w:tcBorders>
              <w:top w:val="single" w:sz="2" w:space="0" w:color="auto"/>
              <w:bottom w:val="single" w:sz="2" w:space="0" w:color="auto"/>
            </w:tcBorders>
            <w:shd w:val="clear" w:color="auto" w:fill="auto"/>
          </w:tcPr>
          <w:p w:rsidR="00270A6C" w:rsidRPr="00AF362B" w:rsidRDefault="00270A6C" w:rsidP="000E5447">
            <w:pPr>
              <w:jc w:val="center"/>
              <w:rPr>
                <w:rFonts w:ascii="Arial" w:hAnsi="Arial" w:cs="Arial"/>
                <w:sz w:val="16"/>
                <w:szCs w:val="16"/>
              </w:rPr>
            </w:pPr>
          </w:p>
        </w:tc>
        <w:tc>
          <w:tcPr>
            <w:tcW w:w="1276"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416"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52"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r>
      <w:tr w:rsidR="00270A6C" w:rsidRPr="00AF362B" w:rsidTr="000348F2">
        <w:tc>
          <w:tcPr>
            <w:tcW w:w="1034" w:type="dxa"/>
            <w:tcBorders>
              <w:top w:val="single" w:sz="2" w:space="0" w:color="auto"/>
              <w:bottom w:val="single" w:sz="2" w:space="0" w:color="auto"/>
            </w:tcBorders>
          </w:tcPr>
          <w:p w:rsidR="00270A6C" w:rsidRDefault="00270A6C" w:rsidP="000E5447">
            <w:pPr>
              <w:rPr>
                <w:rFonts w:ascii="Arial" w:hAnsi="Arial" w:cs="Arial"/>
                <w:b/>
                <w:sz w:val="16"/>
                <w:szCs w:val="16"/>
              </w:rPr>
            </w:pPr>
          </w:p>
          <w:p w:rsidR="00270A6C" w:rsidRPr="00526AD1" w:rsidRDefault="00270A6C" w:rsidP="000E5447">
            <w:pPr>
              <w:rPr>
                <w:rFonts w:ascii="Arial" w:hAnsi="Arial" w:cs="Arial"/>
                <w:b/>
                <w:sz w:val="16"/>
                <w:szCs w:val="16"/>
              </w:rPr>
            </w:pPr>
            <w:r w:rsidRPr="00526AD1">
              <w:rPr>
                <w:rFonts w:ascii="Arial" w:hAnsi="Arial" w:cs="Arial"/>
                <w:b/>
                <w:sz w:val="16"/>
                <w:szCs w:val="16"/>
              </w:rPr>
              <w:t>High</w:t>
            </w:r>
          </w:p>
          <w:p w:rsidR="00270A6C" w:rsidRPr="00526AD1" w:rsidRDefault="00270A6C" w:rsidP="000E5447">
            <w:pPr>
              <w:rPr>
                <w:rFonts w:ascii="Arial" w:hAnsi="Arial" w:cs="Arial"/>
                <w:b/>
                <w:sz w:val="16"/>
                <w:szCs w:val="16"/>
              </w:rPr>
            </w:pPr>
          </w:p>
        </w:tc>
        <w:tc>
          <w:tcPr>
            <w:tcW w:w="222" w:type="dxa"/>
            <w:tcBorders>
              <w:top w:val="single" w:sz="2" w:space="0" w:color="auto"/>
              <w:bottom w:val="single" w:sz="2" w:space="0" w:color="auto"/>
            </w:tcBorders>
          </w:tcPr>
          <w:p w:rsidR="00270A6C" w:rsidRPr="00AF362B" w:rsidRDefault="00270A6C" w:rsidP="000E5447">
            <w:pPr>
              <w:rPr>
                <w:rFonts w:ascii="Arial" w:hAnsi="Arial" w:cs="Arial"/>
                <w:sz w:val="16"/>
                <w:szCs w:val="16"/>
              </w:rPr>
            </w:pPr>
          </w:p>
        </w:tc>
        <w:tc>
          <w:tcPr>
            <w:tcW w:w="1269"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37"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4" w:type="dxa"/>
            <w:tcBorders>
              <w:top w:val="single" w:sz="2" w:space="0" w:color="auto"/>
              <w:bottom w:val="single" w:sz="2" w:space="0" w:color="auto"/>
            </w:tcBorders>
            <w:shd w:val="clear" w:color="auto" w:fill="auto"/>
          </w:tcPr>
          <w:p w:rsidR="00270A6C" w:rsidRPr="00AF362B" w:rsidRDefault="00270A6C" w:rsidP="000E5447">
            <w:pPr>
              <w:jc w:val="center"/>
              <w:rPr>
                <w:rFonts w:ascii="Arial" w:hAnsi="Arial" w:cs="Arial"/>
                <w:sz w:val="16"/>
                <w:szCs w:val="16"/>
              </w:rPr>
            </w:pPr>
          </w:p>
        </w:tc>
        <w:tc>
          <w:tcPr>
            <w:tcW w:w="1276" w:type="dxa"/>
            <w:tcBorders>
              <w:top w:val="single" w:sz="2" w:space="0" w:color="auto"/>
              <w:bottom w:val="single" w:sz="2" w:space="0" w:color="auto"/>
            </w:tcBorders>
            <w:shd w:val="clear" w:color="auto" w:fill="BFBFBF" w:themeFill="background1" w:themeFillShade="BF"/>
          </w:tcPr>
          <w:p w:rsidR="00270A6C" w:rsidRPr="00AF362B" w:rsidRDefault="00270A6C" w:rsidP="000E5447">
            <w:pPr>
              <w:jc w:val="center"/>
              <w:rPr>
                <w:rFonts w:ascii="Arial" w:hAnsi="Arial" w:cs="Arial"/>
                <w:sz w:val="16"/>
                <w:szCs w:val="16"/>
              </w:rPr>
            </w:pPr>
            <w:r>
              <w:rPr>
                <w:rFonts w:ascii="Arial" w:hAnsi="Arial" w:cs="Arial"/>
                <w:sz w:val="16"/>
                <w:szCs w:val="16"/>
              </w:rPr>
              <w:t>Open tolerance</w:t>
            </w: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416"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52" w:type="dxa"/>
            <w:tcBorders>
              <w:top w:val="single" w:sz="2" w:space="0" w:color="auto"/>
              <w:bottom w:val="single" w:sz="2" w:space="0" w:color="auto"/>
            </w:tcBorders>
            <w:shd w:val="clear" w:color="auto" w:fill="BFBFBF" w:themeFill="background1" w:themeFillShade="BF"/>
          </w:tcPr>
          <w:p w:rsidR="000348F2" w:rsidRDefault="000348F2" w:rsidP="000348F2">
            <w:pPr>
              <w:jc w:val="center"/>
              <w:rPr>
                <w:rFonts w:ascii="Arial" w:hAnsi="Arial" w:cs="Arial"/>
                <w:sz w:val="16"/>
                <w:szCs w:val="16"/>
              </w:rPr>
            </w:pPr>
            <w:r>
              <w:rPr>
                <w:rFonts w:ascii="Arial" w:hAnsi="Arial" w:cs="Arial"/>
                <w:sz w:val="16"/>
                <w:szCs w:val="16"/>
              </w:rPr>
              <w:t xml:space="preserve">Open </w:t>
            </w:r>
          </w:p>
          <w:p w:rsidR="000348F2" w:rsidRDefault="000348F2" w:rsidP="000348F2">
            <w:pPr>
              <w:jc w:val="center"/>
              <w:rPr>
                <w:rFonts w:ascii="Arial" w:hAnsi="Arial" w:cs="Arial"/>
                <w:sz w:val="16"/>
                <w:szCs w:val="16"/>
              </w:rPr>
            </w:pPr>
            <w:r>
              <w:rPr>
                <w:rFonts w:ascii="Arial" w:hAnsi="Arial" w:cs="Arial"/>
                <w:sz w:val="16"/>
                <w:szCs w:val="16"/>
              </w:rPr>
              <w:t>tolerance</w:t>
            </w:r>
          </w:p>
          <w:p w:rsidR="00270A6C" w:rsidRPr="00AF362B" w:rsidRDefault="00270A6C" w:rsidP="000E5447">
            <w:pPr>
              <w:jc w:val="center"/>
              <w:rPr>
                <w:rFonts w:ascii="Arial" w:hAnsi="Arial" w:cs="Arial"/>
                <w:sz w:val="16"/>
                <w:szCs w:val="16"/>
              </w:rPr>
            </w:pPr>
          </w:p>
        </w:tc>
      </w:tr>
      <w:tr w:rsidR="00270A6C" w:rsidRPr="00AF362B" w:rsidTr="000E5447">
        <w:tc>
          <w:tcPr>
            <w:tcW w:w="1034" w:type="dxa"/>
            <w:tcBorders>
              <w:top w:val="single" w:sz="2" w:space="0" w:color="auto"/>
              <w:bottom w:val="single" w:sz="2" w:space="0" w:color="auto"/>
            </w:tcBorders>
          </w:tcPr>
          <w:p w:rsidR="00270A6C" w:rsidRDefault="00270A6C" w:rsidP="000E5447">
            <w:pPr>
              <w:rPr>
                <w:rFonts w:ascii="Arial" w:hAnsi="Arial" w:cs="Arial"/>
                <w:b/>
                <w:sz w:val="16"/>
                <w:szCs w:val="16"/>
              </w:rPr>
            </w:pPr>
          </w:p>
          <w:p w:rsidR="00270A6C" w:rsidRPr="00526AD1" w:rsidRDefault="00270A6C" w:rsidP="000E5447">
            <w:pPr>
              <w:rPr>
                <w:rFonts w:ascii="Arial" w:hAnsi="Arial" w:cs="Arial"/>
                <w:b/>
                <w:sz w:val="16"/>
                <w:szCs w:val="16"/>
              </w:rPr>
            </w:pPr>
            <w:r w:rsidRPr="00526AD1">
              <w:rPr>
                <w:rFonts w:ascii="Arial" w:hAnsi="Arial" w:cs="Arial"/>
                <w:b/>
                <w:sz w:val="16"/>
                <w:szCs w:val="16"/>
              </w:rPr>
              <w:t>Moderate</w:t>
            </w:r>
          </w:p>
          <w:p w:rsidR="00270A6C" w:rsidRPr="00526AD1" w:rsidRDefault="00270A6C" w:rsidP="000E5447">
            <w:pPr>
              <w:rPr>
                <w:rFonts w:ascii="Arial" w:hAnsi="Arial" w:cs="Arial"/>
                <w:b/>
                <w:sz w:val="16"/>
                <w:szCs w:val="16"/>
              </w:rPr>
            </w:pPr>
          </w:p>
        </w:tc>
        <w:tc>
          <w:tcPr>
            <w:tcW w:w="222" w:type="dxa"/>
            <w:tcBorders>
              <w:top w:val="single" w:sz="2" w:space="0" w:color="auto"/>
              <w:bottom w:val="single" w:sz="2" w:space="0" w:color="auto"/>
            </w:tcBorders>
          </w:tcPr>
          <w:p w:rsidR="00270A6C" w:rsidRPr="00AF362B" w:rsidRDefault="00270A6C" w:rsidP="000E5447">
            <w:pPr>
              <w:rPr>
                <w:rFonts w:ascii="Arial" w:hAnsi="Arial" w:cs="Arial"/>
                <w:sz w:val="16"/>
                <w:szCs w:val="16"/>
              </w:rPr>
            </w:pPr>
          </w:p>
        </w:tc>
        <w:tc>
          <w:tcPr>
            <w:tcW w:w="1269"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37"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284" w:type="dxa"/>
            <w:tcBorders>
              <w:top w:val="single" w:sz="2" w:space="0" w:color="auto"/>
              <w:bottom w:val="single" w:sz="2" w:space="0" w:color="auto"/>
            </w:tcBorders>
            <w:shd w:val="clear" w:color="auto" w:fill="auto"/>
          </w:tcPr>
          <w:p w:rsidR="00270A6C" w:rsidRPr="00AF362B" w:rsidRDefault="00270A6C" w:rsidP="000E5447">
            <w:pPr>
              <w:jc w:val="center"/>
              <w:rPr>
                <w:rFonts w:ascii="Arial" w:hAnsi="Arial" w:cs="Arial"/>
                <w:sz w:val="16"/>
                <w:szCs w:val="16"/>
              </w:rPr>
            </w:pPr>
          </w:p>
        </w:tc>
        <w:tc>
          <w:tcPr>
            <w:tcW w:w="1276" w:type="dxa"/>
            <w:tcBorders>
              <w:top w:val="single" w:sz="2" w:space="0" w:color="auto"/>
              <w:bottom w:val="single" w:sz="2" w:space="0" w:color="auto"/>
            </w:tcBorders>
            <w:shd w:val="clear" w:color="auto" w:fill="BFBFBF" w:themeFill="background1" w:themeFillShade="BF"/>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416" w:type="dxa"/>
            <w:tcBorders>
              <w:top w:val="single" w:sz="2" w:space="0" w:color="auto"/>
              <w:bottom w:val="single" w:sz="2" w:space="0" w:color="auto"/>
            </w:tcBorders>
            <w:shd w:val="clear" w:color="auto" w:fill="BFBFBF" w:themeFill="background1" w:themeFillShade="BF"/>
          </w:tcPr>
          <w:p w:rsidR="00270A6C" w:rsidRPr="00AF362B" w:rsidRDefault="00270A6C" w:rsidP="000E5447">
            <w:pPr>
              <w:jc w:val="center"/>
              <w:rPr>
                <w:rFonts w:ascii="Arial" w:hAnsi="Arial" w:cs="Arial"/>
                <w:sz w:val="16"/>
                <w:szCs w:val="16"/>
              </w:rPr>
            </w:pPr>
            <w:r>
              <w:rPr>
                <w:rFonts w:ascii="Arial" w:hAnsi="Arial" w:cs="Arial"/>
                <w:sz w:val="16"/>
                <w:szCs w:val="16"/>
              </w:rPr>
              <w:t>Cautious tolerance</w:t>
            </w: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52" w:type="dxa"/>
            <w:tcBorders>
              <w:top w:val="single" w:sz="2" w:space="0" w:color="auto"/>
              <w:bottom w:val="single" w:sz="2" w:space="0" w:color="auto"/>
            </w:tcBorders>
            <w:shd w:val="clear" w:color="auto" w:fill="BFBFBF" w:themeFill="background1" w:themeFillShade="BF"/>
          </w:tcPr>
          <w:p w:rsidR="00270A6C" w:rsidRPr="00526AD1" w:rsidRDefault="00270A6C" w:rsidP="000348F2">
            <w:pPr>
              <w:jc w:val="center"/>
              <w:rPr>
                <w:rFonts w:ascii="Arial" w:hAnsi="Arial" w:cs="Arial"/>
                <w:sz w:val="16"/>
                <w:szCs w:val="16"/>
              </w:rPr>
            </w:pPr>
          </w:p>
        </w:tc>
      </w:tr>
      <w:tr w:rsidR="00270A6C" w:rsidRPr="00AF362B" w:rsidTr="00270A6C">
        <w:tc>
          <w:tcPr>
            <w:tcW w:w="1034" w:type="dxa"/>
            <w:tcBorders>
              <w:top w:val="single" w:sz="2" w:space="0" w:color="auto"/>
              <w:bottom w:val="single" w:sz="2" w:space="0" w:color="auto"/>
            </w:tcBorders>
          </w:tcPr>
          <w:p w:rsidR="00270A6C" w:rsidRDefault="00270A6C" w:rsidP="000E5447">
            <w:pPr>
              <w:rPr>
                <w:rFonts w:ascii="Arial" w:hAnsi="Arial" w:cs="Arial"/>
                <w:b/>
                <w:sz w:val="16"/>
                <w:szCs w:val="16"/>
              </w:rPr>
            </w:pPr>
          </w:p>
          <w:p w:rsidR="00270A6C" w:rsidRPr="00526AD1" w:rsidRDefault="00270A6C" w:rsidP="000E5447">
            <w:pPr>
              <w:rPr>
                <w:rFonts w:ascii="Arial" w:hAnsi="Arial" w:cs="Arial"/>
                <w:b/>
                <w:sz w:val="16"/>
                <w:szCs w:val="16"/>
              </w:rPr>
            </w:pPr>
            <w:r w:rsidRPr="00526AD1">
              <w:rPr>
                <w:rFonts w:ascii="Arial" w:hAnsi="Arial" w:cs="Arial"/>
                <w:b/>
                <w:sz w:val="16"/>
                <w:szCs w:val="16"/>
              </w:rPr>
              <w:t>Low</w:t>
            </w:r>
          </w:p>
          <w:p w:rsidR="00270A6C" w:rsidRPr="00526AD1" w:rsidRDefault="00270A6C" w:rsidP="000E5447">
            <w:pPr>
              <w:rPr>
                <w:rFonts w:ascii="Arial" w:hAnsi="Arial" w:cs="Arial"/>
                <w:b/>
                <w:sz w:val="16"/>
                <w:szCs w:val="16"/>
              </w:rPr>
            </w:pPr>
          </w:p>
        </w:tc>
        <w:tc>
          <w:tcPr>
            <w:tcW w:w="222" w:type="dxa"/>
            <w:tcBorders>
              <w:top w:val="single" w:sz="2" w:space="0" w:color="auto"/>
              <w:bottom w:val="single" w:sz="2" w:space="0" w:color="auto"/>
            </w:tcBorders>
          </w:tcPr>
          <w:p w:rsidR="00270A6C" w:rsidRPr="00AF362B" w:rsidRDefault="00270A6C" w:rsidP="000E5447">
            <w:pPr>
              <w:rPr>
                <w:rFonts w:ascii="Arial" w:hAnsi="Arial" w:cs="Arial"/>
                <w:sz w:val="16"/>
                <w:szCs w:val="16"/>
              </w:rPr>
            </w:pPr>
          </w:p>
        </w:tc>
        <w:tc>
          <w:tcPr>
            <w:tcW w:w="1269" w:type="dxa"/>
            <w:tcBorders>
              <w:top w:val="single" w:sz="2" w:space="0" w:color="auto"/>
              <w:bottom w:val="single" w:sz="2" w:space="0" w:color="auto"/>
            </w:tcBorders>
            <w:shd w:val="clear" w:color="auto" w:fill="FFFFFF" w:themeFill="background1"/>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37" w:type="dxa"/>
            <w:tcBorders>
              <w:top w:val="single" w:sz="2" w:space="0" w:color="auto"/>
              <w:bottom w:val="single" w:sz="2" w:space="0" w:color="auto"/>
            </w:tcBorders>
            <w:shd w:val="clear" w:color="auto" w:fill="BFBFBF" w:themeFill="background1" w:themeFillShade="BF"/>
          </w:tcPr>
          <w:p w:rsidR="00270A6C" w:rsidRPr="00AF362B" w:rsidRDefault="00270A6C" w:rsidP="000E5447">
            <w:pPr>
              <w:jc w:val="center"/>
              <w:rPr>
                <w:rFonts w:ascii="Arial" w:hAnsi="Arial" w:cs="Arial"/>
                <w:sz w:val="16"/>
                <w:szCs w:val="16"/>
              </w:rPr>
            </w:pPr>
            <w:r>
              <w:rPr>
                <w:rFonts w:ascii="Arial" w:hAnsi="Arial" w:cs="Arial"/>
                <w:sz w:val="16"/>
                <w:szCs w:val="16"/>
              </w:rPr>
              <w:t>Minimal tolerance</w:t>
            </w:r>
          </w:p>
        </w:tc>
        <w:tc>
          <w:tcPr>
            <w:tcW w:w="284" w:type="dxa"/>
            <w:tcBorders>
              <w:top w:val="single" w:sz="2" w:space="0" w:color="auto"/>
              <w:bottom w:val="single" w:sz="2" w:space="0" w:color="auto"/>
            </w:tcBorders>
            <w:shd w:val="clear" w:color="auto" w:fill="auto"/>
          </w:tcPr>
          <w:p w:rsidR="00270A6C" w:rsidRPr="00AF362B" w:rsidRDefault="00270A6C" w:rsidP="000E5447">
            <w:pPr>
              <w:jc w:val="center"/>
              <w:rPr>
                <w:rFonts w:ascii="Arial" w:hAnsi="Arial" w:cs="Arial"/>
                <w:sz w:val="16"/>
                <w:szCs w:val="16"/>
              </w:rPr>
            </w:pPr>
          </w:p>
        </w:tc>
        <w:tc>
          <w:tcPr>
            <w:tcW w:w="1276" w:type="dxa"/>
            <w:tcBorders>
              <w:top w:val="single" w:sz="2" w:space="0" w:color="auto"/>
              <w:bottom w:val="single" w:sz="2" w:space="0" w:color="auto"/>
            </w:tcBorders>
            <w:shd w:val="clear" w:color="auto" w:fill="BFBFBF" w:themeFill="background1" w:themeFillShade="BF"/>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416" w:type="dxa"/>
            <w:tcBorders>
              <w:top w:val="single" w:sz="2" w:space="0" w:color="auto"/>
              <w:bottom w:val="single" w:sz="2" w:space="0" w:color="auto"/>
            </w:tcBorders>
            <w:shd w:val="clear" w:color="auto" w:fill="BFBFBF" w:themeFill="background1" w:themeFillShade="BF"/>
          </w:tcPr>
          <w:p w:rsidR="00270A6C" w:rsidRPr="00AF362B" w:rsidRDefault="00270A6C" w:rsidP="000E5447">
            <w:pPr>
              <w:jc w:val="center"/>
              <w:rPr>
                <w:rFonts w:ascii="Arial" w:hAnsi="Arial" w:cs="Arial"/>
                <w:sz w:val="16"/>
                <w:szCs w:val="16"/>
              </w:rPr>
            </w:pPr>
          </w:p>
        </w:tc>
        <w:tc>
          <w:tcPr>
            <w:tcW w:w="283" w:type="dxa"/>
            <w:tcBorders>
              <w:top w:val="single" w:sz="2" w:space="0" w:color="auto"/>
              <w:bottom w:val="single" w:sz="2" w:space="0" w:color="auto"/>
            </w:tcBorders>
          </w:tcPr>
          <w:p w:rsidR="00270A6C" w:rsidRPr="00AF362B" w:rsidRDefault="00270A6C" w:rsidP="000E5447">
            <w:pPr>
              <w:jc w:val="center"/>
              <w:rPr>
                <w:rFonts w:ascii="Arial" w:hAnsi="Arial" w:cs="Arial"/>
                <w:sz w:val="16"/>
                <w:szCs w:val="16"/>
              </w:rPr>
            </w:pPr>
          </w:p>
        </w:tc>
        <w:tc>
          <w:tcPr>
            <w:tcW w:w="1352" w:type="dxa"/>
            <w:tcBorders>
              <w:top w:val="single" w:sz="2" w:space="0" w:color="auto"/>
              <w:bottom w:val="single" w:sz="2" w:space="0" w:color="auto"/>
            </w:tcBorders>
            <w:shd w:val="clear" w:color="auto" w:fill="BFBFBF" w:themeFill="background1" w:themeFillShade="BF"/>
          </w:tcPr>
          <w:p w:rsidR="00270A6C" w:rsidRPr="00526AD1" w:rsidRDefault="00270A6C" w:rsidP="000E5447">
            <w:pPr>
              <w:jc w:val="center"/>
              <w:rPr>
                <w:rFonts w:ascii="Arial" w:hAnsi="Arial" w:cs="Arial"/>
                <w:sz w:val="16"/>
                <w:szCs w:val="16"/>
              </w:rPr>
            </w:pPr>
          </w:p>
        </w:tc>
      </w:tr>
      <w:tr w:rsidR="00270A6C" w:rsidRPr="00AF362B" w:rsidTr="00270A6C">
        <w:tc>
          <w:tcPr>
            <w:tcW w:w="1034" w:type="dxa"/>
            <w:tcBorders>
              <w:top w:val="single" w:sz="2" w:space="0" w:color="auto"/>
            </w:tcBorders>
          </w:tcPr>
          <w:p w:rsidR="00270A6C" w:rsidRDefault="00270A6C" w:rsidP="000E5447">
            <w:pPr>
              <w:rPr>
                <w:rFonts w:ascii="Arial" w:hAnsi="Arial" w:cs="Arial"/>
                <w:b/>
                <w:sz w:val="16"/>
                <w:szCs w:val="16"/>
              </w:rPr>
            </w:pPr>
          </w:p>
          <w:p w:rsidR="00270A6C" w:rsidRPr="00526AD1" w:rsidRDefault="00270A6C" w:rsidP="000E5447">
            <w:pPr>
              <w:rPr>
                <w:rFonts w:ascii="Arial" w:hAnsi="Arial" w:cs="Arial"/>
                <w:b/>
                <w:sz w:val="16"/>
                <w:szCs w:val="16"/>
              </w:rPr>
            </w:pPr>
            <w:r w:rsidRPr="00526AD1">
              <w:rPr>
                <w:rFonts w:ascii="Arial" w:hAnsi="Arial" w:cs="Arial"/>
                <w:b/>
                <w:sz w:val="16"/>
                <w:szCs w:val="16"/>
              </w:rPr>
              <w:t>None</w:t>
            </w:r>
          </w:p>
        </w:tc>
        <w:tc>
          <w:tcPr>
            <w:tcW w:w="222" w:type="dxa"/>
            <w:tcBorders>
              <w:top w:val="single" w:sz="2" w:space="0" w:color="auto"/>
            </w:tcBorders>
          </w:tcPr>
          <w:p w:rsidR="00270A6C" w:rsidRPr="00AF362B" w:rsidRDefault="00270A6C" w:rsidP="000E5447">
            <w:pPr>
              <w:rPr>
                <w:rFonts w:ascii="Arial" w:hAnsi="Arial" w:cs="Arial"/>
                <w:sz w:val="16"/>
                <w:szCs w:val="16"/>
              </w:rPr>
            </w:pPr>
          </w:p>
        </w:tc>
        <w:tc>
          <w:tcPr>
            <w:tcW w:w="1269" w:type="dxa"/>
            <w:tcBorders>
              <w:top w:val="single" w:sz="2" w:space="0" w:color="auto"/>
            </w:tcBorders>
            <w:shd w:val="clear" w:color="auto" w:fill="BFBFBF" w:themeFill="background1" w:themeFillShade="BF"/>
          </w:tcPr>
          <w:p w:rsidR="00270A6C" w:rsidRDefault="00270A6C" w:rsidP="00270A6C">
            <w:pPr>
              <w:jc w:val="center"/>
              <w:rPr>
                <w:rFonts w:ascii="Arial" w:hAnsi="Arial" w:cs="Arial"/>
                <w:sz w:val="16"/>
                <w:szCs w:val="16"/>
              </w:rPr>
            </w:pPr>
            <w:r>
              <w:rPr>
                <w:rFonts w:ascii="Arial" w:hAnsi="Arial" w:cs="Arial"/>
                <w:sz w:val="16"/>
                <w:szCs w:val="16"/>
              </w:rPr>
              <w:t xml:space="preserve">Avoid </w:t>
            </w:r>
          </w:p>
          <w:p w:rsidR="00270A6C" w:rsidRDefault="00270A6C" w:rsidP="00270A6C">
            <w:pPr>
              <w:jc w:val="center"/>
              <w:rPr>
                <w:rFonts w:ascii="Arial" w:hAnsi="Arial" w:cs="Arial"/>
                <w:sz w:val="16"/>
                <w:szCs w:val="16"/>
              </w:rPr>
            </w:pPr>
            <w:r>
              <w:rPr>
                <w:rFonts w:ascii="Arial" w:hAnsi="Arial" w:cs="Arial"/>
                <w:sz w:val="16"/>
                <w:szCs w:val="16"/>
              </w:rPr>
              <w:t>Tolerance</w:t>
            </w:r>
          </w:p>
          <w:p w:rsidR="00270A6C" w:rsidRPr="00526AD1" w:rsidRDefault="00270A6C" w:rsidP="00270A6C">
            <w:pPr>
              <w:jc w:val="center"/>
              <w:rPr>
                <w:rFonts w:ascii="Arial" w:hAnsi="Arial" w:cs="Arial"/>
                <w:b/>
                <w:sz w:val="16"/>
                <w:szCs w:val="16"/>
              </w:rPr>
            </w:pPr>
          </w:p>
        </w:tc>
        <w:tc>
          <w:tcPr>
            <w:tcW w:w="283" w:type="dxa"/>
            <w:tcBorders>
              <w:top w:val="single" w:sz="2" w:space="0" w:color="auto"/>
            </w:tcBorders>
          </w:tcPr>
          <w:p w:rsidR="00270A6C" w:rsidRPr="00526AD1" w:rsidRDefault="00270A6C" w:rsidP="000E5447">
            <w:pPr>
              <w:jc w:val="center"/>
              <w:rPr>
                <w:rFonts w:ascii="Arial" w:hAnsi="Arial" w:cs="Arial"/>
                <w:b/>
                <w:sz w:val="16"/>
                <w:szCs w:val="16"/>
              </w:rPr>
            </w:pPr>
          </w:p>
        </w:tc>
        <w:tc>
          <w:tcPr>
            <w:tcW w:w="1337" w:type="dxa"/>
            <w:tcBorders>
              <w:top w:val="single" w:sz="2" w:space="0" w:color="auto"/>
            </w:tcBorders>
            <w:shd w:val="clear" w:color="auto" w:fill="BFBFBF" w:themeFill="background1" w:themeFillShade="BF"/>
          </w:tcPr>
          <w:p w:rsidR="00270A6C" w:rsidRPr="00526AD1" w:rsidRDefault="00270A6C" w:rsidP="000E5447">
            <w:pPr>
              <w:jc w:val="center"/>
              <w:rPr>
                <w:rFonts w:ascii="Arial" w:hAnsi="Arial" w:cs="Arial"/>
                <w:b/>
                <w:sz w:val="16"/>
                <w:szCs w:val="16"/>
              </w:rPr>
            </w:pPr>
          </w:p>
        </w:tc>
        <w:tc>
          <w:tcPr>
            <w:tcW w:w="284" w:type="dxa"/>
            <w:tcBorders>
              <w:top w:val="single" w:sz="2" w:space="0" w:color="auto"/>
            </w:tcBorders>
            <w:shd w:val="clear" w:color="auto" w:fill="auto"/>
          </w:tcPr>
          <w:p w:rsidR="00270A6C" w:rsidRPr="00526AD1" w:rsidRDefault="00270A6C" w:rsidP="000E5447">
            <w:pPr>
              <w:jc w:val="center"/>
              <w:rPr>
                <w:rFonts w:ascii="Arial" w:hAnsi="Arial" w:cs="Arial"/>
                <w:b/>
                <w:sz w:val="16"/>
                <w:szCs w:val="16"/>
              </w:rPr>
            </w:pPr>
          </w:p>
        </w:tc>
        <w:tc>
          <w:tcPr>
            <w:tcW w:w="1276" w:type="dxa"/>
            <w:tcBorders>
              <w:top w:val="single" w:sz="2" w:space="0" w:color="auto"/>
            </w:tcBorders>
            <w:shd w:val="clear" w:color="auto" w:fill="BFBFBF" w:themeFill="background1" w:themeFillShade="BF"/>
          </w:tcPr>
          <w:p w:rsidR="00270A6C" w:rsidRPr="00526AD1" w:rsidRDefault="00270A6C" w:rsidP="000E5447">
            <w:pPr>
              <w:jc w:val="center"/>
              <w:rPr>
                <w:rFonts w:ascii="Arial" w:hAnsi="Arial" w:cs="Arial"/>
                <w:b/>
                <w:sz w:val="16"/>
                <w:szCs w:val="16"/>
              </w:rPr>
            </w:pPr>
          </w:p>
        </w:tc>
        <w:tc>
          <w:tcPr>
            <w:tcW w:w="283" w:type="dxa"/>
            <w:tcBorders>
              <w:top w:val="single" w:sz="2" w:space="0" w:color="auto"/>
            </w:tcBorders>
          </w:tcPr>
          <w:p w:rsidR="00270A6C" w:rsidRPr="00526AD1" w:rsidRDefault="00270A6C" w:rsidP="000E5447">
            <w:pPr>
              <w:jc w:val="center"/>
              <w:rPr>
                <w:rFonts w:ascii="Arial" w:hAnsi="Arial" w:cs="Arial"/>
                <w:b/>
                <w:sz w:val="16"/>
                <w:szCs w:val="16"/>
              </w:rPr>
            </w:pPr>
          </w:p>
        </w:tc>
        <w:tc>
          <w:tcPr>
            <w:tcW w:w="1416" w:type="dxa"/>
            <w:tcBorders>
              <w:top w:val="single" w:sz="2" w:space="0" w:color="auto"/>
            </w:tcBorders>
            <w:shd w:val="clear" w:color="auto" w:fill="BFBFBF" w:themeFill="background1" w:themeFillShade="BF"/>
          </w:tcPr>
          <w:p w:rsidR="00270A6C" w:rsidRPr="00526AD1" w:rsidRDefault="00270A6C" w:rsidP="000E5447">
            <w:pPr>
              <w:jc w:val="center"/>
              <w:rPr>
                <w:rFonts w:ascii="Arial" w:hAnsi="Arial" w:cs="Arial"/>
                <w:b/>
                <w:sz w:val="16"/>
                <w:szCs w:val="16"/>
              </w:rPr>
            </w:pPr>
          </w:p>
        </w:tc>
        <w:tc>
          <w:tcPr>
            <w:tcW w:w="283" w:type="dxa"/>
            <w:tcBorders>
              <w:top w:val="single" w:sz="2" w:space="0" w:color="auto"/>
            </w:tcBorders>
          </w:tcPr>
          <w:p w:rsidR="00270A6C" w:rsidRPr="00526AD1" w:rsidRDefault="00270A6C" w:rsidP="000E5447">
            <w:pPr>
              <w:jc w:val="center"/>
              <w:rPr>
                <w:rFonts w:ascii="Arial" w:hAnsi="Arial" w:cs="Arial"/>
                <w:b/>
                <w:sz w:val="16"/>
                <w:szCs w:val="16"/>
              </w:rPr>
            </w:pPr>
          </w:p>
        </w:tc>
        <w:tc>
          <w:tcPr>
            <w:tcW w:w="1352" w:type="dxa"/>
            <w:tcBorders>
              <w:top w:val="single" w:sz="2" w:space="0" w:color="auto"/>
            </w:tcBorders>
            <w:shd w:val="clear" w:color="auto" w:fill="BFBFBF" w:themeFill="background1" w:themeFillShade="BF"/>
          </w:tcPr>
          <w:p w:rsidR="00270A6C" w:rsidRPr="00526AD1" w:rsidRDefault="00270A6C" w:rsidP="000E5447">
            <w:pPr>
              <w:jc w:val="center"/>
              <w:rPr>
                <w:rFonts w:ascii="Arial" w:hAnsi="Arial" w:cs="Arial"/>
                <w:b/>
                <w:sz w:val="16"/>
                <w:szCs w:val="16"/>
              </w:rPr>
            </w:pPr>
          </w:p>
        </w:tc>
      </w:tr>
      <w:tr w:rsidR="00270A6C" w:rsidRPr="00AF362B" w:rsidTr="000E5447">
        <w:tc>
          <w:tcPr>
            <w:tcW w:w="1034" w:type="dxa"/>
            <w:tcBorders>
              <w:top w:val="single" w:sz="2" w:space="0" w:color="auto"/>
            </w:tcBorders>
          </w:tcPr>
          <w:p w:rsidR="00270A6C" w:rsidRPr="00526AD1" w:rsidRDefault="00270A6C" w:rsidP="000E5447">
            <w:pPr>
              <w:rPr>
                <w:rFonts w:ascii="Arial" w:hAnsi="Arial" w:cs="Arial"/>
                <w:b/>
                <w:sz w:val="16"/>
                <w:szCs w:val="16"/>
              </w:rPr>
            </w:pPr>
          </w:p>
        </w:tc>
        <w:tc>
          <w:tcPr>
            <w:tcW w:w="222" w:type="dxa"/>
            <w:tcBorders>
              <w:top w:val="single" w:sz="2" w:space="0" w:color="auto"/>
            </w:tcBorders>
          </w:tcPr>
          <w:p w:rsidR="00270A6C" w:rsidRPr="00AF362B" w:rsidRDefault="00270A6C" w:rsidP="000E5447">
            <w:pPr>
              <w:rPr>
                <w:rFonts w:ascii="Arial" w:hAnsi="Arial" w:cs="Arial"/>
                <w:sz w:val="16"/>
                <w:szCs w:val="16"/>
              </w:rPr>
            </w:pPr>
          </w:p>
        </w:tc>
        <w:tc>
          <w:tcPr>
            <w:tcW w:w="1269" w:type="dxa"/>
            <w:tcBorders>
              <w:top w:val="single" w:sz="2" w:space="0" w:color="auto"/>
            </w:tcBorders>
          </w:tcPr>
          <w:p w:rsidR="00270A6C" w:rsidRPr="00526AD1" w:rsidRDefault="00270A6C" w:rsidP="000E5447">
            <w:pPr>
              <w:jc w:val="center"/>
              <w:rPr>
                <w:rFonts w:ascii="Arial" w:hAnsi="Arial" w:cs="Arial"/>
                <w:b/>
                <w:sz w:val="16"/>
                <w:szCs w:val="16"/>
              </w:rPr>
            </w:pPr>
            <w:r w:rsidRPr="00526AD1">
              <w:rPr>
                <w:rFonts w:ascii="Arial" w:hAnsi="Arial" w:cs="Arial"/>
                <w:b/>
                <w:sz w:val="16"/>
                <w:szCs w:val="16"/>
              </w:rPr>
              <w:t>Risk to Patients</w:t>
            </w:r>
          </w:p>
        </w:tc>
        <w:tc>
          <w:tcPr>
            <w:tcW w:w="283" w:type="dxa"/>
            <w:tcBorders>
              <w:top w:val="single" w:sz="2" w:space="0" w:color="auto"/>
            </w:tcBorders>
          </w:tcPr>
          <w:p w:rsidR="00270A6C" w:rsidRPr="00526AD1" w:rsidRDefault="00270A6C" w:rsidP="000E5447">
            <w:pPr>
              <w:jc w:val="center"/>
              <w:rPr>
                <w:rFonts w:ascii="Arial" w:hAnsi="Arial" w:cs="Arial"/>
                <w:b/>
                <w:sz w:val="16"/>
                <w:szCs w:val="16"/>
              </w:rPr>
            </w:pPr>
          </w:p>
        </w:tc>
        <w:tc>
          <w:tcPr>
            <w:tcW w:w="1337" w:type="dxa"/>
            <w:tcBorders>
              <w:top w:val="single" w:sz="2" w:space="0" w:color="auto"/>
            </w:tcBorders>
          </w:tcPr>
          <w:p w:rsidR="00270A6C" w:rsidRPr="00526AD1" w:rsidRDefault="00270A6C" w:rsidP="000E5447">
            <w:pPr>
              <w:jc w:val="center"/>
              <w:rPr>
                <w:rFonts w:ascii="Arial" w:hAnsi="Arial" w:cs="Arial"/>
                <w:b/>
                <w:sz w:val="16"/>
                <w:szCs w:val="16"/>
              </w:rPr>
            </w:pPr>
            <w:r w:rsidRPr="00526AD1">
              <w:rPr>
                <w:rFonts w:ascii="Arial" w:hAnsi="Arial" w:cs="Arial"/>
                <w:b/>
                <w:sz w:val="16"/>
                <w:szCs w:val="16"/>
              </w:rPr>
              <w:t>Organisational Risk</w:t>
            </w:r>
          </w:p>
        </w:tc>
        <w:tc>
          <w:tcPr>
            <w:tcW w:w="284" w:type="dxa"/>
            <w:tcBorders>
              <w:top w:val="single" w:sz="2" w:space="0" w:color="auto"/>
            </w:tcBorders>
            <w:shd w:val="clear" w:color="auto" w:fill="auto"/>
          </w:tcPr>
          <w:p w:rsidR="00270A6C" w:rsidRPr="00526AD1" w:rsidRDefault="00270A6C" w:rsidP="000E5447">
            <w:pPr>
              <w:jc w:val="center"/>
              <w:rPr>
                <w:rFonts w:ascii="Arial" w:hAnsi="Arial" w:cs="Arial"/>
                <w:b/>
                <w:sz w:val="16"/>
                <w:szCs w:val="16"/>
              </w:rPr>
            </w:pPr>
          </w:p>
        </w:tc>
        <w:tc>
          <w:tcPr>
            <w:tcW w:w="1276" w:type="dxa"/>
            <w:tcBorders>
              <w:top w:val="single" w:sz="2" w:space="0" w:color="auto"/>
            </w:tcBorders>
          </w:tcPr>
          <w:p w:rsidR="00270A6C" w:rsidRPr="00526AD1" w:rsidRDefault="00270A6C" w:rsidP="000E5447">
            <w:pPr>
              <w:jc w:val="center"/>
              <w:rPr>
                <w:rFonts w:ascii="Arial" w:hAnsi="Arial" w:cs="Arial"/>
                <w:b/>
                <w:sz w:val="16"/>
                <w:szCs w:val="16"/>
              </w:rPr>
            </w:pPr>
            <w:r w:rsidRPr="00526AD1">
              <w:rPr>
                <w:rFonts w:ascii="Arial" w:hAnsi="Arial" w:cs="Arial"/>
                <w:b/>
                <w:sz w:val="16"/>
                <w:szCs w:val="16"/>
              </w:rPr>
              <w:t>Opportunistic Risk</w:t>
            </w:r>
          </w:p>
        </w:tc>
        <w:tc>
          <w:tcPr>
            <w:tcW w:w="283" w:type="dxa"/>
            <w:tcBorders>
              <w:top w:val="single" w:sz="2" w:space="0" w:color="auto"/>
            </w:tcBorders>
          </w:tcPr>
          <w:p w:rsidR="00270A6C" w:rsidRPr="00526AD1" w:rsidRDefault="00270A6C" w:rsidP="000E5447">
            <w:pPr>
              <w:jc w:val="center"/>
              <w:rPr>
                <w:rFonts w:ascii="Arial" w:hAnsi="Arial" w:cs="Arial"/>
                <w:b/>
                <w:sz w:val="16"/>
                <w:szCs w:val="16"/>
              </w:rPr>
            </w:pPr>
          </w:p>
        </w:tc>
        <w:tc>
          <w:tcPr>
            <w:tcW w:w="1416" w:type="dxa"/>
            <w:tcBorders>
              <w:top w:val="single" w:sz="2" w:space="0" w:color="auto"/>
            </w:tcBorders>
          </w:tcPr>
          <w:p w:rsidR="00270A6C" w:rsidRPr="00526AD1" w:rsidRDefault="00270A6C" w:rsidP="000E5447">
            <w:pPr>
              <w:jc w:val="center"/>
              <w:rPr>
                <w:rFonts w:ascii="Arial" w:hAnsi="Arial" w:cs="Arial"/>
                <w:b/>
                <w:sz w:val="16"/>
                <w:szCs w:val="16"/>
              </w:rPr>
            </w:pPr>
            <w:r w:rsidRPr="00526AD1">
              <w:rPr>
                <w:rFonts w:ascii="Arial" w:hAnsi="Arial" w:cs="Arial"/>
                <w:b/>
                <w:sz w:val="16"/>
                <w:szCs w:val="16"/>
              </w:rPr>
              <w:t>Compliance &amp; Legal Risk</w:t>
            </w:r>
          </w:p>
        </w:tc>
        <w:tc>
          <w:tcPr>
            <w:tcW w:w="283" w:type="dxa"/>
            <w:tcBorders>
              <w:top w:val="single" w:sz="2" w:space="0" w:color="auto"/>
            </w:tcBorders>
          </w:tcPr>
          <w:p w:rsidR="00270A6C" w:rsidRPr="00526AD1" w:rsidRDefault="00270A6C" w:rsidP="000E5447">
            <w:pPr>
              <w:jc w:val="center"/>
              <w:rPr>
                <w:rFonts w:ascii="Arial" w:hAnsi="Arial" w:cs="Arial"/>
                <w:b/>
                <w:sz w:val="16"/>
                <w:szCs w:val="16"/>
              </w:rPr>
            </w:pPr>
          </w:p>
        </w:tc>
        <w:tc>
          <w:tcPr>
            <w:tcW w:w="1352" w:type="dxa"/>
            <w:tcBorders>
              <w:top w:val="single" w:sz="2" w:space="0" w:color="auto"/>
            </w:tcBorders>
          </w:tcPr>
          <w:p w:rsidR="00270A6C" w:rsidRPr="00526AD1" w:rsidRDefault="00270A6C" w:rsidP="000E5447">
            <w:pPr>
              <w:jc w:val="center"/>
              <w:rPr>
                <w:rFonts w:ascii="Arial" w:hAnsi="Arial" w:cs="Arial"/>
                <w:b/>
                <w:sz w:val="16"/>
                <w:szCs w:val="16"/>
              </w:rPr>
            </w:pPr>
            <w:r w:rsidRPr="00526AD1">
              <w:rPr>
                <w:rFonts w:ascii="Arial" w:hAnsi="Arial" w:cs="Arial"/>
                <w:b/>
                <w:sz w:val="16"/>
                <w:szCs w:val="16"/>
              </w:rPr>
              <w:t>Reputational Risk</w:t>
            </w:r>
          </w:p>
        </w:tc>
      </w:tr>
    </w:tbl>
    <w:p w:rsidR="00270A6C" w:rsidRPr="00AF362B" w:rsidRDefault="00270A6C" w:rsidP="00270A6C">
      <w:pPr>
        <w:rPr>
          <w:rFonts w:ascii="Arial" w:hAnsi="Arial" w:cs="Arial"/>
          <w:sz w:val="20"/>
          <w:szCs w:val="20"/>
        </w:rPr>
      </w:pPr>
      <w:r w:rsidRPr="00AF362B">
        <w:rPr>
          <w:rFonts w:ascii="Arial" w:hAnsi="Arial" w:cs="Arial"/>
          <w:sz w:val="20"/>
          <w:szCs w:val="20"/>
        </w:rPr>
        <w:tab/>
      </w:r>
    </w:p>
    <w:p w:rsidR="00270A6C" w:rsidRDefault="00270A6C" w:rsidP="009835FE">
      <w:pPr>
        <w:spacing w:before="100" w:beforeAutospacing="1" w:after="100" w:afterAutospacing="1"/>
        <w:rPr>
          <w:rFonts w:ascii="Helvetica Neue" w:hAnsi="Helvetica Neue" w:cs="Times New Roman"/>
          <w:sz w:val="38"/>
          <w:szCs w:val="40"/>
        </w:rPr>
        <w:sectPr w:rsidR="00270A6C" w:rsidSect="00270A6C">
          <w:headerReference w:type="default" r:id="rId8"/>
          <w:footerReference w:type="default" r:id="rId9"/>
          <w:pgSz w:w="11907" w:h="16839" w:code="9"/>
          <w:pgMar w:top="1080" w:right="1134" w:bottom="108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8"/>
        <w:gridCol w:w="10422"/>
      </w:tblGrid>
      <w:tr w:rsidR="009835FE" w:rsidTr="009835FE">
        <w:tc>
          <w:tcPr>
            <w:tcW w:w="11448" w:type="dxa"/>
          </w:tcPr>
          <w:p w:rsidR="009835FE" w:rsidRDefault="009835FE" w:rsidP="003B7A8F">
            <w:pPr>
              <w:spacing w:before="100" w:beforeAutospacing="1" w:after="100" w:afterAutospacing="1"/>
              <w:rPr>
                <w:rFonts w:ascii="Helvetica Neue" w:hAnsi="Helvetica Neue" w:cs="Times New Roman"/>
                <w:sz w:val="40"/>
                <w:szCs w:val="40"/>
              </w:rPr>
            </w:pPr>
            <w:r w:rsidRPr="009835FE">
              <w:rPr>
                <w:rFonts w:ascii="Helvetica Neue" w:hAnsi="Helvetica Neue" w:cs="Times New Roman"/>
                <w:sz w:val="38"/>
                <w:szCs w:val="40"/>
              </w:rPr>
              <w:lastRenderedPageBreak/>
              <w:t>Risk Appetite for Great Western Hospitals NHS Foundation Trust</w:t>
            </w:r>
            <w:r w:rsidRPr="009835FE">
              <w:rPr>
                <w:rFonts w:ascii="Helvetica Neue" w:hAnsi="Helvetica Neue" w:cs="Times New Roman"/>
                <w:sz w:val="38"/>
                <w:szCs w:val="40"/>
              </w:rPr>
              <w:br/>
              <w:t xml:space="preserve">A matrix to support better risk sensitivity in decision taking </w:t>
            </w:r>
          </w:p>
        </w:tc>
        <w:tc>
          <w:tcPr>
            <w:tcW w:w="10422" w:type="dxa"/>
            <w:vMerge w:val="restart"/>
          </w:tcPr>
          <w:p w:rsidR="009835FE" w:rsidRDefault="009835FE" w:rsidP="009835FE">
            <w:r>
              <w:t>Our objectives</w:t>
            </w:r>
          </w:p>
          <w:p w:rsidR="009835FE" w:rsidRDefault="009835FE" w:rsidP="009835FE">
            <w:pPr>
              <w:pStyle w:val="ListParagraph"/>
              <w:numPr>
                <w:ilvl w:val="0"/>
                <w:numId w:val="1"/>
              </w:numPr>
            </w:pPr>
            <w:r>
              <w:t>To deliver consistently high quality services which deliver desired patient outcomes</w:t>
            </w:r>
          </w:p>
          <w:p w:rsidR="009835FE" w:rsidRDefault="009835FE" w:rsidP="009835FE">
            <w:pPr>
              <w:pStyle w:val="ListParagraph"/>
              <w:numPr>
                <w:ilvl w:val="0"/>
                <w:numId w:val="1"/>
              </w:numPr>
            </w:pPr>
            <w:r>
              <w:t>To improve patient and carer experience for every aspect of care we deliver</w:t>
            </w:r>
          </w:p>
          <w:p w:rsidR="009835FE" w:rsidRDefault="009835FE" w:rsidP="009835FE">
            <w:pPr>
              <w:pStyle w:val="ListParagraph"/>
              <w:numPr>
                <w:ilvl w:val="0"/>
                <w:numId w:val="1"/>
              </w:numPr>
            </w:pPr>
            <w:r>
              <w:t>To ensure staff are proud to work at the Trust and would recommend the Trust as a place to work or receive treatment</w:t>
            </w:r>
          </w:p>
          <w:p w:rsidR="009835FE" w:rsidRDefault="009835FE" w:rsidP="009835FE">
            <w:pPr>
              <w:pStyle w:val="ListParagraph"/>
              <w:numPr>
                <w:ilvl w:val="0"/>
                <w:numId w:val="1"/>
              </w:numPr>
            </w:pPr>
            <w:r>
              <w:t>To secure the long term health of the Trust</w:t>
            </w:r>
          </w:p>
          <w:p w:rsidR="009835FE" w:rsidRDefault="009835FE" w:rsidP="009835FE">
            <w:pPr>
              <w:pStyle w:val="ListParagraph"/>
              <w:numPr>
                <w:ilvl w:val="0"/>
                <w:numId w:val="1"/>
              </w:numPr>
            </w:pPr>
            <w:r>
              <w:t>To adopt new approaches and innovation so that we improve services as healthcare changes whilst continuing to become even more efficient</w:t>
            </w:r>
          </w:p>
          <w:p w:rsidR="009835FE" w:rsidRPr="009835FE" w:rsidRDefault="009835FE" w:rsidP="009835FE">
            <w:pPr>
              <w:pStyle w:val="ListParagraph"/>
              <w:numPr>
                <w:ilvl w:val="0"/>
                <w:numId w:val="1"/>
              </w:numPr>
            </w:pPr>
            <w:r>
              <w:t>To work in partnership with others so that we provide seamless care for patients</w:t>
            </w:r>
          </w:p>
        </w:tc>
      </w:tr>
      <w:tr w:rsidR="009835FE" w:rsidTr="009835FE">
        <w:tc>
          <w:tcPr>
            <w:tcW w:w="11448" w:type="dxa"/>
          </w:tcPr>
          <w:p w:rsidR="009835FE" w:rsidRPr="00526AD1" w:rsidRDefault="009835FE" w:rsidP="00306A7B">
            <w:pPr>
              <w:spacing w:before="100" w:beforeAutospacing="1" w:after="100" w:afterAutospacing="1"/>
              <w:rPr>
                <w:rFonts w:ascii="Helvetica Neue" w:hAnsi="Helvetica Neue" w:cs="Times New Roman"/>
              </w:rPr>
            </w:pPr>
            <w:r w:rsidRPr="00526AD1">
              <w:rPr>
                <w:rFonts w:ascii="Helvetica Neue" w:hAnsi="Helvetica Neue" w:cs="Times New Roman"/>
              </w:rPr>
              <w:t>Adopt</w:t>
            </w:r>
            <w:r w:rsidR="00A32172">
              <w:rPr>
                <w:rFonts w:ascii="Helvetica Neue" w:hAnsi="Helvetica Neue" w:cs="Times New Roman"/>
              </w:rPr>
              <w:t xml:space="preserve">ed by the Board of Directors – December </w:t>
            </w:r>
            <w:r w:rsidRPr="00526AD1">
              <w:rPr>
                <w:rFonts w:ascii="Helvetica Neue" w:hAnsi="Helvetica Neue" w:cs="Times New Roman"/>
              </w:rPr>
              <w:t xml:space="preserve">2015 </w:t>
            </w:r>
          </w:p>
          <w:p w:rsidR="00CA0DE7" w:rsidRPr="009835FE" w:rsidRDefault="00CA0DE7" w:rsidP="00CA0DE7">
            <w:pPr>
              <w:spacing w:before="100" w:beforeAutospacing="1" w:after="100" w:afterAutospacing="1"/>
              <w:rPr>
                <w:rFonts w:ascii="Helvetica Neue" w:hAnsi="Helvetica Neue" w:cs="Times New Roman"/>
                <w:color w:val="0019E5"/>
              </w:rPr>
            </w:pPr>
            <w:r w:rsidRPr="00526AD1">
              <w:rPr>
                <w:rFonts w:ascii="Helvetica Neue" w:hAnsi="Helvetica Neue" w:cs="Times New Roman"/>
              </w:rPr>
              <w:t xml:space="preserve">Definition of Risk Appetite: - </w:t>
            </w:r>
            <w:r w:rsidRPr="00526AD1">
              <w:rPr>
                <w:rFonts w:ascii="Helvetica Neue" w:hAnsi="Helvetica Neue" w:cs="Times New Roman"/>
                <w:i/>
              </w:rPr>
              <w:t>“The amount of risk that the organisation is prepared to accept, tolerate or be exposed to at any point in time”.</w:t>
            </w:r>
          </w:p>
        </w:tc>
        <w:tc>
          <w:tcPr>
            <w:tcW w:w="10422" w:type="dxa"/>
            <w:vMerge/>
          </w:tcPr>
          <w:p w:rsidR="009835FE" w:rsidRDefault="009835FE" w:rsidP="00306A7B">
            <w:pPr>
              <w:spacing w:before="100" w:beforeAutospacing="1" w:after="100" w:afterAutospacing="1"/>
              <w:rPr>
                <w:rFonts w:ascii="Helvetica Neue" w:hAnsi="Helvetica Neue" w:cs="Times New Roman"/>
                <w:sz w:val="40"/>
                <w:szCs w:val="40"/>
              </w:rPr>
            </w:pPr>
          </w:p>
        </w:tc>
      </w:tr>
    </w:tbl>
    <w:tbl>
      <w:tblPr>
        <w:tblW w:w="0" w:type="auto"/>
        <w:tblCellMar>
          <w:top w:w="15" w:type="dxa"/>
          <w:left w:w="15" w:type="dxa"/>
          <w:bottom w:w="15" w:type="dxa"/>
          <w:right w:w="15" w:type="dxa"/>
        </w:tblCellMar>
        <w:tblLook w:val="04A0" w:firstRow="1" w:lastRow="0" w:firstColumn="1" w:lastColumn="0" w:noHBand="0" w:noVBand="1"/>
      </w:tblPr>
      <w:tblGrid>
        <w:gridCol w:w="2225"/>
        <w:gridCol w:w="3691"/>
        <w:gridCol w:w="3044"/>
        <w:gridCol w:w="3166"/>
        <w:gridCol w:w="3276"/>
        <w:gridCol w:w="3352"/>
        <w:gridCol w:w="2946"/>
      </w:tblGrid>
      <w:tr w:rsidR="00270A6C" w:rsidRPr="00F513F2" w:rsidTr="00AF362B">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hideMark/>
          </w:tcPr>
          <w:p w:rsidR="00306A7B" w:rsidRPr="00F513F2" w:rsidRDefault="00306A7B" w:rsidP="00306A7B">
            <w:pPr>
              <w:jc w:val="center"/>
              <w:rPr>
                <w:rFonts w:ascii="Times" w:hAnsi="Times" w:cs="Times New Roman"/>
                <w:sz w:val="20"/>
                <w:szCs w:val="20"/>
              </w:rPr>
            </w:pPr>
            <w:r w:rsidRPr="00F513F2">
              <w:rPr>
                <w:rFonts w:ascii="Helvetica Neue" w:hAnsi="Helvetica Neue" w:cs="Times New Roman"/>
                <w:sz w:val="18"/>
                <w:szCs w:val="18"/>
              </w:rPr>
              <w:t>Risk levels</w:t>
            </w:r>
          </w:p>
          <w:p w:rsidR="00306A7B" w:rsidRPr="00F513F2" w:rsidRDefault="002D7E98" w:rsidP="002D7E98">
            <w:pPr>
              <w:jc w:val="center"/>
              <w:rPr>
                <w:rFonts w:ascii="Times" w:hAnsi="Times" w:cs="Times New Roman"/>
                <w:sz w:val="20"/>
                <w:szCs w:val="20"/>
              </w:rPr>
            </w:pPr>
            <w:r>
              <w:rPr>
                <w:rFonts w:ascii="Helvetica Neue" w:hAnsi="Helvetica Neue" w:cs="Times New Roman"/>
                <w:sz w:val="18"/>
                <w:szCs w:val="18"/>
              </w:rPr>
              <w:t xml:space="preserve">Mapped against our </w:t>
            </w:r>
            <w:r w:rsidR="00306A7B">
              <w:rPr>
                <w:rFonts w:ascii="Helvetica Neue" w:hAnsi="Helvetica Neue" w:cs="Times New Roman"/>
                <w:sz w:val="18"/>
                <w:szCs w:val="18"/>
              </w:rPr>
              <w:t>objectives</w:t>
            </w:r>
            <w:r>
              <w:rPr>
                <w:rFonts w:ascii="Helvetica Neue" w:hAnsi="Helvetica Neue" w:cs="Times New Roman"/>
                <w:sz w:val="18"/>
                <w:szCs w:val="18"/>
              </w:rPr>
              <w:t xml:space="preserve"> / Other</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hideMark/>
          </w:tcPr>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rPr>
              <w:t>0</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b/>
                <w:bCs/>
                <w:color w:val="FFFFFF" w:themeColor="background1"/>
                <w:sz w:val="20"/>
                <w:szCs w:val="20"/>
              </w:rPr>
              <w:t>Avoid</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sz w:val="18"/>
                <w:szCs w:val="18"/>
              </w:rPr>
              <w:t>Avoidance of risk and uncertainty is a Key Organisational objective</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hideMark/>
          </w:tcPr>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rPr>
              <w:t>1</w:t>
            </w:r>
          </w:p>
          <w:p w:rsidR="00397B67" w:rsidRDefault="00397B67" w:rsidP="00397B67">
            <w:pPr>
              <w:jc w:val="center"/>
              <w:rPr>
                <w:rFonts w:ascii="Helvetica Neue" w:hAnsi="Helvetica Neue" w:cs="Times New Roman"/>
                <w:b/>
                <w:bCs/>
                <w:color w:val="FFFFFF" w:themeColor="background1"/>
                <w:sz w:val="20"/>
                <w:szCs w:val="20"/>
              </w:rPr>
            </w:pPr>
            <w:r>
              <w:rPr>
                <w:rFonts w:ascii="Helvetica Neue" w:hAnsi="Helvetica Neue" w:cs="Times New Roman"/>
                <w:b/>
                <w:bCs/>
                <w:color w:val="FFFFFF" w:themeColor="background1"/>
                <w:sz w:val="20"/>
                <w:szCs w:val="20"/>
              </w:rPr>
              <w:t>Minimal</w:t>
            </w:r>
          </w:p>
          <w:p w:rsidR="00306A7B" w:rsidRPr="00AF362B" w:rsidRDefault="00306A7B" w:rsidP="00397B67">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sz w:val="18"/>
                <w:szCs w:val="18"/>
              </w:rPr>
              <w:t>(as little as reasonably possible) Preference for ultra-safe delivery options that have a low degree of inherent risk and only for limited reward potential</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hideMark/>
          </w:tcPr>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rPr>
              <w:t>2</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b/>
                <w:bCs/>
                <w:color w:val="FFFFFF" w:themeColor="background1"/>
                <w:sz w:val="20"/>
                <w:szCs w:val="20"/>
              </w:rPr>
              <w:t>Cautious</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sz w:val="18"/>
                <w:szCs w:val="18"/>
              </w:rPr>
              <w:t>Preference for safe delivery options that have a low degree of inherent risk and may only have limited potential for reward.</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hideMark/>
          </w:tcPr>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rPr>
              <w:t>3</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b/>
                <w:bCs/>
                <w:color w:val="FFFFFF" w:themeColor="background1"/>
                <w:sz w:val="20"/>
                <w:szCs w:val="20"/>
              </w:rPr>
              <w:t>Open</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sz w:val="18"/>
                <w:szCs w:val="18"/>
              </w:rPr>
              <w:t>Willing to consider all potential delivery options and choose while also providing an acceptable level of reward (and VfM)</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hideMark/>
          </w:tcPr>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rPr>
              <w:t>4</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b/>
                <w:bCs/>
                <w:color w:val="FFFFFF" w:themeColor="background1"/>
                <w:sz w:val="20"/>
                <w:szCs w:val="20"/>
              </w:rPr>
              <w:t>Seek</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sz w:val="18"/>
                <w:szCs w:val="18"/>
              </w:rPr>
              <w:t>Eager to be innovative and to choose options offering potentially higher business rewards (despite greater inherent risk).</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hideMark/>
          </w:tcPr>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rPr>
              <w:t>5</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b/>
                <w:bCs/>
                <w:color w:val="FFFFFF" w:themeColor="background1"/>
                <w:sz w:val="20"/>
                <w:szCs w:val="20"/>
              </w:rPr>
              <w:t>Mature</w:t>
            </w:r>
          </w:p>
          <w:p w:rsidR="00306A7B" w:rsidRPr="00AF362B" w:rsidRDefault="00306A7B" w:rsidP="00306A7B">
            <w:pPr>
              <w:jc w:val="center"/>
              <w:rPr>
                <w:rFonts w:ascii="Times" w:hAnsi="Times" w:cs="Times New Roman"/>
                <w:color w:val="FFFFFF" w:themeColor="background1"/>
                <w:sz w:val="20"/>
                <w:szCs w:val="20"/>
              </w:rPr>
            </w:pPr>
            <w:r w:rsidRPr="00AF362B">
              <w:rPr>
                <w:rFonts w:ascii="Helvetica Neue" w:hAnsi="Helvetica Neue" w:cs="Times New Roman"/>
                <w:color w:val="FFFFFF" w:themeColor="background1"/>
                <w:sz w:val="18"/>
                <w:szCs w:val="18"/>
              </w:rPr>
              <w:t>Confident in setting high levels of risk appetite because controls, forward scanning and responsiveness systems are robust</w:t>
            </w:r>
          </w:p>
        </w:tc>
      </w:tr>
      <w:tr w:rsidR="003B7A8F" w:rsidRPr="00F513F2" w:rsidTr="003B7A8F">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tcPr>
          <w:p w:rsidR="00306A7B" w:rsidRPr="001F39F0" w:rsidRDefault="00527036" w:rsidP="00AF362B">
            <w:pPr>
              <w:jc w:val="center"/>
              <w:rPr>
                <w:rFonts w:ascii="Times" w:hAnsi="Times" w:cs="Times New Roman"/>
                <w:sz w:val="20"/>
                <w:szCs w:val="20"/>
              </w:rPr>
            </w:pPr>
            <w:r w:rsidRPr="001F39F0">
              <w:rPr>
                <w:rFonts w:ascii="Helvetica Neue" w:hAnsi="Helvetica Neue" w:cs="Times New Roman"/>
                <w:b/>
                <w:sz w:val="18"/>
                <w:szCs w:val="18"/>
              </w:rPr>
              <w:t>Risk to Patients</w:t>
            </w:r>
            <w:r w:rsidRPr="001F39F0">
              <w:rPr>
                <w:rFonts w:ascii="Helvetica Neue" w:hAnsi="Helvetica Neue" w:cs="Times New Roman"/>
                <w:sz w:val="18"/>
                <w:szCs w:val="18"/>
              </w:rPr>
              <w:t xml:space="preserve"> - </w:t>
            </w:r>
            <w:r w:rsidR="002D7E98" w:rsidRPr="001F39F0">
              <w:rPr>
                <w:rFonts w:ascii="Helvetica Neue" w:hAnsi="Helvetica Neue" w:cs="Times New Roman"/>
                <w:sz w:val="18"/>
                <w:szCs w:val="18"/>
              </w:rPr>
              <w:t xml:space="preserve"> </w:t>
            </w:r>
            <w:r w:rsidR="00306A7B" w:rsidRPr="001F39F0">
              <w:rPr>
                <w:rFonts w:ascii="Helvetica Neue" w:hAnsi="Helvetica Neue" w:cs="Times New Roman"/>
                <w:sz w:val="18"/>
                <w:szCs w:val="18"/>
              </w:rPr>
              <w:t xml:space="preserve">Safety </w:t>
            </w:r>
            <w:r w:rsidR="002D7E98" w:rsidRPr="001F39F0">
              <w:rPr>
                <w:rFonts w:ascii="Helvetica Neue" w:hAnsi="Helvetica Neue" w:cs="Times New Roman"/>
                <w:sz w:val="18"/>
                <w:szCs w:val="18"/>
              </w:rPr>
              <w:t>&amp; Quality Outcomes</w:t>
            </w:r>
            <w:r w:rsidRPr="001F39F0">
              <w:rPr>
                <w:rFonts w:ascii="Helvetica Neue" w:hAnsi="Helvetica Neue" w:cs="Times New Roman"/>
                <w:sz w:val="18"/>
                <w:szCs w:val="18"/>
              </w:rPr>
              <w:t xml:space="preserve"> / Patient Experience</w:t>
            </w:r>
            <w:r w:rsidR="00526AD1" w:rsidRPr="001F39F0">
              <w:rPr>
                <w:rFonts w:ascii="Helvetica Neue" w:hAnsi="Helvetica Neue" w:cs="Times New Roman"/>
                <w:sz w:val="18"/>
                <w:szCs w:val="18"/>
              </w:rPr>
              <w:t xml:space="preserve"> / Staffing</w:t>
            </w:r>
          </w:p>
        </w:tc>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tcPr>
          <w:p w:rsidR="00306A7B" w:rsidRPr="00270A6C" w:rsidRDefault="00586541" w:rsidP="001F39F0">
            <w:pPr>
              <w:jc w:val="center"/>
              <w:rPr>
                <w:rFonts w:ascii="Times" w:hAnsi="Times" w:cs="Times New Roman"/>
                <w:sz w:val="20"/>
                <w:szCs w:val="20"/>
              </w:rPr>
            </w:pPr>
            <w:r w:rsidRPr="003B7A8F">
              <w:rPr>
                <w:rFonts w:ascii="Helvetica Neue" w:hAnsi="Helvetica Neue" w:cs="Times New Roman"/>
                <w:color w:val="FFFFFF" w:themeColor="background1"/>
                <w:sz w:val="16"/>
                <w:szCs w:val="16"/>
              </w:rPr>
              <w:t xml:space="preserve">Avoidance of </w:t>
            </w:r>
            <w:r w:rsidR="001F39F0" w:rsidRPr="003B7A8F">
              <w:rPr>
                <w:rFonts w:ascii="Helvetica Neue" w:hAnsi="Helvetica Neue" w:cs="Times New Roman"/>
                <w:color w:val="FFFFFF" w:themeColor="background1"/>
                <w:sz w:val="16"/>
                <w:szCs w:val="16"/>
              </w:rPr>
              <w:t>harm to</w:t>
            </w:r>
            <w:r w:rsidRPr="003B7A8F">
              <w:rPr>
                <w:rFonts w:ascii="Helvetica Neue" w:hAnsi="Helvetica Neue" w:cs="Times New Roman"/>
                <w:color w:val="FFFFFF" w:themeColor="background1"/>
                <w:sz w:val="16"/>
                <w:szCs w:val="16"/>
              </w:rPr>
              <w:t xml:space="preserve"> patients is a key objective. We are </w:t>
            </w:r>
            <w:r w:rsidR="001F39F0" w:rsidRPr="003B7A8F">
              <w:rPr>
                <w:rFonts w:ascii="Helvetica Neue" w:hAnsi="Helvetica Neue" w:cs="Times New Roman"/>
                <w:color w:val="FFFFFF" w:themeColor="background1"/>
                <w:sz w:val="16"/>
                <w:szCs w:val="16"/>
              </w:rPr>
              <w:t>not willing to accept any risk to patient safety, outcomes, or experience.</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306A7B" w:rsidRPr="00270A6C" w:rsidRDefault="001F39F0" w:rsidP="00270A6C">
            <w:pPr>
              <w:jc w:val="center"/>
              <w:rPr>
                <w:rFonts w:ascii="Times" w:hAnsi="Times" w:cs="Times New Roman"/>
                <w:sz w:val="20"/>
                <w:szCs w:val="20"/>
              </w:rPr>
            </w:pPr>
            <w:r w:rsidRPr="00270A6C">
              <w:rPr>
                <w:rFonts w:ascii="Helvetica Neue" w:hAnsi="Helvetica Neue" w:cs="Times New Roman"/>
                <w:sz w:val="16"/>
                <w:szCs w:val="16"/>
              </w:rPr>
              <w:t>Only prepared to</w:t>
            </w:r>
            <w:r w:rsidR="00270A6C" w:rsidRPr="00270A6C">
              <w:rPr>
                <w:rFonts w:ascii="Helvetica Neue" w:hAnsi="Helvetica Neue" w:cs="Times New Roman"/>
                <w:sz w:val="16"/>
                <w:szCs w:val="16"/>
              </w:rPr>
              <w:t xml:space="preserve"> accept the possibility of minimal </w:t>
            </w:r>
            <w:r w:rsidR="003B7A8F">
              <w:rPr>
                <w:rFonts w:ascii="Helvetica Neue" w:hAnsi="Helvetica Neue" w:cs="Times New Roman"/>
                <w:sz w:val="16"/>
                <w:szCs w:val="16"/>
              </w:rPr>
              <w:t xml:space="preserve">risk to patient </w:t>
            </w:r>
            <w:r w:rsidRPr="00270A6C">
              <w:rPr>
                <w:rFonts w:ascii="Helvetica Neue" w:hAnsi="Helvetica Neue" w:cs="Times New Roman"/>
                <w:sz w:val="16"/>
                <w:szCs w:val="16"/>
              </w:rPr>
              <w:t>safety, outcome or experience if essential.</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306A7B" w:rsidRPr="00270A6C" w:rsidRDefault="001F39F0" w:rsidP="001F39F0">
            <w:pPr>
              <w:jc w:val="center"/>
              <w:rPr>
                <w:rFonts w:ascii="Times" w:hAnsi="Times" w:cs="Times New Roman"/>
                <w:sz w:val="20"/>
                <w:szCs w:val="20"/>
              </w:rPr>
            </w:pPr>
            <w:r w:rsidRPr="00270A6C">
              <w:rPr>
                <w:rFonts w:ascii="Helvetica Neue" w:hAnsi="Helvetica Neue" w:cs="Times New Roman"/>
                <w:sz w:val="16"/>
                <w:szCs w:val="16"/>
              </w:rPr>
              <w:t>Prepared to accept the possibility of some risk to patients.  Patient safety is the primary concern but this is balanced against other considerations such as the best interest of the patient.</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306A7B" w:rsidRPr="00270A6C" w:rsidRDefault="001F39F0" w:rsidP="00E67CCD">
            <w:pPr>
              <w:jc w:val="center"/>
              <w:rPr>
                <w:rFonts w:ascii="Times" w:hAnsi="Times" w:cs="Times New Roman"/>
                <w:sz w:val="20"/>
                <w:szCs w:val="20"/>
              </w:rPr>
            </w:pPr>
            <w:r w:rsidRPr="00270A6C">
              <w:rPr>
                <w:rFonts w:ascii="Times" w:hAnsi="Times" w:cs="Times New Roman"/>
                <w:sz w:val="20"/>
                <w:szCs w:val="20"/>
              </w:rPr>
              <w:t>-</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306A7B" w:rsidRPr="00270A6C" w:rsidRDefault="001F39F0" w:rsidP="00E67CCD">
            <w:pPr>
              <w:jc w:val="center"/>
              <w:rPr>
                <w:rFonts w:ascii="Times" w:hAnsi="Times" w:cs="Times New Roman"/>
                <w:sz w:val="20"/>
                <w:szCs w:val="20"/>
              </w:rPr>
            </w:pPr>
            <w:r w:rsidRPr="00270A6C">
              <w:rPr>
                <w:rFonts w:ascii="Times" w:hAnsi="Times" w:cs="Times New Roman"/>
                <w:sz w:val="20"/>
                <w:szCs w:val="20"/>
              </w:rPr>
              <w:t>-</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306A7B" w:rsidRPr="00270A6C" w:rsidRDefault="001F39F0" w:rsidP="00E67CCD">
            <w:pPr>
              <w:jc w:val="center"/>
              <w:rPr>
                <w:rFonts w:ascii="Times" w:hAnsi="Times" w:cs="Times New Roman"/>
                <w:sz w:val="20"/>
                <w:szCs w:val="20"/>
              </w:rPr>
            </w:pPr>
            <w:r w:rsidRPr="00270A6C">
              <w:rPr>
                <w:rFonts w:ascii="Times" w:hAnsi="Times" w:cs="Times New Roman"/>
                <w:sz w:val="20"/>
                <w:szCs w:val="20"/>
              </w:rPr>
              <w:t>-</w:t>
            </w:r>
          </w:p>
        </w:tc>
      </w:tr>
      <w:tr w:rsidR="00270A6C" w:rsidRPr="00F513F2" w:rsidTr="003B7A8F">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hideMark/>
          </w:tcPr>
          <w:p w:rsidR="00306A7B" w:rsidRPr="001F39F0" w:rsidRDefault="00527036" w:rsidP="00AF362B">
            <w:pPr>
              <w:jc w:val="center"/>
              <w:rPr>
                <w:rFonts w:ascii="Times" w:hAnsi="Times" w:cs="Times New Roman"/>
                <w:sz w:val="20"/>
                <w:szCs w:val="20"/>
              </w:rPr>
            </w:pPr>
            <w:r w:rsidRPr="001F39F0">
              <w:rPr>
                <w:rFonts w:ascii="Helvetica Neue" w:hAnsi="Helvetica Neue" w:cs="Times New Roman"/>
                <w:b/>
                <w:sz w:val="18"/>
                <w:szCs w:val="18"/>
              </w:rPr>
              <w:t>Organisational Risk -</w:t>
            </w:r>
            <w:r w:rsidRPr="001F39F0">
              <w:rPr>
                <w:rFonts w:ascii="Helvetica Neue" w:hAnsi="Helvetica Neue" w:cs="Times New Roman"/>
                <w:sz w:val="18"/>
                <w:szCs w:val="18"/>
              </w:rPr>
              <w:t xml:space="preserve"> </w:t>
            </w:r>
            <w:r w:rsidR="002D7E98" w:rsidRPr="001F39F0">
              <w:rPr>
                <w:rFonts w:ascii="Helvetica Neue" w:hAnsi="Helvetica Neue" w:cs="Times New Roman"/>
                <w:sz w:val="18"/>
                <w:szCs w:val="18"/>
              </w:rPr>
              <w:t xml:space="preserve"> </w:t>
            </w:r>
            <w:r w:rsidR="00306A7B" w:rsidRPr="001F39F0">
              <w:rPr>
                <w:rFonts w:ascii="Helvetica Neue" w:hAnsi="Helvetica Neue" w:cs="Times New Roman"/>
                <w:sz w:val="18"/>
                <w:szCs w:val="18"/>
              </w:rPr>
              <w:t>Financial/Value for Money (V</w:t>
            </w:r>
            <w:r w:rsidR="002D7E98" w:rsidRPr="001F39F0">
              <w:rPr>
                <w:rFonts w:ascii="Helvetica Neue" w:hAnsi="Helvetica Neue" w:cs="Times New Roman"/>
                <w:sz w:val="18"/>
                <w:szCs w:val="18"/>
              </w:rPr>
              <w:t>f</w:t>
            </w:r>
            <w:r w:rsidR="00306A7B" w:rsidRPr="001F39F0">
              <w:rPr>
                <w:rFonts w:ascii="Helvetica Neue" w:hAnsi="Helvetica Neue" w:cs="Times New Roman"/>
                <w:sz w:val="18"/>
                <w:szCs w:val="18"/>
              </w:rPr>
              <w:t>M</w:t>
            </w:r>
            <w:r w:rsidR="002D7E98" w:rsidRPr="001F39F0">
              <w:rPr>
                <w:rFonts w:ascii="Helvetica Neue" w:hAnsi="Helvetica Neue" w:cs="Times New Roman"/>
                <w:sz w:val="18"/>
                <w:szCs w:val="18"/>
              </w:rPr>
              <w:t>)</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306A7B" w:rsidRPr="00270A6C" w:rsidRDefault="00306A7B" w:rsidP="00306A7B">
            <w:pPr>
              <w:jc w:val="center"/>
              <w:rPr>
                <w:rFonts w:ascii="Times" w:hAnsi="Times" w:cs="Times New Roman"/>
                <w:sz w:val="20"/>
                <w:szCs w:val="20"/>
              </w:rPr>
            </w:pPr>
            <w:r w:rsidRPr="00270A6C">
              <w:rPr>
                <w:rFonts w:ascii="Helvetica Neue" w:hAnsi="Helvetica Neue" w:cs="Times New Roman"/>
                <w:sz w:val="16"/>
                <w:szCs w:val="16"/>
              </w:rPr>
              <w:t>Avoidance of financial loss is a key objective. We are only willing to accept the low cost option as VfM is the primary concern.</w:t>
            </w:r>
          </w:p>
        </w:tc>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hideMark/>
          </w:tcPr>
          <w:p w:rsidR="00306A7B" w:rsidRPr="00270A6C" w:rsidRDefault="00306A7B" w:rsidP="00306A7B">
            <w:pPr>
              <w:jc w:val="center"/>
              <w:rPr>
                <w:rFonts w:ascii="Times" w:hAnsi="Times" w:cs="Times New Roman"/>
                <w:sz w:val="20"/>
                <w:szCs w:val="20"/>
              </w:rPr>
            </w:pPr>
            <w:r w:rsidRPr="003B7A8F">
              <w:rPr>
                <w:rFonts w:ascii="Helvetica Neue" w:hAnsi="Helvetica Neue" w:cs="Times New Roman"/>
                <w:color w:val="FFFFFF" w:themeColor="background1"/>
                <w:sz w:val="16"/>
                <w:szCs w:val="16"/>
              </w:rPr>
              <w:t>Only prepared to accept the possibility of very limited financial loss if essential.</w:t>
            </w:r>
            <w:r w:rsidRPr="003B7A8F">
              <w:rPr>
                <w:rFonts w:ascii="Helvetica Neue" w:hAnsi="Helvetica Neue" w:cs="Times New Roman"/>
                <w:color w:val="FFFFFF" w:themeColor="background1"/>
                <w:sz w:val="16"/>
                <w:szCs w:val="16"/>
              </w:rPr>
              <w:br/>
              <w:t>VfM is the primary concern.</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306A7B" w:rsidRPr="00270A6C" w:rsidRDefault="00306A7B" w:rsidP="00306A7B">
            <w:pPr>
              <w:jc w:val="center"/>
              <w:rPr>
                <w:rFonts w:ascii="Times" w:hAnsi="Times" w:cs="Times New Roman"/>
                <w:sz w:val="20"/>
                <w:szCs w:val="20"/>
              </w:rPr>
            </w:pPr>
            <w:r w:rsidRPr="00270A6C">
              <w:rPr>
                <w:rFonts w:ascii="Helvetica Neue" w:hAnsi="Helvetica Neue" w:cs="Times New Roman"/>
                <w:sz w:val="16"/>
                <w:szCs w:val="16"/>
              </w:rPr>
              <w:t>Prepared to accept possibility of some limited financial loss. VfM still the primary concern but willing to consider other benefits or constraints. Resources generally restricted to existing commitments.</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306A7B" w:rsidRPr="00270A6C" w:rsidRDefault="00306A7B" w:rsidP="00306A7B">
            <w:pPr>
              <w:jc w:val="center"/>
              <w:rPr>
                <w:rFonts w:ascii="Times" w:hAnsi="Times" w:cs="Times New Roman"/>
                <w:sz w:val="20"/>
                <w:szCs w:val="20"/>
              </w:rPr>
            </w:pPr>
            <w:r w:rsidRPr="00270A6C">
              <w:rPr>
                <w:rFonts w:ascii="Helvetica Neue" w:hAnsi="Helvetica Neue" w:cs="Times New Roman"/>
                <w:sz w:val="16"/>
                <w:szCs w:val="16"/>
              </w:rPr>
              <w:t>Prepared to invest for return and minimise the possibility of financial loss by managing the risks to a tolerable level.</w:t>
            </w:r>
          </w:p>
          <w:p w:rsidR="00306A7B" w:rsidRPr="00270A6C" w:rsidRDefault="00306A7B" w:rsidP="00306A7B">
            <w:pPr>
              <w:jc w:val="center"/>
              <w:rPr>
                <w:rFonts w:ascii="Times" w:hAnsi="Times" w:cs="Times New Roman"/>
                <w:sz w:val="20"/>
                <w:szCs w:val="20"/>
              </w:rPr>
            </w:pPr>
            <w:r w:rsidRPr="00270A6C">
              <w:rPr>
                <w:rFonts w:ascii="Helvetica Neue" w:hAnsi="Helvetica Neue" w:cs="Times New Roman"/>
                <w:sz w:val="16"/>
                <w:szCs w:val="16"/>
              </w:rPr>
              <w:t>Value and benefits considered (not just cheapest price). Resources allocated in order to capitalise on opportunities.</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306A7B" w:rsidRPr="00270A6C" w:rsidRDefault="00306A7B" w:rsidP="00306A7B">
            <w:pPr>
              <w:jc w:val="center"/>
              <w:rPr>
                <w:rFonts w:ascii="Times" w:hAnsi="Times" w:cs="Times New Roman"/>
                <w:sz w:val="20"/>
                <w:szCs w:val="20"/>
              </w:rPr>
            </w:pPr>
            <w:r w:rsidRPr="00270A6C">
              <w:rPr>
                <w:rFonts w:ascii="Helvetica Neue" w:hAnsi="Helvetica Neue" w:cs="Times New Roman"/>
                <w:sz w:val="16"/>
                <w:szCs w:val="16"/>
              </w:rPr>
              <w:t>Investing for the best possible return and accept the possibility of financial loss (with controls may in place). Resources allocated without firm guarantee of return – ‘investment capital’ type approach.</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306A7B" w:rsidRPr="00270A6C" w:rsidRDefault="00306A7B" w:rsidP="00306A7B">
            <w:pPr>
              <w:jc w:val="center"/>
              <w:rPr>
                <w:rFonts w:ascii="Times" w:hAnsi="Times" w:cs="Times New Roman"/>
                <w:sz w:val="20"/>
                <w:szCs w:val="20"/>
              </w:rPr>
            </w:pPr>
            <w:r w:rsidRPr="00270A6C">
              <w:rPr>
                <w:rFonts w:ascii="Helvetica Neue" w:hAnsi="Helvetica Neue" w:cs="Times New Roman"/>
                <w:sz w:val="16"/>
                <w:szCs w:val="16"/>
              </w:rPr>
              <w:t>Consistently focussed on</w:t>
            </w:r>
            <w:r w:rsidRPr="00270A6C">
              <w:rPr>
                <w:rFonts w:ascii="Helvetica Neue" w:hAnsi="Helvetica Neue" w:cs="Times New Roman"/>
                <w:sz w:val="16"/>
                <w:szCs w:val="16"/>
              </w:rPr>
              <w:br/>
              <w:t>the best possible return for stakeholders. Resources allocated in ‘social capital’ with confidence that process is a return in itself.</w:t>
            </w:r>
          </w:p>
        </w:tc>
      </w:tr>
      <w:tr w:rsidR="00270A6C" w:rsidRPr="00F513F2" w:rsidTr="003B7A8F">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tcPr>
          <w:p w:rsidR="002D7E98" w:rsidRPr="001F39F0" w:rsidRDefault="00527036" w:rsidP="00AF362B">
            <w:pPr>
              <w:jc w:val="center"/>
              <w:rPr>
                <w:rFonts w:ascii="Helvetica Neue" w:hAnsi="Helvetica Neue" w:cs="Times New Roman"/>
                <w:sz w:val="18"/>
                <w:szCs w:val="18"/>
              </w:rPr>
            </w:pPr>
            <w:r w:rsidRPr="001F39F0">
              <w:rPr>
                <w:rFonts w:ascii="Helvetica Neue" w:hAnsi="Helvetica Neue" w:cs="Times New Roman"/>
                <w:b/>
                <w:sz w:val="18"/>
                <w:szCs w:val="18"/>
              </w:rPr>
              <w:t>Opportunistic Risk -</w:t>
            </w:r>
            <w:r w:rsidRPr="001F39F0">
              <w:rPr>
                <w:rFonts w:ascii="Helvetica Neue" w:hAnsi="Helvetica Neue" w:cs="Times New Roman"/>
                <w:sz w:val="18"/>
                <w:szCs w:val="18"/>
              </w:rPr>
              <w:t xml:space="preserve"> </w:t>
            </w:r>
            <w:r w:rsidR="002D7E98" w:rsidRPr="001F39F0">
              <w:rPr>
                <w:rFonts w:ascii="Helvetica Neue" w:hAnsi="Helvetica Neue" w:cs="Times New Roman"/>
                <w:sz w:val="18"/>
                <w:szCs w:val="18"/>
              </w:rPr>
              <w:t>New Approaches &amp; Innovation</w:t>
            </w:r>
            <w:r w:rsidR="00AF362B" w:rsidRPr="001F39F0">
              <w:rPr>
                <w:rFonts w:ascii="Helvetica Neue" w:hAnsi="Helvetica Neue" w:cs="Times New Roman"/>
                <w:sz w:val="18"/>
                <w:szCs w:val="18"/>
              </w:rPr>
              <w:t xml:space="preserve"> &amp; Partnership Working</w:t>
            </w:r>
            <w:r w:rsidR="00BC1524">
              <w:rPr>
                <w:rFonts w:ascii="Helvetica Neue" w:hAnsi="Helvetica Neue" w:cs="Times New Roman"/>
                <w:sz w:val="18"/>
                <w:szCs w:val="18"/>
              </w:rPr>
              <w:t xml:space="preserve"> &amp; Stakeholders &amp; IT</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2D7E98" w:rsidRPr="00270A6C" w:rsidRDefault="002D7E98" w:rsidP="00270A6C">
            <w:pPr>
              <w:jc w:val="center"/>
              <w:rPr>
                <w:rFonts w:ascii="Times" w:hAnsi="Times" w:cs="Times New Roman"/>
                <w:sz w:val="20"/>
                <w:szCs w:val="20"/>
              </w:rPr>
            </w:pPr>
            <w:r w:rsidRPr="00270A6C">
              <w:rPr>
                <w:rFonts w:ascii="Helvetica Neue" w:hAnsi="Helvetica Neue" w:cs="Times New Roman"/>
                <w:sz w:val="16"/>
                <w:szCs w:val="16"/>
              </w:rPr>
              <w:t xml:space="preserve">Defensive approach to </w:t>
            </w:r>
            <w:r w:rsidR="00270A6C" w:rsidRPr="00270A6C">
              <w:rPr>
                <w:rFonts w:ascii="Helvetica Neue" w:hAnsi="Helvetica Neue" w:cs="Times New Roman"/>
                <w:sz w:val="16"/>
                <w:szCs w:val="16"/>
              </w:rPr>
              <w:t>opportunities</w:t>
            </w:r>
            <w:r w:rsidRPr="00270A6C">
              <w:rPr>
                <w:rFonts w:ascii="Helvetica Neue" w:hAnsi="Helvetica Neue" w:cs="Times New Roman"/>
                <w:sz w:val="16"/>
                <w:szCs w:val="16"/>
              </w:rPr>
              <w:t xml:space="preserve"> – aim to maintain or protect, rather than to create or innovate. Priority for tight management controls and oversight with limited devolved decision taking authority. General avoidance of systems/ technology developments.</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2D7E98" w:rsidRPr="00270A6C" w:rsidRDefault="002D7E98" w:rsidP="00FA6E91">
            <w:pPr>
              <w:jc w:val="center"/>
              <w:rPr>
                <w:rFonts w:ascii="Times" w:hAnsi="Times" w:cs="Times New Roman"/>
                <w:sz w:val="20"/>
                <w:szCs w:val="20"/>
              </w:rPr>
            </w:pPr>
            <w:r w:rsidRPr="00270A6C">
              <w:rPr>
                <w:rFonts w:ascii="Helvetica Neue" w:hAnsi="Helvetica Neue" w:cs="Times New Roman"/>
                <w:sz w:val="16"/>
                <w:szCs w:val="16"/>
              </w:rPr>
              <w:t>Innovations always avoided unless essential or commonplace elsewhere. Decision making authority held by senior management. Only essential systems / technology developments to protect current operations.</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2D7E98" w:rsidRPr="00270A6C" w:rsidRDefault="002D7E98" w:rsidP="00FA6E91">
            <w:pPr>
              <w:jc w:val="center"/>
              <w:rPr>
                <w:rFonts w:ascii="Times" w:hAnsi="Times" w:cs="Times New Roman"/>
                <w:sz w:val="20"/>
                <w:szCs w:val="20"/>
              </w:rPr>
            </w:pPr>
            <w:r w:rsidRPr="00270A6C">
              <w:rPr>
                <w:rFonts w:ascii="Helvetica Neue" w:hAnsi="Helvetica Neue" w:cs="Times New Roman"/>
                <w:sz w:val="16"/>
                <w:szCs w:val="16"/>
              </w:rPr>
              <w:t xml:space="preserve">Tendency to stick to the status quo, innovations in practice avoided unless really necessary. Decision making authority generally held by senior management. Systems / technology developments limited to improvements </w:t>
            </w:r>
            <w:r w:rsidRPr="00270A6C">
              <w:rPr>
                <w:rFonts w:ascii="Helvetica Neue" w:hAnsi="Helvetica Neue" w:cs="Times New Roman"/>
                <w:sz w:val="16"/>
                <w:szCs w:val="16"/>
              </w:rPr>
              <w:br/>
              <w:t>to protection of current operations.</w:t>
            </w:r>
          </w:p>
        </w:tc>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tcPr>
          <w:p w:rsidR="002D7E98" w:rsidRPr="00270A6C" w:rsidRDefault="002D7E98" w:rsidP="00FA6E91">
            <w:pPr>
              <w:jc w:val="center"/>
              <w:rPr>
                <w:rFonts w:ascii="Times" w:hAnsi="Times" w:cs="Times New Roman"/>
                <w:sz w:val="20"/>
                <w:szCs w:val="20"/>
              </w:rPr>
            </w:pPr>
            <w:r w:rsidRPr="003B7A8F">
              <w:rPr>
                <w:rFonts w:ascii="Helvetica Neue" w:hAnsi="Helvetica Neue" w:cs="Times New Roman"/>
                <w:color w:val="FFFFFF" w:themeColor="background1"/>
                <w:sz w:val="16"/>
                <w:szCs w:val="16"/>
              </w:rPr>
              <w:t>Innovation supported,</w:t>
            </w:r>
            <w:r w:rsidRPr="003B7A8F">
              <w:rPr>
                <w:rFonts w:ascii="Helvetica Neue" w:hAnsi="Helvetica Neue" w:cs="Times New Roman"/>
                <w:color w:val="FFFFFF" w:themeColor="background1"/>
                <w:sz w:val="16"/>
                <w:szCs w:val="16"/>
              </w:rPr>
              <w:br/>
              <w:t>with demonstration of commensurate improvements in management control. Systems / technology developments used routinely to enable operational delivery Responsibility for non-critical decisions may be devolved.</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2D7E98" w:rsidRPr="00270A6C" w:rsidRDefault="002D7E98" w:rsidP="003B7A8F">
            <w:pPr>
              <w:jc w:val="center"/>
              <w:rPr>
                <w:rFonts w:ascii="Times" w:hAnsi="Times" w:cs="Times New Roman"/>
                <w:sz w:val="20"/>
                <w:szCs w:val="20"/>
              </w:rPr>
            </w:pPr>
            <w:r w:rsidRPr="00270A6C">
              <w:rPr>
                <w:rFonts w:ascii="Helvetica Neue" w:hAnsi="Helvetica Neue" w:cs="Times New Roman"/>
                <w:sz w:val="16"/>
                <w:szCs w:val="16"/>
              </w:rPr>
              <w:t>Innovation pursued – desire to ‘break the mould’ and challenge current working practices. New technologies viewed as a key enabler of operational delivery.</w:t>
            </w:r>
            <w:r w:rsidR="003B7A8F">
              <w:rPr>
                <w:rFonts w:ascii="Helvetica Neue" w:hAnsi="Helvetica Neue" w:cs="Times New Roman"/>
                <w:sz w:val="16"/>
                <w:szCs w:val="16"/>
              </w:rPr>
              <w:t xml:space="preserve"> </w:t>
            </w:r>
            <w:r w:rsidRPr="00270A6C">
              <w:rPr>
                <w:rFonts w:ascii="Helvetica Neue" w:hAnsi="Helvetica Neue" w:cs="Times New Roman"/>
                <w:sz w:val="16"/>
                <w:szCs w:val="16"/>
              </w:rPr>
              <w:t>High levels of devolved authority – management by trust rather than tight control.</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tcPr>
          <w:p w:rsidR="002D7E98" w:rsidRPr="00270A6C" w:rsidRDefault="002D7E98" w:rsidP="00FA6E91">
            <w:pPr>
              <w:jc w:val="center"/>
              <w:rPr>
                <w:rFonts w:ascii="Times" w:hAnsi="Times" w:cs="Times New Roman"/>
                <w:sz w:val="20"/>
                <w:szCs w:val="20"/>
              </w:rPr>
            </w:pPr>
            <w:r w:rsidRPr="00270A6C">
              <w:rPr>
                <w:rFonts w:ascii="Helvetica Neue" w:hAnsi="Helvetica Neue" w:cs="Times New Roman"/>
                <w:sz w:val="16"/>
                <w:szCs w:val="16"/>
              </w:rPr>
              <w:t>Innovation the priority – consistently ‘breaking the mould’ and challenging</w:t>
            </w:r>
            <w:r w:rsidRPr="00270A6C">
              <w:rPr>
                <w:rFonts w:ascii="Helvetica Neue" w:hAnsi="Helvetica Neue" w:cs="Times New Roman"/>
                <w:sz w:val="16"/>
                <w:szCs w:val="16"/>
              </w:rPr>
              <w:br/>
              <w:t>current working practices. Investment in new technologies as catalyst for operational delivery. Devolved authority – management by trust rather than tight control is standard practice.</w:t>
            </w:r>
          </w:p>
        </w:tc>
      </w:tr>
      <w:tr w:rsidR="00270A6C" w:rsidRPr="00F513F2" w:rsidTr="003B7A8F">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hideMark/>
          </w:tcPr>
          <w:p w:rsidR="002D7E98" w:rsidRPr="001F39F0" w:rsidRDefault="00AF362B" w:rsidP="00AF362B">
            <w:pPr>
              <w:jc w:val="center"/>
              <w:rPr>
                <w:rFonts w:ascii="Times" w:hAnsi="Times" w:cs="Times New Roman"/>
                <w:sz w:val="20"/>
                <w:szCs w:val="20"/>
              </w:rPr>
            </w:pPr>
            <w:r w:rsidRPr="001F39F0">
              <w:rPr>
                <w:rFonts w:ascii="Helvetica Neue" w:hAnsi="Helvetica Neue" w:cs="Times New Roman"/>
                <w:b/>
                <w:sz w:val="18"/>
                <w:szCs w:val="18"/>
              </w:rPr>
              <w:t>Compliance &amp; Legal Risk</w:t>
            </w:r>
            <w:r w:rsidRPr="001F39F0">
              <w:rPr>
                <w:rFonts w:ascii="Helvetica Neue" w:hAnsi="Helvetica Neue" w:cs="Times New Roman"/>
                <w:sz w:val="18"/>
                <w:szCs w:val="18"/>
              </w:rPr>
              <w:t xml:space="preserve"> - </w:t>
            </w:r>
            <w:r w:rsidR="002D7E98" w:rsidRPr="001F39F0">
              <w:rPr>
                <w:rFonts w:ascii="Helvetica Neue" w:hAnsi="Helvetica Neue" w:cs="Times New Roman"/>
                <w:sz w:val="18"/>
                <w:szCs w:val="18"/>
              </w:rPr>
              <w:t>Compliance/ regulatory</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3B7A8F" w:rsidP="00306A7B">
            <w:pPr>
              <w:jc w:val="center"/>
              <w:rPr>
                <w:rFonts w:ascii="Times" w:hAnsi="Times" w:cs="Times New Roman"/>
                <w:sz w:val="20"/>
                <w:szCs w:val="20"/>
              </w:rPr>
            </w:pPr>
            <w:r>
              <w:rPr>
                <w:rFonts w:ascii="Helvetica Neue" w:hAnsi="Helvetica Neue" w:cs="Times New Roman"/>
                <w:sz w:val="16"/>
                <w:szCs w:val="16"/>
              </w:rPr>
              <w:t>Avoid</w:t>
            </w:r>
            <w:r w:rsidR="002D7E98" w:rsidRPr="00270A6C">
              <w:rPr>
                <w:rFonts w:ascii="Helvetica Neue" w:hAnsi="Helvetica Neue" w:cs="Times New Roman"/>
                <w:sz w:val="16"/>
                <w:szCs w:val="16"/>
              </w:rPr>
              <w:t xml:space="preserve"> anything which could be challenged, even unsuccessfully.</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Want to be very sure we would win any challenge. Similar situations elsewhere have not breached compliances.</w:t>
            </w:r>
          </w:p>
        </w:tc>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hideMark/>
          </w:tcPr>
          <w:p w:rsidR="002D7E98" w:rsidRPr="00270A6C" w:rsidRDefault="002D7E98" w:rsidP="003B7A8F">
            <w:pPr>
              <w:jc w:val="center"/>
              <w:rPr>
                <w:rFonts w:ascii="Times" w:hAnsi="Times" w:cs="Times New Roman"/>
                <w:sz w:val="20"/>
                <w:szCs w:val="20"/>
              </w:rPr>
            </w:pPr>
            <w:r w:rsidRPr="003B7A8F">
              <w:rPr>
                <w:rFonts w:ascii="Helvetica Neue" w:hAnsi="Helvetica Neue" w:cs="Times New Roman"/>
                <w:color w:val="FFFFFF" w:themeColor="background1"/>
                <w:sz w:val="16"/>
                <w:szCs w:val="16"/>
              </w:rPr>
              <w:t xml:space="preserve">Limited tolerance for </w:t>
            </w:r>
            <w:r w:rsidR="003B7A8F">
              <w:rPr>
                <w:rFonts w:ascii="Helvetica Neue" w:hAnsi="Helvetica Neue" w:cs="Times New Roman"/>
                <w:color w:val="FFFFFF" w:themeColor="background1"/>
                <w:sz w:val="16"/>
                <w:szCs w:val="16"/>
              </w:rPr>
              <w:t>non compliance.</w:t>
            </w:r>
            <w:r w:rsidRPr="003B7A8F">
              <w:rPr>
                <w:rFonts w:ascii="Helvetica Neue" w:hAnsi="Helvetica Neue" w:cs="Times New Roman"/>
                <w:color w:val="FFFFFF" w:themeColor="background1"/>
                <w:sz w:val="16"/>
                <w:szCs w:val="16"/>
              </w:rPr>
              <w:t xml:space="preserve"> Want to be reasonably sure we would win any challenge.</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Challenge would be problematic but we are likely to win it and the gain will outweigh the adverse consequences.</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B7A8F">
            <w:pPr>
              <w:jc w:val="center"/>
              <w:rPr>
                <w:rFonts w:ascii="Times" w:hAnsi="Times" w:cs="Times New Roman"/>
                <w:sz w:val="20"/>
                <w:szCs w:val="20"/>
              </w:rPr>
            </w:pPr>
            <w:r w:rsidRPr="00270A6C">
              <w:rPr>
                <w:rFonts w:ascii="Helvetica Neue" w:hAnsi="Helvetica Neue" w:cs="Times New Roman"/>
                <w:sz w:val="16"/>
                <w:szCs w:val="16"/>
              </w:rPr>
              <w:t xml:space="preserve">Chances of losing any challenge are real and consequences would be significant. </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Consistently pushing back on regulatory burden. Front foot approach informs better regulation.</w:t>
            </w:r>
          </w:p>
        </w:tc>
      </w:tr>
      <w:tr w:rsidR="00270A6C" w:rsidRPr="00F513F2" w:rsidTr="000348F2">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hideMark/>
          </w:tcPr>
          <w:p w:rsidR="002D7E98" w:rsidRPr="001F39F0" w:rsidRDefault="00527036" w:rsidP="00AF362B">
            <w:pPr>
              <w:jc w:val="center"/>
              <w:rPr>
                <w:rFonts w:ascii="Times" w:hAnsi="Times" w:cs="Times New Roman"/>
                <w:sz w:val="20"/>
                <w:szCs w:val="20"/>
              </w:rPr>
            </w:pPr>
            <w:r w:rsidRPr="001F39F0">
              <w:rPr>
                <w:rFonts w:ascii="Helvetica Neue" w:hAnsi="Helvetica Neue" w:cs="Times New Roman"/>
                <w:b/>
                <w:sz w:val="18"/>
                <w:szCs w:val="18"/>
              </w:rPr>
              <w:t xml:space="preserve">Reputational Risk - </w:t>
            </w:r>
            <w:r w:rsidR="002D7E98" w:rsidRPr="001F39F0">
              <w:rPr>
                <w:rFonts w:ascii="Helvetica Neue" w:hAnsi="Helvetica Neue" w:cs="Times New Roman"/>
                <w:sz w:val="18"/>
                <w:szCs w:val="18"/>
              </w:rPr>
              <w:t>Reputation</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No tolerance for any decisions that could lead to scrutiny of, or indeed attention to, the organisation. External interest in the organisation viewed with concern.</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Tolerance for risk taking limited to those events where there is no chance of any significant repercussion for the organisation. Senior management distance themselves from chance of exposure to attention.</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0348F2">
              <w:rPr>
                <w:rFonts w:ascii="Helvetica Neue" w:hAnsi="Helvetica Neue" w:cs="Times New Roman"/>
                <w:sz w:val="16"/>
                <w:szCs w:val="16"/>
              </w:rPr>
              <w:t>Tolerance for risk taking limited to those events where there is little chance of any significant repercussion for the organisation should there be a failure. Mitigations in place for any undue interest.</w:t>
            </w:r>
          </w:p>
        </w:tc>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 xml:space="preserve">Appetite to take </w:t>
            </w:r>
            <w:r w:rsidRPr="000348F2">
              <w:rPr>
                <w:rFonts w:ascii="Helvetica Neue" w:hAnsi="Helvetica Neue" w:cs="Times New Roman"/>
                <w:color w:val="FFFFFF" w:themeColor="background1"/>
                <w:sz w:val="16"/>
                <w:szCs w:val="16"/>
              </w:rPr>
              <w:t>decisions</w:t>
            </w:r>
            <w:r w:rsidRPr="00270A6C">
              <w:rPr>
                <w:rFonts w:ascii="Helvetica Neue" w:hAnsi="Helvetica Neue" w:cs="Times New Roman"/>
                <w:sz w:val="16"/>
                <w:szCs w:val="16"/>
              </w:rPr>
              <w:t xml:space="preserve"> with potential to expose the organisation to additional scrutiny/interest. Prospective management of organisation’s reputation.</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B7A8F">
            <w:pPr>
              <w:jc w:val="center"/>
              <w:rPr>
                <w:rFonts w:ascii="Times" w:hAnsi="Times" w:cs="Times New Roman"/>
                <w:sz w:val="20"/>
                <w:szCs w:val="20"/>
              </w:rPr>
            </w:pPr>
            <w:r w:rsidRPr="00270A6C">
              <w:rPr>
                <w:rFonts w:ascii="Helvetica Neue" w:hAnsi="Helvetica Neue" w:cs="Times New Roman"/>
                <w:sz w:val="16"/>
                <w:szCs w:val="16"/>
              </w:rPr>
              <w:t>Willingness to take decisions that are likely to bring scrutiny of the organisation but where potential benefits outweigh the risks. New ideas seen</w:t>
            </w:r>
            <w:r w:rsidR="003B7A8F">
              <w:rPr>
                <w:rFonts w:ascii="Helvetica Neue" w:hAnsi="Helvetica Neue" w:cs="Times New Roman"/>
                <w:sz w:val="16"/>
                <w:szCs w:val="16"/>
              </w:rPr>
              <w:t xml:space="preserve"> </w:t>
            </w:r>
            <w:r w:rsidRPr="00270A6C">
              <w:rPr>
                <w:rFonts w:ascii="Helvetica Neue" w:hAnsi="Helvetica Neue" w:cs="Times New Roman"/>
                <w:sz w:val="16"/>
                <w:szCs w:val="16"/>
              </w:rPr>
              <w:t>as potentially enhancing reputation of organisation.</w:t>
            </w:r>
          </w:p>
        </w:tc>
        <w:tc>
          <w:tcPr>
            <w:tcW w:w="0" w:type="auto"/>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270A6C" w:rsidRDefault="002D7E98" w:rsidP="00306A7B">
            <w:pPr>
              <w:jc w:val="center"/>
              <w:rPr>
                <w:rFonts w:ascii="Times" w:hAnsi="Times" w:cs="Times New Roman"/>
                <w:sz w:val="20"/>
                <w:szCs w:val="20"/>
              </w:rPr>
            </w:pPr>
            <w:r w:rsidRPr="00270A6C">
              <w:rPr>
                <w:rFonts w:ascii="Helvetica Neue" w:hAnsi="Helvetica Neue" w:cs="Times New Roman"/>
                <w:sz w:val="16"/>
                <w:szCs w:val="16"/>
              </w:rPr>
              <w:t>Track record and investment</w:t>
            </w:r>
            <w:r w:rsidRPr="00270A6C">
              <w:rPr>
                <w:rFonts w:ascii="Helvetica Neue" w:hAnsi="Helvetica Neue" w:cs="Times New Roman"/>
                <w:sz w:val="16"/>
                <w:szCs w:val="16"/>
              </w:rPr>
              <w:br/>
              <w:t>in communications has built confidence by public, press and politicians that organisation will take the difficult decisions for the right reasons with benefits outweighing the risks.</w:t>
            </w:r>
          </w:p>
        </w:tc>
      </w:tr>
      <w:tr w:rsidR="00270A6C" w:rsidRPr="00F513F2" w:rsidTr="000F3762">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hideMark/>
          </w:tcPr>
          <w:p w:rsidR="002D7E98" w:rsidRPr="00F513F2" w:rsidRDefault="002D7E98" w:rsidP="00306A7B">
            <w:pPr>
              <w:jc w:val="center"/>
              <w:rPr>
                <w:rFonts w:ascii="Times" w:hAnsi="Times" w:cs="Times New Roman"/>
                <w:sz w:val="20"/>
                <w:szCs w:val="20"/>
              </w:rPr>
            </w:pPr>
            <w:r w:rsidRPr="00F513F2">
              <w:rPr>
                <w:rFonts w:ascii="Helvetica Neue" w:hAnsi="Helvetica Neue" w:cs="Times New Roman"/>
                <w:b/>
                <w:bCs/>
                <w:sz w:val="18"/>
                <w:szCs w:val="18"/>
              </w:rPr>
              <w:t>APPETITE</w:t>
            </w:r>
          </w:p>
        </w:tc>
        <w:tc>
          <w:tcPr>
            <w:tcW w:w="0" w:type="auto"/>
            <w:tcBorders>
              <w:top w:val="single" w:sz="18" w:space="0" w:color="FFFFFC"/>
              <w:left w:val="single" w:sz="18" w:space="0" w:color="FFFFFC"/>
              <w:bottom w:val="single" w:sz="18" w:space="0" w:color="FFFFFC"/>
              <w:right w:val="single" w:sz="18" w:space="0" w:color="FFFFFC"/>
            </w:tcBorders>
            <w:shd w:val="clear" w:color="auto" w:fill="000000" w:themeFill="text1"/>
            <w:vAlign w:val="center"/>
            <w:hideMark/>
          </w:tcPr>
          <w:p w:rsidR="002D7E98" w:rsidRPr="00F513F2" w:rsidRDefault="002D7E98" w:rsidP="00306A7B">
            <w:pPr>
              <w:jc w:val="center"/>
              <w:rPr>
                <w:rFonts w:ascii="Times" w:hAnsi="Times" w:cs="Times New Roman"/>
                <w:sz w:val="20"/>
                <w:szCs w:val="20"/>
              </w:rPr>
            </w:pPr>
            <w:r w:rsidRPr="00F513F2">
              <w:rPr>
                <w:rFonts w:ascii="Helvetica Neue" w:hAnsi="Helvetica Neue" w:cs="Times New Roman"/>
                <w:b/>
                <w:bCs/>
                <w:color w:val="FFFFFF"/>
                <w:sz w:val="18"/>
                <w:szCs w:val="18"/>
              </w:rPr>
              <w:t>NONE</w:t>
            </w:r>
          </w:p>
        </w:tc>
        <w:tc>
          <w:tcPr>
            <w:tcW w:w="0" w:type="auto"/>
            <w:tcBorders>
              <w:top w:val="single" w:sz="18" w:space="0" w:color="FFFFFC"/>
              <w:left w:val="single" w:sz="18" w:space="0" w:color="FFFFFC"/>
              <w:bottom w:val="single" w:sz="18" w:space="0" w:color="FFFFFC"/>
              <w:right w:val="single" w:sz="18" w:space="0" w:color="FFFFFC"/>
            </w:tcBorders>
            <w:shd w:val="clear" w:color="auto" w:fill="808080" w:themeFill="background1" w:themeFillShade="80"/>
            <w:vAlign w:val="center"/>
            <w:hideMark/>
          </w:tcPr>
          <w:p w:rsidR="002D7E98" w:rsidRPr="00F513F2" w:rsidRDefault="002D7E98" w:rsidP="00306A7B">
            <w:pPr>
              <w:jc w:val="center"/>
              <w:rPr>
                <w:rFonts w:ascii="Times" w:hAnsi="Times" w:cs="Times New Roman"/>
                <w:sz w:val="20"/>
                <w:szCs w:val="20"/>
              </w:rPr>
            </w:pPr>
            <w:r w:rsidRPr="00F513F2">
              <w:rPr>
                <w:rFonts w:ascii="Helvetica Neue" w:hAnsi="Helvetica Neue" w:cs="Times New Roman"/>
                <w:b/>
                <w:bCs/>
                <w:color w:val="FFFFFF"/>
                <w:sz w:val="18"/>
                <w:szCs w:val="18"/>
              </w:rPr>
              <w:t>LOW</w:t>
            </w:r>
          </w:p>
        </w:tc>
        <w:tc>
          <w:tcPr>
            <w:tcW w:w="0" w:type="auto"/>
            <w:tcBorders>
              <w:top w:val="single" w:sz="18" w:space="0" w:color="FFFFFC"/>
              <w:left w:val="single" w:sz="18" w:space="0" w:color="FFFFFC"/>
              <w:bottom w:val="single" w:sz="18" w:space="0" w:color="FFFFFC"/>
              <w:right w:val="single" w:sz="18" w:space="0" w:color="FFFFFC"/>
            </w:tcBorders>
            <w:shd w:val="clear" w:color="auto" w:fill="BFBFBF" w:themeFill="background1" w:themeFillShade="BF"/>
            <w:vAlign w:val="center"/>
            <w:hideMark/>
          </w:tcPr>
          <w:p w:rsidR="002D7E98" w:rsidRPr="00F513F2" w:rsidRDefault="002D7E98" w:rsidP="00306A7B">
            <w:pPr>
              <w:jc w:val="center"/>
              <w:rPr>
                <w:rFonts w:ascii="Times" w:hAnsi="Times" w:cs="Times New Roman"/>
                <w:sz w:val="20"/>
                <w:szCs w:val="20"/>
              </w:rPr>
            </w:pPr>
            <w:r w:rsidRPr="00F513F2">
              <w:rPr>
                <w:rFonts w:ascii="Helvetica Neue" w:hAnsi="Helvetica Neue" w:cs="Times New Roman"/>
                <w:b/>
                <w:bCs/>
                <w:color w:val="FFFFFF"/>
                <w:sz w:val="18"/>
                <w:szCs w:val="18"/>
              </w:rPr>
              <w:t>MODERATE</w:t>
            </w:r>
          </w:p>
        </w:tc>
        <w:tc>
          <w:tcPr>
            <w:tcW w:w="0" w:type="auto"/>
            <w:tcBorders>
              <w:top w:val="single" w:sz="18" w:space="0" w:color="FFFFFC"/>
              <w:left w:val="single" w:sz="18" w:space="0" w:color="FFFFFC"/>
              <w:bottom w:val="single" w:sz="18" w:space="0" w:color="FFFFFC"/>
              <w:right w:val="single" w:sz="18" w:space="0" w:color="FFFFFC"/>
            </w:tcBorders>
            <w:shd w:val="clear" w:color="auto" w:fill="D9D9D9" w:themeFill="background1" w:themeFillShade="D9"/>
            <w:vAlign w:val="center"/>
            <w:hideMark/>
          </w:tcPr>
          <w:p w:rsidR="002D7E98" w:rsidRPr="00F513F2" w:rsidRDefault="002D7E98" w:rsidP="00306A7B">
            <w:pPr>
              <w:jc w:val="center"/>
              <w:rPr>
                <w:rFonts w:ascii="Times" w:hAnsi="Times" w:cs="Times New Roman"/>
                <w:sz w:val="20"/>
                <w:szCs w:val="20"/>
              </w:rPr>
            </w:pPr>
            <w:r w:rsidRPr="00F513F2">
              <w:rPr>
                <w:rFonts w:ascii="Helvetica Neue" w:hAnsi="Helvetica Neue" w:cs="Times New Roman"/>
                <w:b/>
                <w:bCs/>
                <w:color w:val="FFFFFF"/>
                <w:sz w:val="18"/>
                <w:szCs w:val="18"/>
              </w:rPr>
              <w:t>HIGH</w:t>
            </w:r>
          </w:p>
        </w:tc>
        <w:tc>
          <w:tcPr>
            <w:tcW w:w="0" w:type="auto"/>
            <w:gridSpan w:val="2"/>
            <w:tcBorders>
              <w:top w:val="single" w:sz="18" w:space="0" w:color="FFFFFC"/>
              <w:left w:val="single" w:sz="18" w:space="0" w:color="FFFFFC"/>
              <w:bottom w:val="single" w:sz="18" w:space="0" w:color="FFFFFC"/>
              <w:right w:val="single" w:sz="18" w:space="0" w:color="FFFFFC"/>
            </w:tcBorders>
            <w:shd w:val="clear" w:color="auto" w:fill="F2F2F2" w:themeFill="background1" w:themeFillShade="F2"/>
            <w:vAlign w:val="center"/>
            <w:hideMark/>
          </w:tcPr>
          <w:p w:rsidR="002D7E98" w:rsidRPr="00F513F2" w:rsidRDefault="002D7E98" w:rsidP="00306A7B">
            <w:pPr>
              <w:jc w:val="center"/>
              <w:rPr>
                <w:rFonts w:ascii="Times" w:hAnsi="Times" w:cs="Times New Roman"/>
                <w:sz w:val="20"/>
                <w:szCs w:val="20"/>
              </w:rPr>
            </w:pPr>
            <w:r w:rsidRPr="000F3762">
              <w:rPr>
                <w:rFonts w:ascii="Helvetica Neue" w:hAnsi="Helvetica Neue" w:cs="Times New Roman"/>
                <w:b/>
                <w:bCs/>
                <w:sz w:val="18"/>
                <w:szCs w:val="18"/>
              </w:rPr>
              <w:t>SIGNIFICANT</w:t>
            </w:r>
          </w:p>
        </w:tc>
      </w:tr>
    </w:tbl>
    <w:p w:rsidR="002D7E98" w:rsidRDefault="002D7E98" w:rsidP="003B7A8F">
      <w:pPr>
        <w:rPr>
          <w:rFonts w:ascii="Arial" w:hAnsi="Arial" w:cs="Arial"/>
          <w:b/>
          <w:color w:val="2A2A2A"/>
          <w:sz w:val="26"/>
          <w:szCs w:val="26"/>
          <w:lang w:val="en-US"/>
        </w:rPr>
      </w:pPr>
    </w:p>
    <w:sectPr w:rsidR="002D7E98" w:rsidSect="003B7A8F">
      <w:pgSz w:w="23814" w:h="16839" w:orient="landscape" w:code="8"/>
      <w:pgMar w:top="1440" w:right="1080" w:bottom="851" w:left="1080" w:header="708" w:footer="5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5FE" w:rsidRDefault="009835FE" w:rsidP="009835FE">
      <w:r>
        <w:separator/>
      </w:r>
    </w:p>
  </w:endnote>
  <w:endnote w:type="continuationSeparator" w:id="0">
    <w:p w:rsidR="009835FE" w:rsidRDefault="009835FE" w:rsidP="0098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7E" w:rsidRDefault="004E137E">
    <w:pPr>
      <w:pStyle w:val="Footer"/>
    </w:pPr>
    <w:r>
      <w:rPr>
        <w:rFonts w:ascii="Arial" w:hAnsi="Arial" w:cs="Arial"/>
        <w:noProof/>
        <w:lang w:eastAsia="en-GB"/>
      </w:rPr>
      <w:drawing>
        <wp:anchor distT="0" distB="0" distL="114300" distR="114300" simplePos="0" relativeHeight="251659264" behindDoc="0" locked="0" layoutInCell="1" allowOverlap="1" wp14:anchorId="30AA32C9" wp14:editId="0C6B06B0">
          <wp:simplePos x="0" y="0"/>
          <wp:positionH relativeFrom="column">
            <wp:posOffset>-455295</wp:posOffset>
          </wp:positionH>
          <wp:positionV relativeFrom="paragraph">
            <wp:posOffset>85725</wp:posOffset>
          </wp:positionV>
          <wp:extent cx="2171065" cy="381000"/>
          <wp:effectExtent l="0" t="0" r="635" b="0"/>
          <wp:wrapSquare wrapText="bothSides"/>
          <wp:docPr id="2" name="Picture 1" descr="Description: Description: Description: Description: Values logo white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Values logo white background.jpg"/>
                  <pic:cNvPicPr>
                    <a:picLocks noChangeAspect="1" noChangeArrowheads="1"/>
                  </pic:cNvPicPr>
                </pic:nvPicPr>
                <pic:blipFill>
                  <a:blip r:embed="rId1" r:link="rId2" cstate="print"/>
                  <a:srcRect/>
                  <a:stretch>
                    <a:fillRect/>
                  </a:stretch>
                </pic:blipFill>
                <pic:spPr bwMode="auto">
                  <a:xfrm>
                    <a:off x="0" y="0"/>
                    <a:ext cx="2171065" cy="3810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5FE" w:rsidRDefault="009835FE" w:rsidP="009835FE">
      <w:r>
        <w:separator/>
      </w:r>
    </w:p>
  </w:footnote>
  <w:footnote w:type="continuationSeparator" w:id="0">
    <w:p w:rsidR="009835FE" w:rsidRDefault="009835FE" w:rsidP="00983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5FE" w:rsidRDefault="009835FE" w:rsidP="009835FE">
    <w:pPr>
      <w:pStyle w:val="Header"/>
      <w:jc w:val="right"/>
    </w:pPr>
    <w:r>
      <w:rPr>
        <w:rFonts w:ascii="Arial" w:hAnsi="Arial" w:cs="Arial"/>
        <w:noProof/>
        <w:lang w:eastAsia="en-GB"/>
      </w:rPr>
      <w:drawing>
        <wp:inline distT="0" distB="0" distL="0" distR="0" wp14:anchorId="4EA7180E" wp14:editId="7B52C05A">
          <wp:extent cx="1828359" cy="257175"/>
          <wp:effectExtent l="19050" t="0" r="4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30536" cy="25748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34DD"/>
    <w:multiLevelType w:val="hybridMultilevel"/>
    <w:tmpl w:val="AF807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C604F4"/>
    <w:multiLevelType w:val="hybridMultilevel"/>
    <w:tmpl w:val="5EF8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7B"/>
    <w:rsid w:val="000348F2"/>
    <w:rsid w:val="000A0335"/>
    <w:rsid w:val="000F3762"/>
    <w:rsid w:val="001F39F0"/>
    <w:rsid w:val="00270A6C"/>
    <w:rsid w:val="002D7E98"/>
    <w:rsid w:val="00306A7B"/>
    <w:rsid w:val="00393784"/>
    <w:rsid w:val="00397B67"/>
    <w:rsid w:val="003B7A8F"/>
    <w:rsid w:val="003E1CE3"/>
    <w:rsid w:val="00486257"/>
    <w:rsid w:val="004A0E7A"/>
    <w:rsid w:val="004E137E"/>
    <w:rsid w:val="00517C6C"/>
    <w:rsid w:val="00526AD1"/>
    <w:rsid w:val="00527036"/>
    <w:rsid w:val="0054465B"/>
    <w:rsid w:val="005660A1"/>
    <w:rsid w:val="00586541"/>
    <w:rsid w:val="005E2C53"/>
    <w:rsid w:val="006008D2"/>
    <w:rsid w:val="00610E3F"/>
    <w:rsid w:val="00622CC6"/>
    <w:rsid w:val="00713DA9"/>
    <w:rsid w:val="007B59A2"/>
    <w:rsid w:val="008368E0"/>
    <w:rsid w:val="008D23A7"/>
    <w:rsid w:val="008E0AD0"/>
    <w:rsid w:val="0096253D"/>
    <w:rsid w:val="009835FE"/>
    <w:rsid w:val="009D3E97"/>
    <w:rsid w:val="00A32172"/>
    <w:rsid w:val="00A5227C"/>
    <w:rsid w:val="00A864CE"/>
    <w:rsid w:val="00AA1F76"/>
    <w:rsid w:val="00AF362B"/>
    <w:rsid w:val="00BC1524"/>
    <w:rsid w:val="00BF2435"/>
    <w:rsid w:val="00CA0DE7"/>
    <w:rsid w:val="00CA598B"/>
    <w:rsid w:val="00D11D4E"/>
    <w:rsid w:val="00DA1E2E"/>
    <w:rsid w:val="00EF5A2C"/>
    <w:rsid w:val="00FB6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7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FE"/>
    <w:pPr>
      <w:ind w:left="720"/>
      <w:contextualSpacing/>
    </w:pPr>
  </w:style>
  <w:style w:type="table" w:styleId="TableGrid">
    <w:name w:val="Table Grid"/>
    <w:basedOn w:val="TableNormal"/>
    <w:uiPriority w:val="59"/>
    <w:rsid w:val="00983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35FE"/>
    <w:pPr>
      <w:tabs>
        <w:tab w:val="center" w:pos="4513"/>
        <w:tab w:val="right" w:pos="9026"/>
      </w:tabs>
    </w:pPr>
  </w:style>
  <w:style w:type="character" w:customStyle="1" w:styleId="HeaderChar">
    <w:name w:val="Header Char"/>
    <w:basedOn w:val="DefaultParagraphFont"/>
    <w:link w:val="Header"/>
    <w:uiPriority w:val="99"/>
    <w:rsid w:val="009835FE"/>
    <w:rPr>
      <w:rFonts w:eastAsiaTheme="minorEastAsia"/>
      <w:sz w:val="24"/>
      <w:szCs w:val="24"/>
    </w:rPr>
  </w:style>
  <w:style w:type="paragraph" w:styleId="Footer">
    <w:name w:val="footer"/>
    <w:basedOn w:val="Normal"/>
    <w:link w:val="FooterChar"/>
    <w:uiPriority w:val="99"/>
    <w:unhideWhenUsed/>
    <w:rsid w:val="009835FE"/>
    <w:pPr>
      <w:tabs>
        <w:tab w:val="center" w:pos="4513"/>
        <w:tab w:val="right" w:pos="9026"/>
      </w:tabs>
    </w:pPr>
  </w:style>
  <w:style w:type="character" w:customStyle="1" w:styleId="FooterChar">
    <w:name w:val="Footer Char"/>
    <w:basedOn w:val="DefaultParagraphFont"/>
    <w:link w:val="Footer"/>
    <w:uiPriority w:val="99"/>
    <w:rsid w:val="009835FE"/>
    <w:rPr>
      <w:rFonts w:eastAsiaTheme="minorEastAsia"/>
      <w:sz w:val="24"/>
      <w:szCs w:val="24"/>
    </w:rPr>
  </w:style>
  <w:style w:type="paragraph" w:styleId="BalloonText">
    <w:name w:val="Balloon Text"/>
    <w:basedOn w:val="Normal"/>
    <w:link w:val="BalloonTextChar"/>
    <w:uiPriority w:val="99"/>
    <w:semiHidden/>
    <w:unhideWhenUsed/>
    <w:rsid w:val="009835FE"/>
    <w:rPr>
      <w:rFonts w:ascii="Tahoma" w:hAnsi="Tahoma" w:cs="Tahoma"/>
      <w:sz w:val="16"/>
      <w:szCs w:val="16"/>
    </w:rPr>
  </w:style>
  <w:style w:type="character" w:customStyle="1" w:styleId="BalloonTextChar">
    <w:name w:val="Balloon Text Char"/>
    <w:basedOn w:val="DefaultParagraphFont"/>
    <w:link w:val="BalloonText"/>
    <w:uiPriority w:val="99"/>
    <w:semiHidden/>
    <w:rsid w:val="009835FE"/>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27036"/>
    <w:rPr>
      <w:sz w:val="16"/>
      <w:szCs w:val="16"/>
    </w:rPr>
  </w:style>
  <w:style w:type="paragraph" w:styleId="CommentText">
    <w:name w:val="annotation text"/>
    <w:basedOn w:val="Normal"/>
    <w:link w:val="CommentTextChar"/>
    <w:uiPriority w:val="99"/>
    <w:semiHidden/>
    <w:unhideWhenUsed/>
    <w:rsid w:val="00527036"/>
    <w:rPr>
      <w:sz w:val="20"/>
      <w:szCs w:val="20"/>
    </w:rPr>
  </w:style>
  <w:style w:type="character" w:customStyle="1" w:styleId="CommentTextChar">
    <w:name w:val="Comment Text Char"/>
    <w:basedOn w:val="DefaultParagraphFont"/>
    <w:link w:val="CommentText"/>
    <w:uiPriority w:val="99"/>
    <w:semiHidden/>
    <w:rsid w:val="0052703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27036"/>
    <w:rPr>
      <w:b/>
      <w:bCs/>
    </w:rPr>
  </w:style>
  <w:style w:type="character" w:customStyle="1" w:styleId="CommentSubjectChar">
    <w:name w:val="Comment Subject Char"/>
    <w:basedOn w:val="CommentTextChar"/>
    <w:link w:val="CommentSubject"/>
    <w:uiPriority w:val="99"/>
    <w:semiHidden/>
    <w:rsid w:val="00527036"/>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7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FE"/>
    <w:pPr>
      <w:ind w:left="720"/>
      <w:contextualSpacing/>
    </w:pPr>
  </w:style>
  <w:style w:type="table" w:styleId="TableGrid">
    <w:name w:val="Table Grid"/>
    <w:basedOn w:val="TableNormal"/>
    <w:uiPriority w:val="59"/>
    <w:rsid w:val="00983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35FE"/>
    <w:pPr>
      <w:tabs>
        <w:tab w:val="center" w:pos="4513"/>
        <w:tab w:val="right" w:pos="9026"/>
      </w:tabs>
    </w:pPr>
  </w:style>
  <w:style w:type="character" w:customStyle="1" w:styleId="HeaderChar">
    <w:name w:val="Header Char"/>
    <w:basedOn w:val="DefaultParagraphFont"/>
    <w:link w:val="Header"/>
    <w:uiPriority w:val="99"/>
    <w:rsid w:val="009835FE"/>
    <w:rPr>
      <w:rFonts w:eastAsiaTheme="minorEastAsia"/>
      <w:sz w:val="24"/>
      <w:szCs w:val="24"/>
    </w:rPr>
  </w:style>
  <w:style w:type="paragraph" w:styleId="Footer">
    <w:name w:val="footer"/>
    <w:basedOn w:val="Normal"/>
    <w:link w:val="FooterChar"/>
    <w:uiPriority w:val="99"/>
    <w:unhideWhenUsed/>
    <w:rsid w:val="009835FE"/>
    <w:pPr>
      <w:tabs>
        <w:tab w:val="center" w:pos="4513"/>
        <w:tab w:val="right" w:pos="9026"/>
      </w:tabs>
    </w:pPr>
  </w:style>
  <w:style w:type="character" w:customStyle="1" w:styleId="FooterChar">
    <w:name w:val="Footer Char"/>
    <w:basedOn w:val="DefaultParagraphFont"/>
    <w:link w:val="Footer"/>
    <w:uiPriority w:val="99"/>
    <w:rsid w:val="009835FE"/>
    <w:rPr>
      <w:rFonts w:eastAsiaTheme="minorEastAsia"/>
      <w:sz w:val="24"/>
      <w:szCs w:val="24"/>
    </w:rPr>
  </w:style>
  <w:style w:type="paragraph" w:styleId="BalloonText">
    <w:name w:val="Balloon Text"/>
    <w:basedOn w:val="Normal"/>
    <w:link w:val="BalloonTextChar"/>
    <w:uiPriority w:val="99"/>
    <w:semiHidden/>
    <w:unhideWhenUsed/>
    <w:rsid w:val="009835FE"/>
    <w:rPr>
      <w:rFonts w:ascii="Tahoma" w:hAnsi="Tahoma" w:cs="Tahoma"/>
      <w:sz w:val="16"/>
      <w:szCs w:val="16"/>
    </w:rPr>
  </w:style>
  <w:style w:type="character" w:customStyle="1" w:styleId="BalloonTextChar">
    <w:name w:val="Balloon Text Char"/>
    <w:basedOn w:val="DefaultParagraphFont"/>
    <w:link w:val="BalloonText"/>
    <w:uiPriority w:val="99"/>
    <w:semiHidden/>
    <w:rsid w:val="009835FE"/>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27036"/>
    <w:rPr>
      <w:sz w:val="16"/>
      <w:szCs w:val="16"/>
    </w:rPr>
  </w:style>
  <w:style w:type="paragraph" w:styleId="CommentText">
    <w:name w:val="annotation text"/>
    <w:basedOn w:val="Normal"/>
    <w:link w:val="CommentTextChar"/>
    <w:uiPriority w:val="99"/>
    <w:semiHidden/>
    <w:unhideWhenUsed/>
    <w:rsid w:val="00527036"/>
    <w:rPr>
      <w:sz w:val="20"/>
      <w:szCs w:val="20"/>
    </w:rPr>
  </w:style>
  <w:style w:type="character" w:customStyle="1" w:styleId="CommentTextChar">
    <w:name w:val="Comment Text Char"/>
    <w:basedOn w:val="DefaultParagraphFont"/>
    <w:link w:val="CommentText"/>
    <w:uiPriority w:val="99"/>
    <w:semiHidden/>
    <w:rsid w:val="0052703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27036"/>
    <w:rPr>
      <w:b/>
      <w:bCs/>
    </w:rPr>
  </w:style>
  <w:style w:type="character" w:customStyle="1" w:styleId="CommentSubjectChar">
    <w:name w:val="Comment Subject Char"/>
    <w:basedOn w:val="CommentTextChar"/>
    <w:link w:val="CommentSubject"/>
    <w:uiPriority w:val="99"/>
    <w:semiHidden/>
    <w:rsid w:val="0052703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6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jpg@01CE308A.2A9FAA10"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Nicholl, Carole</dc:creator>
  <cp:lastModifiedBy>Carter, Brian</cp:lastModifiedBy>
  <cp:revision>2</cp:revision>
  <dcterms:created xsi:type="dcterms:W3CDTF">2017-11-13T13:34:00Z</dcterms:created>
  <dcterms:modified xsi:type="dcterms:W3CDTF">2017-11-13T13:34:00Z</dcterms:modified>
</cp:coreProperties>
</file>