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9"/>
        <w:gridCol w:w="4286"/>
        <w:gridCol w:w="598"/>
        <w:gridCol w:w="2904"/>
      </w:tblGrid>
      <w:tr w:rsidR="00423C53" w:rsidRPr="00805E55" w:rsidTr="00805E55">
        <w:trPr>
          <w:trHeight w:val="7167"/>
        </w:trPr>
        <w:tc>
          <w:tcPr>
            <w:tcW w:w="1420" w:type="pct"/>
          </w:tcPr>
          <w:p w:rsidR="00423C53" w:rsidRPr="00805E55" w:rsidRDefault="00F96A86" w:rsidP="00F335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805E55">
              <w:rPr>
                <w:rFonts w:ascii="Arial" w:hAnsi="Arial" w:cs="Arial"/>
                <w:b/>
                <w:sz w:val="20"/>
                <w:szCs w:val="20"/>
              </w:rPr>
              <w:t xml:space="preserve">1 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</w:rPr>
              <w:t>SAFE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t>•Admission/transfer/discharge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•Delayed diagnosis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•Environment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•Equipment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•Falls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 xml:space="preserve">•Fire 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•General incidents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•Incident aware</w:t>
            </w:r>
            <w:r w:rsidR="00CA14FC" w:rsidRPr="00805E55">
              <w:rPr>
                <w:rFonts w:ascii="Arial" w:hAnsi="Arial" w:cs="Arial"/>
                <w:sz w:val="20"/>
                <w:szCs w:val="20"/>
              </w:rPr>
              <w:t>ness training</w:t>
            </w:r>
            <w:r w:rsidR="00CA14FC" w:rsidRPr="00805E55">
              <w:rPr>
                <w:rFonts w:ascii="Arial" w:hAnsi="Arial" w:cs="Arial"/>
                <w:sz w:val="20"/>
                <w:szCs w:val="20"/>
              </w:rPr>
              <w:br/>
              <w:t>•Infection control</w:t>
            </w:r>
            <w:r w:rsidR="00CA14FC" w:rsidRPr="00805E55">
              <w:rPr>
                <w:rFonts w:ascii="Arial" w:hAnsi="Arial" w:cs="Arial"/>
                <w:sz w:val="20"/>
                <w:szCs w:val="20"/>
              </w:rPr>
              <w:br/>
              <w:t>•Mandatory training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•Medicine management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•Never events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•Pressure ulcers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•Handovers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 xml:space="preserve">•Records/information management 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•Patient risk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•Processes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•Safeguarding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•Safety thermometer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•Security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 xml:space="preserve">•Serious incidents 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•Staff capacity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•Staff safety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•Staff survey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•5 Steps to safer surgery</w:t>
            </w:r>
          </w:p>
          <w:p w:rsidR="00F335CD" w:rsidRPr="00805E55" w:rsidRDefault="00F335CD" w:rsidP="00F335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05E55">
              <w:rPr>
                <w:rFonts w:ascii="Arial" w:hAnsi="Arial" w:cs="Arial"/>
                <w:sz w:val="20"/>
                <w:szCs w:val="20"/>
              </w:rPr>
              <w:t xml:space="preserve">•Waste Management </w:t>
            </w:r>
          </w:p>
        </w:tc>
        <w:tc>
          <w:tcPr>
            <w:tcW w:w="1970" w:type="pct"/>
          </w:tcPr>
          <w:p w:rsidR="00423C53" w:rsidRPr="00805E55" w:rsidRDefault="00F96A86" w:rsidP="00175D85">
            <w:pPr>
              <w:rPr>
                <w:rFonts w:ascii="Arial" w:hAnsi="Arial" w:cs="Arial"/>
                <w:sz w:val="20"/>
                <w:szCs w:val="20"/>
              </w:rPr>
            </w:pPr>
            <w:r w:rsidRPr="00805E55">
              <w:rPr>
                <w:rFonts w:ascii="Arial" w:hAnsi="Arial" w:cs="Arial"/>
                <w:b/>
                <w:sz w:val="20"/>
                <w:szCs w:val="20"/>
              </w:rPr>
              <w:t xml:space="preserve">2 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</w:rPr>
              <w:t>EFFECTIVE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  <w:u w:val="single"/>
              </w:rPr>
              <w:br/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t>•Access to information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•Care Bundles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Competent staff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 xml:space="preserve">•Consent, Mental Capacity Act 2005 and </w:t>
            </w:r>
            <w:proofErr w:type="spellStart"/>
            <w:r w:rsidR="00423C53" w:rsidRPr="00805E55">
              <w:rPr>
                <w:rFonts w:ascii="Arial" w:hAnsi="Arial" w:cs="Arial"/>
                <w:sz w:val="20"/>
                <w:szCs w:val="20"/>
              </w:rPr>
              <w:t>DoLS</w:t>
            </w:r>
            <w:proofErr w:type="spellEnd"/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•Evidence-based care and treatment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•External Reviews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•HSMR</w:t>
            </w:r>
            <w:r w:rsidR="00CF18BE" w:rsidRPr="00805E55">
              <w:rPr>
                <w:rFonts w:ascii="Arial" w:hAnsi="Arial" w:cs="Arial"/>
                <w:sz w:val="20"/>
                <w:szCs w:val="20"/>
              </w:rPr>
              <w:br/>
              <w:t>•ICNARC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•KPI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•Management of the deteriorating patient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•Mortality alerts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•Mortality outliers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•Multi-disciplinary working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•National clinical audits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•National surveys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•NCEPOD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•NICE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•Nutrition and hydration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•Pain relief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•Pathways of care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•Patient outcomes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•Seven-day working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•SHMI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•Staff training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•WHO safer surgical checklist</w:t>
            </w:r>
          </w:p>
        </w:tc>
        <w:tc>
          <w:tcPr>
            <w:tcW w:w="1610" w:type="pct"/>
            <w:gridSpan w:val="2"/>
          </w:tcPr>
          <w:p w:rsidR="00423C53" w:rsidRPr="00805E55" w:rsidRDefault="00F96A86">
            <w:pPr>
              <w:rPr>
                <w:rFonts w:ascii="Arial" w:hAnsi="Arial" w:cs="Arial"/>
                <w:sz w:val="20"/>
                <w:szCs w:val="20"/>
              </w:rPr>
            </w:pPr>
            <w:r w:rsidRPr="00805E55">
              <w:rPr>
                <w:rFonts w:ascii="Arial" w:hAnsi="Arial" w:cs="Arial"/>
                <w:b/>
                <w:sz w:val="20"/>
                <w:szCs w:val="20"/>
              </w:rPr>
              <w:t xml:space="preserve">3 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</w:rPr>
              <w:t>CARING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  <w:u w:val="single"/>
              </w:rPr>
              <w:br/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t>•Cancer patient survey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•Comfort rounds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•Compassionate care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•Complaints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•Friends and family test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•Inpatient survey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•National bereavement survey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•NCDAH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•Outpatient survey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•Patient experience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•Patient needs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•Patient stories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•Patient understanding and involvement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•Response to buzzers/call bells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•Staff/patient interaction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•Trust values</w:t>
            </w:r>
          </w:p>
          <w:p w:rsidR="00423C53" w:rsidRPr="00805E55" w:rsidRDefault="00423C53" w:rsidP="00423C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C53" w:rsidRPr="00805E55" w:rsidTr="00805E55">
        <w:trPr>
          <w:trHeight w:val="7754"/>
        </w:trPr>
        <w:tc>
          <w:tcPr>
            <w:tcW w:w="1420" w:type="pct"/>
            <w:shd w:val="clear" w:color="auto" w:fill="auto"/>
          </w:tcPr>
          <w:p w:rsidR="00423C53" w:rsidRPr="00805E55" w:rsidRDefault="00F96A86" w:rsidP="00175D85">
            <w:pPr>
              <w:rPr>
                <w:rFonts w:ascii="Arial" w:hAnsi="Arial" w:cs="Arial"/>
                <w:sz w:val="20"/>
                <w:szCs w:val="20"/>
              </w:rPr>
            </w:pPr>
            <w:r w:rsidRPr="00805E55">
              <w:rPr>
                <w:rFonts w:ascii="Arial" w:hAnsi="Arial" w:cs="Arial"/>
                <w:b/>
                <w:sz w:val="20"/>
                <w:szCs w:val="20"/>
              </w:rPr>
              <w:t xml:space="preserve">4 </w:t>
            </w:r>
            <w:r w:rsidR="00114E68" w:rsidRPr="00805E55">
              <w:rPr>
                <w:rFonts w:ascii="Arial" w:hAnsi="Arial" w:cs="Arial"/>
                <w:b/>
                <w:sz w:val="20"/>
                <w:szCs w:val="20"/>
              </w:rPr>
              <w:t>RESPONSIVE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  <w:u w:val="single"/>
              </w:rPr>
              <w:br/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t>•Access and flow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•Ambulance stays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•Analysis of complaints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•Bookings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•Cancelled operations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•Car park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•Claims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•Comfort factors (TV, seats, parent rooms)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•Discharge planning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•Educational services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•Incidents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•Individual needs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•Internal audits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•Length of stay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•Local people’s needs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•Patient report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•Referral to treatment (RTT)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•Transfers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•Translation facilities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•Violence and aggression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•Waiting time standards</w:t>
            </w:r>
          </w:p>
        </w:tc>
        <w:tc>
          <w:tcPr>
            <w:tcW w:w="2245" w:type="pct"/>
            <w:gridSpan w:val="2"/>
            <w:shd w:val="clear" w:color="auto" w:fill="auto"/>
          </w:tcPr>
          <w:p w:rsidR="00D942D7" w:rsidRPr="00805E55" w:rsidRDefault="00F96A86" w:rsidP="004C3E9E">
            <w:pPr>
              <w:rPr>
                <w:rFonts w:ascii="Arial" w:hAnsi="Arial" w:cs="Arial"/>
                <w:sz w:val="20"/>
                <w:szCs w:val="20"/>
              </w:rPr>
            </w:pPr>
            <w:r w:rsidRPr="00805E55">
              <w:rPr>
                <w:rFonts w:ascii="Arial" w:hAnsi="Arial" w:cs="Arial"/>
                <w:b/>
                <w:sz w:val="20"/>
                <w:szCs w:val="20"/>
              </w:rPr>
              <w:t xml:space="preserve">5 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</w:rPr>
              <w:t>WELL-LED</w:t>
            </w:r>
            <w:r w:rsidR="00114E68" w:rsidRPr="00805E55">
              <w:rPr>
                <w:rFonts w:ascii="Arial" w:hAnsi="Arial" w:cs="Arial"/>
                <w:b/>
                <w:sz w:val="20"/>
                <w:szCs w:val="20"/>
                <w:u w:val="single"/>
              </w:rPr>
              <w:br/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t>•Agency staff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•Board/ward interaction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•Business continuity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•Contractual arrangements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•External reviews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•Focus groups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•Flu vaccination rates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•Governance</w:t>
            </w:r>
            <w:r w:rsidR="004C3E9E" w:rsidRPr="00805E55">
              <w:rPr>
                <w:rFonts w:ascii="Arial" w:hAnsi="Arial" w:cs="Arial"/>
                <w:sz w:val="20"/>
                <w:szCs w:val="20"/>
              </w:rPr>
              <w:t>, risk management and quality measurement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•Handling/learning from complaints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•Information technology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•Innovation, improvement and sustainability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•Interview (CEO, MD, DON)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•Leadership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•Major incident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•Mortality reviews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•Negative publicity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•Performance targets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•Public and staff engagement</w:t>
            </w:r>
            <w:r w:rsidR="004C3E9E" w:rsidRPr="00805E55">
              <w:rPr>
                <w:rFonts w:ascii="Arial" w:hAnsi="Arial" w:cs="Arial"/>
                <w:sz w:val="20"/>
                <w:szCs w:val="20"/>
              </w:rPr>
              <w:br/>
              <w:t>•Reputation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•Risk register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•Sickness rates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•Staff morale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•Staff reports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•Staff survey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•Staffing lev</w:t>
            </w:r>
            <w:r w:rsidR="00D942D7" w:rsidRPr="00805E55">
              <w:rPr>
                <w:rFonts w:ascii="Arial" w:hAnsi="Arial" w:cs="Arial"/>
                <w:sz w:val="20"/>
                <w:szCs w:val="20"/>
              </w:rPr>
              <w:t>els</w:t>
            </w:r>
            <w:r w:rsidR="00D942D7" w:rsidRPr="00805E55">
              <w:rPr>
                <w:rFonts w:ascii="Arial" w:hAnsi="Arial" w:cs="Arial"/>
                <w:sz w:val="20"/>
                <w:szCs w:val="20"/>
              </w:rPr>
              <w:br/>
              <w:t>•Stake holders</w:t>
            </w:r>
            <w:r w:rsidR="00D942D7" w:rsidRPr="00805E55">
              <w:rPr>
                <w:rFonts w:ascii="Arial" w:hAnsi="Arial" w:cs="Arial"/>
                <w:sz w:val="20"/>
                <w:szCs w:val="20"/>
              </w:rPr>
              <w:br/>
              <w:t>•Trust vision</w:t>
            </w:r>
          </w:p>
        </w:tc>
        <w:tc>
          <w:tcPr>
            <w:tcW w:w="1335" w:type="pct"/>
            <w:shd w:val="clear" w:color="auto" w:fill="auto"/>
          </w:tcPr>
          <w:p w:rsidR="00423C53" w:rsidRPr="00805E55" w:rsidRDefault="00F96A86">
            <w:pPr>
              <w:rPr>
                <w:rFonts w:ascii="Arial" w:hAnsi="Arial" w:cs="Arial"/>
                <w:sz w:val="20"/>
                <w:szCs w:val="20"/>
              </w:rPr>
            </w:pPr>
            <w:r w:rsidRPr="00805E55">
              <w:rPr>
                <w:rFonts w:ascii="Arial" w:hAnsi="Arial" w:cs="Arial"/>
                <w:b/>
                <w:sz w:val="20"/>
                <w:szCs w:val="20"/>
              </w:rPr>
              <w:t xml:space="preserve">6 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</w:rPr>
              <w:t>FINANCE</w:t>
            </w:r>
            <w:r w:rsidR="00423C53" w:rsidRPr="00805E55">
              <w:rPr>
                <w:rFonts w:ascii="Arial" w:hAnsi="Arial" w:cs="Arial"/>
                <w:b/>
                <w:sz w:val="20"/>
                <w:szCs w:val="20"/>
                <w:u w:val="single"/>
              </w:rPr>
              <w:br/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t>•Budget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•Capital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•CIPS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•Expenditure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•Financial penalty</w:t>
            </w:r>
            <w:r w:rsidR="00423C53" w:rsidRPr="00805E55">
              <w:rPr>
                <w:rFonts w:ascii="Arial" w:hAnsi="Arial" w:cs="Arial"/>
                <w:sz w:val="20"/>
                <w:szCs w:val="20"/>
              </w:rPr>
              <w:br/>
              <w:t>•Income</w:t>
            </w:r>
          </w:p>
          <w:p w:rsidR="00423C53" w:rsidRPr="00805E55" w:rsidRDefault="00423C53" w:rsidP="00805E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04E6" w:rsidRPr="001540C3" w:rsidRDefault="00DF04E6" w:rsidP="00805E55">
      <w:pPr>
        <w:tabs>
          <w:tab w:val="left" w:pos="3817"/>
        </w:tabs>
        <w:rPr>
          <w:sz w:val="28"/>
        </w:rPr>
      </w:pPr>
    </w:p>
    <w:sectPr w:rsidR="00DF04E6" w:rsidRPr="001540C3" w:rsidSect="00805E55">
      <w:pgSz w:w="11907" w:h="16839" w:code="9"/>
      <w:pgMar w:top="184" w:right="679" w:bottom="709" w:left="567" w:header="284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6D8" w:rsidRDefault="00FE16D8" w:rsidP="001A4338">
      <w:pPr>
        <w:spacing w:after="0" w:line="240" w:lineRule="auto"/>
      </w:pPr>
      <w:r>
        <w:separator/>
      </w:r>
    </w:p>
  </w:endnote>
  <w:endnote w:type="continuationSeparator" w:id="0">
    <w:p w:rsidR="00FE16D8" w:rsidRDefault="00FE16D8" w:rsidP="001A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6D8" w:rsidRDefault="00FE16D8" w:rsidP="001A4338">
      <w:pPr>
        <w:spacing w:after="0" w:line="240" w:lineRule="auto"/>
      </w:pPr>
      <w:r>
        <w:separator/>
      </w:r>
    </w:p>
  </w:footnote>
  <w:footnote w:type="continuationSeparator" w:id="0">
    <w:p w:rsidR="00FE16D8" w:rsidRDefault="00FE16D8" w:rsidP="001A4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38"/>
    <w:rsid w:val="000A1FDF"/>
    <w:rsid w:val="00114E68"/>
    <w:rsid w:val="001540C3"/>
    <w:rsid w:val="00175D85"/>
    <w:rsid w:val="001A4338"/>
    <w:rsid w:val="00423C53"/>
    <w:rsid w:val="004C3E9E"/>
    <w:rsid w:val="004F29E0"/>
    <w:rsid w:val="00501F54"/>
    <w:rsid w:val="005E63D4"/>
    <w:rsid w:val="006352E4"/>
    <w:rsid w:val="00706C44"/>
    <w:rsid w:val="00805E55"/>
    <w:rsid w:val="00AB6806"/>
    <w:rsid w:val="00B22D8F"/>
    <w:rsid w:val="00CA14FC"/>
    <w:rsid w:val="00CF18BE"/>
    <w:rsid w:val="00D873E0"/>
    <w:rsid w:val="00D942D7"/>
    <w:rsid w:val="00DA3040"/>
    <w:rsid w:val="00DF04E6"/>
    <w:rsid w:val="00F335CD"/>
    <w:rsid w:val="00F96A86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38"/>
  </w:style>
  <w:style w:type="paragraph" w:styleId="Footer">
    <w:name w:val="footer"/>
    <w:basedOn w:val="Normal"/>
    <w:link w:val="FooterChar"/>
    <w:uiPriority w:val="99"/>
    <w:unhideWhenUsed/>
    <w:rsid w:val="001A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38"/>
  </w:style>
  <w:style w:type="paragraph" w:styleId="ListParagraph">
    <w:name w:val="List Paragraph"/>
    <w:basedOn w:val="Normal"/>
    <w:uiPriority w:val="34"/>
    <w:qFormat/>
    <w:rsid w:val="00114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38"/>
  </w:style>
  <w:style w:type="paragraph" w:styleId="Footer">
    <w:name w:val="footer"/>
    <w:basedOn w:val="Normal"/>
    <w:link w:val="FooterChar"/>
    <w:uiPriority w:val="99"/>
    <w:unhideWhenUsed/>
    <w:rsid w:val="001A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38"/>
  </w:style>
  <w:style w:type="paragraph" w:styleId="ListParagraph">
    <w:name w:val="List Paragraph"/>
    <w:basedOn w:val="Normal"/>
    <w:uiPriority w:val="34"/>
    <w:qFormat/>
    <w:rsid w:val="0011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Dipierro, Isabelle</dc:creator>
  <cp:lastModifiedBy>Carter, Brian</cp:lastModifiedBy>
  <cp:revision>2</cp:revision>
  <dcterms:created xsi:type="dcterms:W3CDTF">2017-11-13T13:36:00Z</dcterms:created>
  <dcterms:modified xsi:type="dcterms:W3CDTF">2017-11-13T13:36:00Z</dcterms:modified>
</cp:coreProperties>
</file>