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XSpec="center" w:tblpY="-653"/>
        <w:tblOverlap w:val="never"/>
        <w:tblW w:w="148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1E0" w:firstRow="1" w:lastRow="1" w:firstColumn="1" w:lastColumn="1" w:noHBand="0" w:noVBand="0"/>
      </w:tblPr>
      <w:tblGrid>
        <w:gridCol w:w="3227"/>
        <w:gridCol w:w="4252"/>
        <w:gridCol w:w="1985"/>
        <w:gridCol w:w="2126"/>
        <w:gridCol w:w="3294"/>
      </w:tblGrid>
      <w:tr w:rsidR="005533BB" w:rsidRPr="005533BB" w:rsidTr="000D039A">
        <w:tc>
          <w:tcPr>
            <w:tcW w:w="1488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31540" w:rsidRPr="000D039A" w:rsidRDefault="004F46A9" w:rsidP="000D039A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  <w:r w:rsidRPr="000D039A">
              <w:rPr>
                <w:rFonts w:ascii="Verdana" w:hAnsi="Verdana"/>
                <w:b/>
                <w:sz w:val="28"/>
                <w:szCs w:val="28"/>
                <w:u w:val="single"/>
              </w:rPr>
              <w:t>West of Berkshire Safeguarding Adults Board Business Plan 2016-17</w:t>
            </w:r>
          </w:p>
        </w:tc>
      </w:tr>
      <w:tr w:rsidR="00FA6F76" w:rsidRPr="005533BB" w:rsidTr="000D039A">
        <w:tc>
          <w:tcPr>
            <w:tcW w:w="14884" w:type="dxa"/>
            <w:gridSpan w:val="5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:rsidR="00FA6F76" w:rsidRPr="00FA6F76" w:rsidRDefault="00FA6F76" w:rsidP="004F46A9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4F46A9" w:rsidRPr="005533BB" w:rsidTr="000D039A">
        <w:tc>
          <w:tcPr>
            <w:tcW w:w="14884" w:type="dxa"/>
            <w:gridSpan w:val="5"/>
            <w:shd w:val="clear" w:color="auto" w:fill="FFFFFF" w:themeFill="background1"/>
          </w:tcPr>
          <w:p w:rsidR="004F46A9" w:rsidRPr="005533BB" w:rsidRDefault="004F46A9" w:rsidP="004F46A9">
            <w:r w:rsidRPr="005533BB">
              <w:rPr>
                <w:b/>
              </w:rPr>
              <w:t xml:space="preserve">PRIORITY </w:t>
            </w:r>
            <w:r>
              <w:rPr>
                <w:b/>
              </w:rPr>
              <w:t>1</w:t>
            </w:r>
          </w:p>
          <w:p w:rsidR="004F46A9" w:rsidRPr="005533BB" w:rsidRDefault="004F46A9" w:rsidP="004F46A9">
            <w:pPr>
              <w:rPr>
                <w:b/>
              </w:rPr>
            </w:pPr>
            <w:r w:rsidRPr="005533BB">
              <w:rPr>
                <w:b/>
              </w:rPr>
              <w:t>ESTABLISH EFFECTIVE GOVERNANCE STRUCTURES, IMPROVE ACCOUNTABILITY AND ENSURE THE SAFEGUARDING ADULTS AGENDA IS EMBEDDED WITHIN RELEVANT ORGANISATIONS, FORUMS AND BOARDS.</w:t>
            </w:r>
          </w:p>
        </w:tc>
      </w:tr>
      <w:tr w:rsidR="000D039A" w:rsidRPr="005533BB" w:rsidTr="000D039A">
        <w:tc>
          <w:tcPr>
            <w:tcW w:w="3227" w:type="dxa"/>
            <w:shd w:val="clear" w:color="auto" w:fill="FFFFFF" w:themeFill="background1"/>
          </w:tcPr>
          <w:p w:rsidR="000D039A" w:rsidRPr="005533BB" w:rsidRDefault="000D039A" w:rsidP="004F46A9">
            <w:pPr>
              <w:rPr>
                <w:b/>
              </w:rPr>
            </w:pPr>
            <w:r w:rsidRPr="005533BB">
              <w:rPr>
                <w:b/>
              </w:rPr>
              <w:t>Outcome</w:t>
            </w:r>
          </w:p>
        </w:tc>
        <w:tc>
          <w:tcPr>
            <w:tcW w:w="4252" w:type="dxa"/>
            <w:shd w:val="clear" w:color="auto" w:fill="FFFFFF" w:themeFill="background1"/>
          </w:tcPr>
          <w:p w:rsidR="000D039A" w:rsidRPr="005533BB" w:rsidRDefault="000D039A" w:rsidP="004F46A9">
            <w:pPr>
              <w:rPr>
                <w:b/>
              </w:rPr>
            </w:pPr>
            <w:r w:rsidRPr="005533BB">
              <w:rPr>
                <w:b/>
              </w:rPr>
              <w:t>Action</w:t>
            </w:r>
          </w:p>
        </w:tc>
        <w:tc>
          <w:tcPr>
            <w:tcW w:w="1985" w:type="dxa"/>
            <w:shd w:val="clear" w:color="auto" w:fill="FFFFFF" w:themeFill="background1"/>
          </w:tcPr>
          <w:p w:rsidR="000D039A" w:rsidRPr="005533BB" w:rsidRDefault="000D039A" w:rsidP="004F46A9">
            <w:pPr>
              <w:rPr>
                <w:b/>
              </w:rPr>
            </w:pPr>
            <w:r w:rsidRPr="005533BB">
              <w:rPr>
                <w:b/>
              </w:rPr>
              <w:t xml:space="preserve">Lead </w:t>
            </w:r>
          </w:p>
        </w:tc>
        <w:tc>
          <w:tcPr>
            <w:tcW w:w="2126" w:type="dxa"/>
            <w:shd w:val="clear" w:color="auto" w:fill="FFFFFF" w:themeFill="background1"/>
          </w:tcPr>
          <w:p w:rsidR="000D039A" w:rsidRPr="005533BB" w:rsidRDefault="000D039A" w:rsidP="004F46A9">
            <w:pPr>
              <w:rPr>
                <w:b/>
              </w:rPr>
            </w:pPr>
            <w:r w:rsidRPr="005533BB">
              <w:rPr>
                <w:b/>
              </w:rPr>
              <w:t xml:space="preserve">Timescale </w:t>
            </w:r>
          </w:p>
        </w:tc>
        <w:tc>
          <w:tcPr>
            <w:tcW w:w="3294" w:type="dxa"/>
            <w:shd w:val="clear" w:color="auto" w:fill="FFFFFF" w:themeFill="background1"/>
          </w:tcPr>
          <w:p w:rsidR="000D039A" w:rsidRPr="005533BB" w:rsidRDefault="000D039A" w:rsidP="004F46A9">
            <w:pPr>
              <w:rPr>
                <w:b/>
              </w:rPr>
            </w:pPr>
            <w:r w:rsidRPr="00A83AD0">
              <w:rPr>
                <w:b/>
              </w:rPr>
              <w:t xml:space="preserve">Success criteria  </w:t>
            </w:r>
          </w:p>
        </w:tc>
      </w:tr>
      <w:tr w:rsidR="000D039A" w:rsidRPr="005533BB" w:rsidTr="000D039A">
        <w:tc>
          <w:tcPr>
            <w:tcW w:w="3227" w:type="dxa"/>
            <w:vMerge w:val="restart"/>
            <w:shd w:val="clear" w:color="auto" w:fill="FFFFFF" w:themeFill="background1"/>
          </w:tcPr>
          <w:p w:rsidR="000D039A" w:rsidRPr="005533BB" w:rsidRDefault="000D039A" w:rsidP="004F46A9">
            <w:r>
              <w:t xml:space="preserve">1.1 </w:t>
            </w:r>
            <w:r w:rsidRPr="005533BB">
              <w:t>Develop oversight of the quality of safeguarding performance.</w:t>
            </w:r>
          </w:p>
        </w:tc>
        <w:tc>
          <w:tcPr>
            <w:tcW w:w="4252" w:type="dxa"/>
            <w:shd w:val="clear" w:color="auto" w:fill="FFFFFF" w:themeFill="background1"/>
          </w:tcPr>
          <w:p w:rsidR="000D039A" w:rsidRPr="001019A4" w:rsidRDefault="000D039A" w:rsidP="0048209F">
            <w:r>
              <w:t xml:space="preserve">a) </w:t>
            </w:r>
            <w:r w:rsidRPr="00555225">
              <w:t>Review and implement the Board’s Quality Assurance Framework.</w:t>
            </w:r>
          </w:p>
        </w:tc>
        <w:tc>
          <w:tcPr>
            <w:tcW w:w="1985" w:type="dxa"/>
            <w:shd w:val="clear" w:color="auto" w:fill="FFFFFF" w:themeFill="background1"/>
          </w:tcPr>
          <w:p w:rsidR="000D039A" w:rsidRPr="005533BB" w:rsidRDefault="000D039A" w:rsidP="004F46A9">
            <w:r w:rsidRPr="005533BB">
              <w:t xml:space="preserve">Governance Subgroup </w:t>
            </w:r>
          </w:p>
        </w:tc>
        <w:tc>
          <w:tcPr>
            <w:tcW w:w="2126" w:type="dxa"/>
            <w:shd w:val="clear" w:color="auto" w:fill="FFFFFF" w:themeFill="background1"/>
          </w:tcPr>
          <w:p w:rsidR="000D039A" w:rsidRPr="003D708F" w:rsidRDefault="000D039A" w:rsidP="004F46A9">
            <w:r>
              <w:t>Sept</w:t>
            </w:r>
            <w:r w:rsidRPr="003D708F">
              <w:t xml:space="preserve"> 2016</w:t>
            </w:r>
          </w:p>
        </w:tc>
        <w:tc>
          <w:tcPr>
            <w:tcW w:w="3294" w:type="dxa"/>
            <w:shd w:val="clear" w:color="auto" w:fill="FFFFFF" w:themeFill="background1"/>
          </w:tcPr>
          <w:p w:rsidR="000D039A" w:rsidRPr="007E76DF" w:rsidRDefault="000D039A" w:rsidP="004F46A9">
            <w:r w:rsidRPr="007E76DF">
              <w:t>The QA Framework is reviewed and published. Identified actions are implemented.</w:t>
            </w:r>
          </w:p>
        </w:tc>
      </w:tr>
      <w:tr w:rsidR="000D039A" w:rsidRPr="005533BB" w:rsidTr="000D039A">
        <w:tc>
          <w:tcPr>
            <w:tcW w:w="3227" w:type="dxa"/>
            <w:vMerge/>
            <w:shd w:val="clear" w:color="auto" w:fill="FFFFFF" w:themeFill="background1"/>
          </w:tcPr>
          <w:p w:rsidR="000D039A" w:rsidRDefault="000D039A" w:rsidP="004F46A9"/>
        </w:tc>
        <w:tc>
          <w:tcPr>
            <w:tcW w:w="4252" w:type="dxa"/>
            <w:shd w:val="clear" w:color="auto" w:fill="FFFFFF" w:themeFill="background1"/>
          </w:tcPr>
          <w:p w:rsidR="000D039A" w:rsidRPr="00FB09E8" w:rsidRDefault="000D039A" w:rsidP="004F46A9">
            <w:p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b) </w:t>
            </w:r>
            <w:r w:rsidRPr="00DD3364">
              <w:rPr>
                <w:color w:val="0D0D0D" w:themeColor="text1" w:themeTint="F2"/>
              </w:rPr>
              <w:t xml:space="preserve">Annual self-assessment audit to be completed by </w:t>
            </w:r>
            <w:r>
              <w:rPr>
                <w:color w:val="0D0D0D" w:themeColor="text1" w:themeTint="F2"/>
              </w:rPr>
              <w:t xml:space="preserve">partner </w:t>
            </w:r>
            <w:r w:rsidRPr="00DD3364">
              <w:rPr>
                <w:color w:val="0D0D0D" w:themeColor="text1" w:themeTint="F2"/>
              </w:rPr>
              <w:t>agenci</w:t>
            </w:r>
            <w:r>
              <w:rPr>
                <w:color w:val="0D0D0D" w:themeColor="text1" w:themeTint="F2"/>
              </w:rPr>
              <w:t>es, results received and action</w:t>
            </w:r>
            <w:r w:rsidRPr="00DD3364">
              <w:rPr>
                <w:color w:val="0D0D0D" w:themeColor="text1" w:themeTint="F2"/>
              </w:rPr>
              <w:t xml:space="preserve"> plans monitored.</w:t>
            </w:r>
          </w:p>
        </w:tc>
        <w:tc>
          <w:tcPr>
            <w:tcW w:w="1985" w:type="dxa"/>
            <w:shd w:val="clear" w:color="auto" w:fill="FFFFFF" w:themeFill="background1"/>
          </w:tcPr>
          <w:p w:rsidR="000D039A" w:rsidRPr="00555225" w:rsidRDefault="000D039A" w:rsidP="004F46A9">
            <w:r w:rsidRPr="00555225">
              <w:t>Governance Subgroup</w:t>
            </w:r>
          </w:p>
        </w:tc>
        <w:tc>
          <w:tcPr>
            <w:tcW w:w="2126" w:type="dxa"/>
            <w:shd w:val="clear" w:color="auto" w:fill="FFFFFF" w:themeFill="background1"/>
          </w:tcPr>
          <w:p w:rsidR="000D039A" w:rsidRPr="003D708F" w:rsidRDefault="000D039A" w:rsidP="004F46A9">
            <w:r w:rsidRPr="003D708F">
              <w:t>Dec 2016</w:t>
            </w:r>
          </w:p>
        </w:tc>
        <w:tc>
          <w:tcPr>
            <w:tcW w:w="3294" w:type="dxa"/>
            <w:shd w:val="clear" w:color="auto" w:fill="FFFFFF" w:themeFill="background1"/>
          </w:tcPr>
          <w:p w:rsidR="000D039A" w:rsidRPr="000346E3" w:rsidRDefault="000D039A" w:rsidP="004F46A9">
            <w:r w:rsidRPr="000346E3">
              <w:t>Results of self-assessment audit evidences improvements on previous completion.</w:t>
            </w:r>
          </w:p>
        </w:tc>
      </w:tr>
      <w:tr w:rsidR="000D039A" w:rsidRPr="005533BB" w:rsidTr="000D039A">
        <w:tc>
          <w:tcPr>
            <w:tcW w:w="3227" w:type="dxa"/>
            <w:vMerge/>
            <w:shd w:val="clear" w:color="auto" w:fill="FFFFFF" w:themeFill="background1"/>
          </w:tcPr>
          <w:p w:rsidR="000D039A" w:rsidRDefault="000D039A" w:rsidP="004F46A9"/>
        </w:tc>
        <w:tc>
          <w:tcPr>
            <w:tcW w:w="4252" w:type="dxa"/>
            <w:shd w:val="clear" w:color="auto" w:fill="FFFFFF" w:themeFill="background1"/>
          </w:tcPr>
          <w:p w:rsidR="000D039A" w:rsidRPr="00131540" w:rsidRDefault="000D039A" w:rsidP="004F46A9">
            <w:p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c) </w:t>
            </w:r>
            <w:r w:rsidRPr="00131540">
              <w:rPr>
                <w:color w:val="0D0D0D" w:themeColor="text1" w:themeTint="F2"/>
              </w:rPr>
              <w:t>Develop a Performance and Quality Assurance framework to support and promote MSP.</w:t>
            </w:r>
          </w:p>
        </w:tc>
        <w:tc>
          <w:tcPr>
            <w:tcW w:w="1985" w:type="dxa"/>
            <w:shd w:val="clear" w:color="auto" w:fill="FFFFFF" w:themeFill="background1"/>
          </w:tcPr>
          <w:p w:rsidR="000D039A" w:rsidRPr="00131540" w:rsidRDefault="000D039A" w:rsidP="004F46A9">
            <w:r w:rsidRPr="00131540">
              <w:t xml:space="preserve">Performance and Quality Subgroup </w:t>
            </w:r>
          </w:p>
        </w:tc>
        <w:tc>
          <w:tcPr>
            <w:tcW w:w="2126" w:type="dxa"/>
            <w:shd w:val="clear" w:color="auto" w:fill="FFFFFF" w:themeFill="background1"/>
          </w:tcPr>
          <w:p w:rsidR="000D039A" w:rsidRPr="00131540" w:rsidRDefault="000D039A" w:rsidP="004F46A9">
            <w:r w:rsidRPr="00131540">
              <w:t>Oct 2016</w:t>
            </w:r>
          </w:p>
        </w:tc>
        <w:tc>
          <w:tcPr>
            <w:tcW w:w="3294" w:type="dxa"/>
            <w:shd w:val="clear" w:color="auto" w:fill="FFFFFF" w:themeFill="background1"/>
          </w:tcPr>
          <w:p w:rsidR="000D039A" w:rsidRPr="00131540" w:rsidRDefault="000D039A" w:rsidP="004F46A9">
            <w:r w:rsidRPr="00131540">
              <w:t>Outcome information has a focus on wellbeing as well as safety, and reflects the six safeguarding principles.</w:t>
            </w:r>
          </w:p>
        </w:tc>
      </w:tr>
      <w:tr w:rsidR="000D039A" w:rsidRPr="005533BB" w:rsidTr="000D039A">
        <w:tc>
          <w:tcPr>
            <w:tcW w:w="3227" w:type="dxa"/>
            <w:vMerge w:val="restart"/>
            <w:shd w:val="clear" w:color="auto" w:fill="FFFFFF" w:themeFill="background1"/>
          </w:tcPr>
          <w:p w:rsidR="000D039A" w:rsidRPr="005533BB" w:rsidRDefault="000D039A" w:rsidP="004F46A9">
            <w:r w:rsidRPr="005533BB">
              <w:t>1.2 Have in place an effective framework of policies, procedures and processes for safeguarding adults.</w:t>
            </w:r>
          </w:p>
        </w:tc>
        <w:tc>
          <w:tcPr>
            <w:tcW w:w="4252" w:type="dxa"/>
            <w:shd w:val="clear" w:color="auto" w:fill="FFFFFF" w:themeFill="background1"/>
          </w:tcPr>
          <w:p w:rsidR="000D039A" w:rsidRPr="005533BB" w:rsidRDefault="000D039A" w:rsidP="000B52C0">
            <w:r>
              <w:t xml:space="preserve">a) </w:t>
            </w:r>
            <w:r w:rsidRPr="005533BB">
              <w:t>Approve amendments to the Pan Berkshire Multi-Agency Policy and Procedures twice yearly.</w:t>
            </w:r>
          </w:p>
        </w:tc>
        <w:tc>
          <w:tcPr>
            <w:tcW w:w="1985" w:type="dxa"/>
            <w:shd w:val="clear" w:color="auto" w:fill="FFFFFF" w:themeFill="background1"/>
          </w:tcPr>
          <w:p w:rsidR="000D039A" w:rsidRDefault="000D039A" w:rsidP="004F46A9">
            <w:r w:rsidRPr="00D11074">
              <w:t xml:space="preserve">Governance Subgroup </w:t>
            </w:r>
          </w:p>
        </w:tc>
        <w:tc>
          <w:tcPr>
            <w:tcW w:w="2126" w:type="dxa"/>
            <w:shd w:val="clear" w:color="auto" w:fill="FFFFFF" w:themeFill="background1"/>
          </w:tcPr>
          <w:p w:rsidR="000D039A" w:rsidRPr="001019A4" w:rsidRDefault="000D039A" w:rsidP="004F46A9">
            <w:r>
              <w:t>July</w:t>
            </w:r>
            <w:r w:rsidRPr="001019A4">
              <w:t xml:space="preserve"> 2016 and ongoing</w:t>
            </w:r>
          </w:p>
        </w:tc>
        <w:tc>
          <w:tcPr>
            <w:tcW w:w="3294" w:type="dxa"/>
            <w:shd w:val="clear" w:color="auto" w:fill="FFFFFF" w:themeFill="background1"/>
          </w:tcPr>
          <w:p w:rsidR="000D039A" w:rsidRPr="003D708F" w:rsidRDefault="000D039A" w:rsidP="0048209F">
            <w:r>
              <w:t>The</w:t>
            </w:r>
            <w:r w:rsidRPr="003D708F">
              <w:t xml:space="preserve"> </w:t>
            </w:r>
            <w:r>
              <w:t xml:space="preserve">Berkshire </w:t>
            </w:r>
            <w:r w:rsidRPr="003D708F">
              <w:t>Multi-Agency Policy and Procedures</w:t>
            </w:r>
            <w:r>
              <w:t xml:space="preserve"> are accurate and up to date</w:t>
            </w:r>
            <w:r w:rsidRPr="003D708F">
              <w:t>.</w:t>
            </w:r>
          </w:p>
        </w:tc>
      </w:tr>
      <w:tr w:rsidR="000D039A" w:rsidRPr="005533BB" w:rsidTr="000D039A">
        <w:tc>
          <w:tcPr>
            <w:tcW w:w="3227" w:type="dxa"/>
            <w:vMerge/>
            <w:shd w:val="clear" w:color="auto" w:fill="FFFFFF" w:themeFill="background1"/>
          </w:tcPr>
          <w:p w:rsidR="000D039A" w:rsidRPr="005533BB" w:rsidRDefault="000D039A" w:rsidP="004F46A9"/>
        </w:tc>
        <w:tc>
          <w:tcPr>
            <w:tcW w:w="4252" w:type="dxa"/>
            <w:shd w:val="clear" w:color="auto" w:fill="FFFFFF" w:themeFill="background1"/>
          </w:tcPr>
          <w:p w:rsidR="000D039A" w:rsidRPr="00636A3D" w:rsidRDefault="000D039A" w:rsidP="004F46A9">
            <w:p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b) Implement a Tracker to monitor how learning from local reviews and national developments is embedded across the partnership. </w:t>
            </w:r>
          </w:p>
        </w:tc>
        <w:tc>
          <w:tcPr>
            <w:tcW w:w="1985" w:type="dxa"/>
            <w:shd w:val="clear" w:color="auto" w:fill="FFFFFF" w:themeFill="background1"/>
          </w:tcPr>
          <w:p w:rsidR="000D039A" w:rsidRPr="00D11074" w:rsidRDefault="000D039A" w:rsidP="004F46A9">
            <w:r w:rsidRPr="003D708F">
              <w:t>Governance Subgroup</w:t>
            </w:r>
          </w:p>
        </w:tc>
        <w:tc>
          <w:tcPr>
            <w:tcW w:w="2126" w:type="dxa"/>
            <w:shd w:val="clear" w:color="auto" w:fill="FFFFFF" w:themeFill="background1"/>
          </w:tcPr>
          <w:p w:rsidR="000D039A" w:rsidRPr="001019A4" w:rsidRDefault="000D039A" w:rsidP="004F46A9">
            <w:r w:rsidRPr="001019A4">
              <w:t>Sept 2016</w:t>
            </w:r>
          </w:p>
        </w:tc>
        <w:tc>
          <w:tcPr>
            <w:tcW w:w="3294" w:type="dxa"/>
            <w:shd w:val="clear" w:color="auto" w:fill="FFFFFF" w:themeFill="background1"/>
          </w:tcPr>
          <w:p w:rsidR="000D039A" w:rsidRPr="00834BDC" w:rsidRDefault="000D039A" w:rsidP="004F46A9">
            <w:r w:rsidRPr="00834BDC">
              <w:t>Board is assured that learning from reviews and national developments is shared across partner agencies.</w:t>
            </w:r>
          </w:p>
        </w:tc>
      </w:tr>
      <w:tr w:rsidR="000D039A" w:rsidRPr="005533BB" w:rsidTr="000D039A">
        <w:tc>
          <w:tcPr>
            <w:tcW w:w="3227" w:type="dxa"/>
            <w:shd w:val="clear" w:color="auto" w:fill="FFFFFF" w:themeFill="background1"/>
          </w:tcPr>
          <w:p w:rsidR="000D039A" w:rsidRPr="00870CCD" w:rsidRDefault="000D039A" w:rsidP="004F46A9">
            <w:r>
              <w:t>1.3</w:t>
            </w:r>
            <w:r w:rsidRPr="00870CCD">
              <w:t xml:space="preserve"> Raise awareness of the work of the Board within partner organisations </w:t>
            </w:r>
          </w:p>
        </w:tc>
        <w:tc>
          <w:tcPr>
            <w:tcW w:w="4252" w:type="dxa"/>
            <w:shd w:val="clear" w:color="auto" w:fill="FFFFFF" w:themeFill="background1"/>
          </w:tcPr>
          <w:p w:rsidR="000D039A" w:rsidRPr="00870CCD" w:rsidRDefault="000D039A" w:rsidP="000C5FEB">
            <w:r w:rsidRPr="00870CCD">
              <w:t>Present Board’s Annual Report to H</w:t>
            </w:r>
            <w:r>
              <w:t>ealth and Wellbeing Boards</w:t>
            </w:r>
            <w:r w:rsidRPr="00870CCD">
              <w:t xml:space="preserve"> and other committees.</w:t>
            </w:r>
          </w:p>
        </w:tc>
        <w:tc>
          <w:tcPr>
            <w:tcW w:w="1985" w:type="dxa"/>
            <w:shd w:val="clear" w:color="auto" w:fill="FFFFFF" w:themeFill="background1"/>
          </w:tcPr>
          <w:p w:rsidR="000D039A" w:rsidRPr="00870CCD" w:rsidRDefault="000D039A" w:rsidP="004F46A9">
            <w:r w:rsidRPr="00870CCD">
              <w:t xml:space="preserve">Independent Chair  and Board members </w:t>
            </w:r>
          </w:p>
        </w:tc>
        <w:tc>
          <w:tcPr>
            <w:tcW w:w="2126" w:type="dxa"/>
            <w:shd w:val="clear" w:color="auto" w:fill="FFFFFF" w:themeFill="background1"/>
          </w:tcPr>
          <w:p w:rsidR="000D039A" w:rsidRPr="00870CCD" w:rsidRDefault="000D039A" w:rsidP="004F46A9">
            <w:r w:rsidRPr="00870CCD">
              <w:t xml:space="preserve">January 2017 </w:t>
            </w:r>
          </w:p>
        </w:tc>
        <w:tc>
          <w:tcPr>
            <w:tcW w:w="3294" w:type="dxa"/>
            <w:shd w:val="clear" w:color="auto" w:fill="FFFFFF" w:themeFill="background1"/>
          </w:tcPr>
          <w:p w:rsidR="000D039A" w:rsidRPr="000C5FEB" w:rsidRDefault="000D039A" w:rsidP="000C5FEB">
            <w:r w:rsidRPr="000C5FEB">
              <w:t xml:space="preserve">Evidence that the Annual Report is presented to the HWBs and other committees. </w:t>
            </w:r>
          </w:p>
        </w:tc>
      </w:tr>
    </w:tbl>
    <w:p w:rsidR="00164C5E" w:rsidRDefault="00164C5E"/>
    <w:tbl>
      <w:tblPr>
        <w:tblpPr w:leftFromText="180" w:rightFromText="180" w:vertAnchor="text" w:horzAnchor="margin" w:tblpXSpec="center" w:tblpY="15"/>
        <w:tblOverlap w:val="never"/>
        <w:tblW w:w="15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1E0" w:firstRow="1" w:lastRow="1" w:firstColumn="1" w:lastColumn="1" w:noHBand="0" w:noVBand="0"/>
      </w:tblPr>
      <w:tblGrid>
        <w:gridCol w:w="2518"/>
        <w:gridCol w:w="4961"/>
        <w:gridCol w:w="2127"/>
        <w:gridCol w:w="1984"/>
        <w:gridCol w:w="3436"/>
      </w:tblGrid>
      <w:tr w:rsidR="00164C5E" w:rsidRPr="00AC7C1A" w:rsidTr="000D039A">
        <w:tc>
          <w:tcPr>
            <w:tcW w:w="15026" w:type="dxa"/>
            <w:gridSpan w:val="5"/>
            <w:shd w:val="clear" w:color="auto" w:fill="FFFFFF" w:themeFill="background1"/>
          </w:tcPr>
          <w:p w:rsidR="00164C5E" w:rsidRPr="00AC7C1A" w:rsidRDefault="00164C5E" w:rsidP="00171262">
            <w:pPr>
              <w:rPr>
                <w:b/>
              </w:rPr>
            </w:pPr>
            <w:r w:rsidRPr="00AC7C1A">
              <w:rPr>
                <w:b/>
              </w:rPr>
              <w:t xml:space="preserve">PRIORITY 2 </w:t>
            </w:r>
          </w:p>
          <w:p w:rsidR="00164C5E" w:rsidRPr="00AC7C1A" w:rsidRDefault="00164C5E" w:rsidP="00171262">
            <w:pPr>
              <w:rPr>
                <w:b/>
              </w:rPr>
            </w:pPr>
            <w:r w:rsidRPr="00AC7C1A">
              <w:rPr>
                <w:b/>
              </w:rPr>
              <w:t>RAISE AWARENESS OF SAFEGUARDING ADULTS, THE WORK OF THE SAFEGUARDING ADULTS BOARD AND IMPROVE ENGAGEMENT WITH A WIDER RANGE OF STAKEHOLDERS</w:t>
            </w:r>
          </w:p>
        </w:tc>
      </w:tr>
      <w:tr w:rsidR="000D039A" w:rsidRPr="00AC7C1A" w:rsidTr="000D039A">
        <w:tc>
          <w:tcPr>
            <w:tcW w:w="2518" w:type="dxa"/>
            <w:shd w:val="clear" w:color="auto" w:fill="FFFFFF" w:themeFill="background1"/>
          </w:tcPr>
          <w:p w:rsidR="000D039A" w:rsidRPr="00AC7C1A" w:rsidRDefault="000D039A" w:rsidP="00171262">
            <w:pPr>
              <w:rPr>
                <w:b/>
              </w:rPr>
            </w:pPr>
            <w:r w:rsidRPr="00AC7C1A">
              <w:rPr>
                <w:b/>
              </w:rPr>
              <w:t>Outcome</w:t>
            </w:r>
          </w:p>
        </w:tc>
        <w:tc>
          <w:tcPr>
            <w:tcW w:w="4961" w:type="dxa"/>
            <w:shd w:val="clear" w:color="auto" w:fill="FFFFFF" w:themeFill="background1"/>
          </w:tcPr>
          <w:p w:rsidR="000D039A" w:rsidRPr="00AC7C1A" w:rsidRDefault="000D039A" w:rsidP="00171262">
            <w:pPr>
              <w:rPr>
                <w:b/>
              </w:rPr>
            </w:pPr>
            <w:r w:rsidRPr="00AC7C1A">
              <w:rPr>
                <w:b/>
              </w:rPr>
              <w:t>Action</w:t>
            </w:r>
          </w:p>
        </w:tc>
        <w:tc>
          <w:tcPr>
            <w:tcW w:w="2127" w:type="dxa"/>
            <w:shd w:val="clear" w:color="auto" w:fill="FFFFFF" w:themeFill="background1"/>
          </w:tcPr>
          <w:p w:rsidR="000D039A" w:rsidRPr="00AC7C1A" w:rsidRDefault="000D039A" w:rsidP="00171262">
            <w:pPr>
              <w:rPr>
                <w:b/>
              </w:rPr>
            </w:pPr>
            <w:r w:rsidRPr="00AC7C1A">
              <w:rPr>
                <w:b/>
              </w:rPr>
              <w:t xml:space="preserve">Lead </w:t>
            </w:r>
            <w:bookmarkStart w:id="0" w:name="_GoBack"/>
            <w:bookmarkEnd w:id="0"/>
          </w:p>
        </w:tc>
        <w:tc>
          <w:tcPr>
            <w:tcW w:w="1984" w:type="dxa"/>
            <w:shd w:val="clear" w:color="auto" w:fill="FFFFFF" w:themeFill="background1"/>
          </w:tcPr>
          <w:p w:rsidR="000D039A" w:rsidRPr="00AC7C1A" w:rsidRDefault="000D039A" w:rsidP="00171262">
            <w:pPr>
              <w:rPr>
                <w:b/>
              </w:rPr>
            </w:pPr>
            <w:r w:rsidRPr="00AC7C1A">
              <w:rPr>
                <w:b/>
              </w:rPr>
              <w:t xml:space="preserve">Timescale </w:t>
            </w:r>
          </w:p>
        </w:tc>
        <w:tc>
          <w:tcPr>
            <w:tcW w:w="3436" w:type="dxa"/>
            <w:shd w:val="clear" w:color="auto" w:fill="FFFFFF" w:themeFill="background1"/>
          </w:tcPr>
          <w:p w:rsidR="000D039A" w:rsidRPr="00AC7C1A" w:rsidRDefault="000D039A" w:rsidP="00171262">
            <w:pPr>
              <w:rPr>
                <w:b/>
              </w:rPr>
            </w:pPr>
            <w:r w:rsidRPr="00834BDC">
              <w:rPr>
                <w:b/>
              </w:rPr>
              <w:t>Success criteria</w:t>
            </w:r>
          </w:p>
        </w:tc>
      </w:tr>
      <w:tr w:rsidR="000D039A" w:rsidRPr="00AC7C1A" w:rsidTr="000D039A">
        <w:tc>
          <w:tcPr>
            <w:tcW w:w="2518" w:type="dxa"/>
            <w:vMerge w:val="restart"/>
            <w:shd w:val="clear" w:color="auto" w:fill="FFFFFF" w:themeFill="background1"/>
          </w:tcPr>
          <w:p w:rsidR="000D039A" w:rsidRPr="00AC7C1A" w:rsidRDefault="000D039A" w:rsidP="00A83AD0">
            <w:r>
              <w:t xml:space="preserve">2.1 The Board is confident that professionals are accessing the online </w:t>
            </w:r>
            <w:r w:rsidRPr="00024D55">
              <w:t>Berkshire Policy and Procedures</w:t>
            </w:r>
          </w:p>
        </w:tc>
        <w:tc>
          <w:tcPr>
            <w:tcW w:w="4961" w:type="dxa"/>
            <w:shd w:val="clear" w:color="auto" w:fill="FFFFFF" w:themeFill="background1"/>
          </w:tcPr>
          <w:p w:rsidR="000D039A" w:rsidRDefault="000D039A" w:rsidP="00A83AD0">
            <w:pPr>
              <w:spacing w:after="0" w:line="240" w:lineRule="auto"/>
            </w:pPr>
            <w:r>
              <w:t xml:space="preserve">a) Publish and promote new Berkshire Policy and Procedures. </w:t>
            </w:r>
          </w:p>
          <w:p w:rsidR="000D039A" w:rsidRDefault="000D039A" w:rsidP="00A83AD0">
            <w:pPr>
              <w:spacing w:after="0" w:line="240" w:lineRule="auto"/>
            </w:pPr>
          </w:p>
        </w:tc>
        <w:tc>
          <w:tcPr>
            <w:tcW w:w="2127" w:type="dxa"/>
            <w:shd w:val="clear" w:color="auto" w:fill="FFFFFF" w:themeFill="background1"/>
          </w:tcPr>
          <w:p w:rsidR="000D039A" w:rsidRPr="00AC7C1A" w:rsidRDefault="000D039A" w:rsidP="00A83AD0">
            <w:r>
              <w:t xml:space="preserve">Communication Subgroup  </w:t>
            </w:r>
          </w:p>
        </w:tc>
        <w:tc>
          <w:tcPr>
            <w:tcW w:w="1984" w:type="dxa"/>
            <w:shd w:val="clear" w:color="auto" w:fill="FFFFFF" w:themeFill="background1"/>
          </w:tcPr>
          <w:p w:rsidR="000D039A" w:rsidRPr="00AC7C1A" w:rsidRDefault="000D039A" w:rsidP="00131540">
            <w:r>
              <w:t xml:space="preserve">April 2016 publication, with review scheduled for July. </w:t>
            </w:r>
          </w:p>
        </w:tc>
        <w:tc>
          <w:tcPr>
            <w:tcW w:w="3436" w:type="dxa"/>
            <w:shd w:val="clear" w:color="auto" w:fill="FFFFFF" w:themeFill="background1"/>
          </w:tcPr>
          <w:p w:rsidR="000D039A" w:rsidRPr="00AC7C1A" w:rsidRDefault="000D039A" w:rsidP="00131540">
            <w:r w:rsidRPr="00834BDC">
              <w:t xml:space="preserve">Audit trail of emails promoting Policy and Procedures from Board members to teams. </w:t>
            </w:r>
          </w:p>
        </w:tc>
      </w:tr>
      <w:tr w:rsidR="000D039A" w:rsidRPr="00AC7C1A" w:rsidTr="000D039A">
        <w:tc>
          <w:tcPr>
            <w:tcW w:w="2518" w:type="dxa"/>
            <w:vMerge/>
            <w:shd w:val="clear" w:color="auto" w:fill="FFFFFF" w:themeFill="background1"/>
          </w:tcPr>
          <w:p w:rsidR="000D039A" w:rsidRDefault="000D039A" w:rsidP="00A83AD0"/>
        </w:tc>
        <w:tc>
          <w:tcPr>
            <w:tcW w:w="4961" w:type="dxa"/>
            <w:shd w:val="clear" w:color="auto" w:fill="FFFFFF" w:themeFill="background1"/>
          </w:tcPr>
          <w:p w:rsidR="000D039A" w:rsidRDefault="000D039A" w:rsidP="00A83AD0">
            <w:pPr>
              <w:spacing w:after="0" w:line="240" w:lineRule="auto"/>
            </w:pPr>
            <w:r>
              <w:t>b) Evaluate awareness of and use of Policy and Procedures through survey and website analytics.</w:t>
            </w:r>
          </w:p>
        </w:tc>
        <w:tc>
          <w:tcPr>
            <w:tcW w:w="2127" w:type="dxa"/>
            <w:shd w:val="clear" w:color="auto" w:fill="FFFFFF" w:themeFill="background1"/>
          </w:tcPr>
          <w:p w:rsidR="000D039A" w:rsidRDefault="000D039A" w:rsidP="00A83AD0">
            <w:r>
              <w:t xml:space="preserve">Communication Subgroup  </w:t>
            </w:r>
          </w:p>
        </w:tc>
        <w:tc>
          <w:tcPr>
            <w:tcW w:w="1984" w:type="dxa"/>
            <w:shd w:val="clear" w:color="auto" w:fill="FFFFFF" w:themeFill="background1"/>
          </w:tcPr>
          <w:p w:rsidR="000D039A" w:rsidRDefault="000D039A" w:rsidP="00A83AD0">
            <w:r>
              <w:t>Findings from survey and website analytics reviewed in December.</w:t>
            </w:r>
          </w:p>
        </w:tc>
        <w:tc>
          <w:tcPr>
            <w:tcW w:w="3436" w:type="dxa"/>
            <w:shd w:val="clear" w:color="auto" w:fill="FFFFFF" w:themeFill="background1"/>
          </w:tcPr>
          <w:p w:rsidR="000D039A" w:rsidRPr="00834BDC" w:rsidRDefault="000D039A" w:rsidP="000D039A">
            <w:r w:rsidRPr="00834BDC">
              <w:t xml:space="preserve">Survey monkey reveals 75% of respondents are familiar with Procedures.   Website analytics evidence </w:t>
            </w:r>
            <w:r w:rsidRPr="000D039A">
              <w:t xml:space="preserve">improved </w:t>
            </w:r>
            <w:r>
              <w:t xml:space="preserve">no. of hits </w:t>
            </w:r>
            <w:r w:rsidRPr="000D039A">
              <w:t>on</w:t>
            </w:r>
            <w:r w:rsidRPr="00834BDC">
              <w:t xml:space="preserve"> the relevant page.</w:t>
            </w:r>
          </w:p>
        </w:tc>
      </w:tr>
      <w:tr w:rsidR="000D039A" w:rsidRPr="00AC7C1A" w:rsidTr="000D039A">
        <w:tc>
          <w:tcPr>
            <w:tcW w:w="2518" w:type="dxa"/>
            <w:shd w:val="clear" w:color="auto" w:fill="FFFFFF" w:themeFill="background1"/>
          </w:tcPr>
          <w:p w:rsidR="000D039A" w:rsidRPr="00AC7C1A" w:rsidRDefault="000D039A" w:rsidP="00FA4DD3">
            <w:pPr>
              <w:spacing w:after="0"/>
            </w:pPr>
            <w:r>
              <w:t>2.2 All partner agencies have agreed and implemented the Board’s</w:t>
            </w:r>
            <w:r w:rsidRPr="00E0215D">
              <w:t xml:space="preserve"> </w:t>
            </w:r>
            <w:r>
              <w:t xml:space="preserve">revised Communication Strategy. </w:t>
            </w:r>
          </w:p>
        </w:tc>
        <w:tc>
          <w:tcPr>
            <w:tcW w:w="4961" w:type="dxa"/>
            <w:shd w:val="clear" w:color="auto" w:fill="FFFFFF" w:themeFill="background1"/>
          </w:tcPr>
          <w:p w:rsidR="000D039A" w:rsidRDefault="000D039A" w:rsidP="00A83AD0">
            <w:pPr>
              <w:spacing w:after="0" w:line="240" w:lineRule="auto"/>
            </w:pPr>
            <w:r>
              <w:t>Review and p</w:t>
            </w:r>
            <w:r w:rsidRPr="00364E64">
              <w:t xml:space="preserve">romote </w:t>
            </w:r>
            <w:r>
              <w:t xml:space="preserve">the Board’s </w:t>
            </w:r>
            <w:r w:rsidRPr="00364E64">
              <w:t>Communication Strategy.</w:t>
            </w:r>
          </w:p>
        </w:tc>
        <w:tc>
          <w:tcPr>
            <w:tcW w:w="2127" w:type="dxa"/>
            <w:shd w:val="clear" w:color="auto" w:fill="FFFFFF" w:themeFill="background1"/>
          </w:tcPr>
          <w:p w:rsidR="000D039A" w:rsidRPr="00AC7C1A" w:rsidRDefault="000D039A" w:rsidP="00A83AD0">
            <w:r w:rsidRPr="007E76DF">
              <w:t xml:space="preserve">Communication Subgroup  </w:t>
            </w:r>
          </w:p>
        </w:tc>
        <w:tc>
          <w:tcPr>
            <w:tcW w:w="1984" w:type="dxa"/>
            <w:shd w:val="clear" w:color="auto" w:fill="FFFFFF" w:themeFill="background1"/>
          </w:tcPr>
          <w:p w:rsidR="000D039A" w:rsidRPr="00AC7C1A" w:rsidRDefault="000D039A" w:rsidP="00A83AD0">
            <w:r>
              <w:t>June 2016</w:t>
            </w:r>
          </w:p>
        </w:tc>
        <w:tc>
          <w:tcPr>
            <w:tcW w:w="3436" w:type="dxa"/>
            <w:shd w:val="clear" w:color="auto" w:fill="FFFFFF" w:themeFill="background1"/>
          </w:tcPr>
          <w:p w:rsidR="000D039A" w:rsidRPr="00AC7C1A" w:rsidRDefault="000D039A" w:rsidP="0048209F">
            <w:r w:rsidRPr="00834BDC">
              <w:t>Board endorsement</w:t>
            </w:r>
            <w:r>
              <w:t xml:space="preserve"> of the Communication Strategy. Clear communication processes and joint working in the event of a significant safeguarding incident. </w:t>
            </w:r>
          </w:p>
        </w:tc>
      </w:tr>
      <w:tr w:rsidR="000D039A" w:rsidRPr="00AC7C1A" w:rsidTr="000D039A">
        <w:tc>
          <w:tcPr>
            <w:tcW w:w="2518" w:type="dxa"/>
            <w:shd w:val="clear" w:color="auto" w:fill="FFFFFF" w:themeFill="background1"/>
          </w:tcPr>
          <w:p w:rsidR="000D039A" w:rsidRPr="00AC7C1A" w:rsidRDefault="000D039A" w:rsidP="00A83AD0">
            <w:r>
              <w:t xml:space="preserve">2.3 All Board members understand their role. </w:t>
            </w:r>
          </w:p>
        </w:tc>
        <w:tc>
          <w:tcPr>
            <w:tcW w:w="4961" w:type="dxa"/>
            <w:shd w:val="clear" w:color="auto" w:fill="FFFFFF" w:themeFill="background1"/>
          </w:tcPr>
          <w:p w:rsidR="000D039A" w:rsidRDefault="000D039A" w:rsidP="00A83AD0">
            <w:pPr>
              <w:spacing w:after="0" w:line="240" w:lineRule="auto"/>
            </w:pPr>
            <w:r w:rsidRPr="00364E64">
              <w:t>Revi</w:t>
            </w:r>
            <w:r>
              <w:t xml:space="preserve">ew and promote the Board’s </w:t>
            </w:r>
            <w:r w:rsidRPr="00E0215D">
              <w:t>Induction Pack.</w:t>
            </w:r>
          </w:p>
        </w:tc>
        <w:tc>
          <w:tcPr>
            <w:tcW w:w="2127" w:type="dxa"/>
            <w:shd w:val="clear" w:color="auto" w:fill="FFFFFF" w:themeFill="background1"/>
          </w:tcPr>
          <w:p w:rsidR="000D039A" w:rsidRDefault="000D039A">
            <w:r w:rsidRPr="00771CD2">
              <w:t xml:space="preserve">Communication Subgroup  </w:t>
            </w:r>
          </w:p>
        </w:tc>
        <w:tc>
          <w:tcPr>
            <w:tcW w:w="1984" w:type="dxa"/>
            <w:shd w:val="clear" w:color="auto" w:fill="FFFFFF" w:themeFill="background1"/>
          </w:tcPr>
          <w:p w:rsidR="000D039A" w:rsidRPr="00AC7C1A" w:rsidRDefault="000D039A" w:rsidP="00A83AD0">
            <w:r>
              <w:t>Sept 2016</w:t>
            </w:r>
          </w:p>
        </w:tc>
        <w:tc>
          <w:tcPr>
            <w:tcW w:w="3436" w:type="dxa"/>
            <w:shd w:val="clear" w:color="auto" w:fill="FFFFFF" w:themeFill="background1"/>
          </w:tcPr>
          <w:p w:rsidR="000D039A" w:rsidRPr="00AC7C1A" w:rsidRDefault="000D039A" w:rsidP="008969BD">
            <w:r w:rsidRPr="008969BD">
              <w:t xml:space="preserve">Evidence </w:t>
            </w:r>
            <w:r>
              <w:t>that members have received the Induction P</w:t>
            </w:r>
            <w:r w:rsidRPr="008969BD">
              <w:t>ack</w:t>
            </w:r>
            <w:r>
              <w:t xml:space="preserve"> and understand their role as Board members. </w:t>
            </w:r>
            <w:r w:rsidRPr="008969BD">
              <w:t xml:space="preserve"> </w:t>
            </w:r>
          </w:p>
        </w:tc>
      </w:tr>
      <w:tr w:rsidR="000D039A" w:rsidRPr="00AC7C1A" w:rsidTr="000D039A">
        <w:trPr>
          <w:trHeight w:val="1701"/>
        </w:trPr>
        <w:tc>
          <w:tcPr>
            <w:tcW w:w="2518" w:type="dxa"/>
            <w:shd w:val="clear" w:color="auto" w:fill="FFFFFF" w:themeFill="background1"/>
          </w:tcPr>
          <w:p w:rsidR="000D039A" w:rsidRPr="00AC7C1A" w:rsidRDefault="000D039A" w:rsidP="003130F2">
            <w:r>
              <w:t>2.4 Managers and staff are aware of the learning from SARs in order to keep people safe.</w:t>
            </w:r>
          </w:p>
        </w:tc>
        <w:tc>
          <w:tcPr>
            <w:tcW w:w="4961" w:type="dxa"/>
            <w:shd w:val="clear" w:color="auto" w:fill="FFFFFF" w:themeFill="background1"/>
          </w:tcPr>
          <w:p w:rsidR="000D039A" w:rsidRDefault="000D039A" w:rsidP="004B1508">
            <w:pPr>
              <w:spacing w:after="0" w:line="240" w:lineRule="auto"/>
            </w:pPr>
            <w:r w:rsidRPr="00364E64">
              <w:t xml:space="preserve">Publish </w:t>
            </w:r>
            <w:r>
              <w:t xml:space="preserve">and disseminate </w:t>
            </w:r>
            <w:r w:rsidRPr="00364E64">
              <w:t xml:space="preserve">learning </w:t>
            </w:r>
            <w:r>
              <w:t xml:space="preserve">from </w:t>
            </w:r>
            <w:r w:rsidRPr="00364E64">
              <w:t>Safeguarding Adults Reviews and other partnership reviews.</w:t>
            </w:r>
          </w:p>
        </w:tc>
        <w:tc>
          <w:tcPr>
            <w:tcW w:w="2127" w:type="dxa"/>
            <w:shd w:val="clear" w:color="auto" w:fill="FFFFFF" w:themeFill="background1"/>
          </w:tcPr>
          <w:p w:rsidR="000D039A" w:rsidRDefault="000D039A" w:rsidP="004B1508">
            <w:r w:rsidRPr="00771CD2">
              <w:t>Communication Subgroup</w:t>
            </w:r>
          </w:p>
        </w:tc>
        <w:tc>
          <w:tcPr>
            <w:tcW w:w="1984" w:type="dxa"/>
            <w:shd w:val="clear" w:color="auto" w:fill="FFFFFF" w:themeFill="background1"/>
          </w:tcPr>
          <w:p w:rsidR="000D039A" w:rsidRPr="00AC7C1A" w:rsidRDefault="000D039A" w:rsidP="00A83AD0">
            <w:r>
              <w:t xml:space="preserve">Sept 2016 and ongoing </w:t>
            </w:r>
          </w:p>
        </w:tc>
        <w:tc>
          <w:tcPr>
            <w:tcW w:w="3436" w:type="dxa"/>
            <w:shd w:val="clear" w:color="auto" w:fill="FFFFFF" w:themeFill="background1"/>
          </w:tcPr>
          <w:p w:rsidR="000D039A" w:rsidRDefault="000D039A" w:rsidP="004B1508">
            <w:r w:rsidRPr="008969BD">
              <w:t>Executive summaries and briefing papers published and disseminated upon completion of review.</w:t>
            </w:r>
          </w:p>
          <w:p w:rsidR="000D039A" w:rsidRPr="00AC7C1A" w:rsidRDefault="000D039A" w:rsidP="00A83AD0"/>
        </w:tc>
      </w:tr>
      <w:tr w:rsidR="000D039A" w:rsidRPr="00AC7C1A" w:rsidTr="000D039A">
        <w:tc>
          <w:tcPr>
            <w:tcW w:w="2518" w:type="dxa"/>
            <w:shd w:val="clear" w:color="auto" w:fill="FFFFFF" w:themeFill="background1"/>
          </w:tcPr>
          <w:p w:rsidR="000D039A" w:rsidRPr="00AC7C1A" w:rsidRDefault="000D039A" w:rsidP="00FA4DD3">
            <w:r>
              <w:t>2.5 Practitioners are aware of the Board’s function and local safeguarding processes.</w:t>
            </w:r>
          </w:p>
        </w:tc>
        <w:tc>
          <w:tcPr>
            <w:tcW w:w="4961" w:type="dxa"/>
            <w:shd w:val="clear" w:color="auto" w:fill="FFFFFF" w:themeFill="background1"/>
          </w:tcPr>
          <w:p w:rsidR="000D039A" w:rsidRPr="00AC7C1A" w:rsidRDefault="000D039A" w:rsidP="00A83AD0">
            <w:r>
              <w:t>Conduct survey and make recommendations to help the Board raise awareness of its function and local safeguarding processes.</w:t>
            </w:r>
          </w:p>
        </w:tc>
        <w:tc>
          <w:tcPr>
            <w:tcW w:w="2127" w:type="dxa"/>
            <w:shd w:val="clear" w:color="auto" w:fill="FFFFFF" w:themeFill="background1"/>
          </w:tcPr>
          <w:p w:rsidR="000D039A" w:rsidRDefault="000D039A">
            <w:r w:rsidRPr="00771CD2">
              <w:t xml:space="preserve">Communication Subgroup  </w:t>
            </w:r>
          </w:p>
        </w:tc>
        <w:tc>
          <w:tcPr>
            <w:tcW w:w="1984" w:type="dxa"/>
            <w:shd w:val="clear" w:color="auto" w:fill="FFFFFF" w:themeFill="background1"/>
          </w:tcPr>
          <w:p w:rsidR="000D039A" w:rsidRPr="00AC7C1A" w:rsidRDefault="000D039A" w:rsidP="00A83AD0">
            <w:r>
              <w:t>Dec 2016</w:t>
            </w:r>
          </w:p>
        </w:tc>
        <w:tc>
          <w:tcPr>
            <w:tcW w:w="3436" w:type="dxa"/>
            <w:shd w:val="clear" w:color="auto" w:fill="FFFFFF" w:themeFill="background1"/>
          </w:tcPr>
          <w:p w:rsidR="000D039A" w:rsidRPr="00AC7C1A" w:rsidRDefault="000D039A" w:rsidP="00A83AD0">
            <w:r w:rsidRPr="008969BD">
              <w:t>Survey completed by 200 practitioners. Recommendations endorsed by Board and actions to implement recommendations in place.</w:t>
            </w:r>
          </w:p>
        </w:tc>
      </w:tr>
      <w:tr w:rsidR="000D039A" w:rsidRPr="00131540" w:rsidTr="000D039A">
        <w:tc>
          <w:tcPr>
            <w:tcW w:w="2518" w:type="dxa"/>
            <w:vMerge w:val="restart"/>
            <w:shd w:val="clear" w:color="auto" w:fill="FFFFFF" w:themeFill="background1"/>
          </w:tcPr>
          <w:p w:rsidR="000D039A" w:rsidRPr="00131540" w:rsidRDefault="000D039A" w:rsidP="004B1508">
            <w:r w:rsidRPr="00131540">
              <w:t>2.6 Printed information is available to guide people through the safeguarding process.</w:t>
            </w:r>
          </w:p>
        </w:tc>
        <w:tc>
          <w:tcPr>
            <w:tcW w:w="4961" w:type="dxa"/>
            <w:shd w:val="clear" w:color="auto" w:fill="FFFFFF" w:themeFill="background1"/>
          </w:tcPr>
          <w:p w:rsidR="000D039A" w:rsidRPr="00131540" w:rsidRDefault="000D039A" w:rsidP="007E76DF">
            <w:r>
              <w:t xml:space="preserve">a) </w:t>
            </w:r>
            <w:r w:rsidRPr="00131540">
              <w:t>Provide clear explanations for people about what is meant by safeguarding and outcomes.</w:t>
            </w:r>
          </w:p>
        </w:tc>
        <w:tc>
          <w:tcPr>
            <w:tcW w:w="2127" w:type="dxa"/>
            <w:shd w:val="clear" w:color="auto" w:fill="FFFFFF" w:themeFill="background1"/>
          </w:tcPr>
          <w:p w:rsidR="000D039A" w:rsidRPr="00131540" w:rsidRDefault="000D039A">
            <w:r w:rsidRPr="00131540">
              <w:t xml:space="preserve">Communication Subgroup  </w:t>
            </w:r>
          </w:p>
        </w:tc>
        <w:tc>
          <w:tcPr>
            <w:tcW w:w="1984" w:type="dxa"/>
            <w:shd w:val="clear" w:color="auto" w:fill="FFFFFF" w:themeFill="background1"/>
          </w:tcPr>
          <w:p w:rsidR="000D039A" w:rsidRPr="00131540" w:rsidRDefault="000D039A" w:rsidP="00A83AD0">
            <w:r w:rsidRPr="00131540">
              <w:t>March 2017</w:t>
            </w:r>
          </w:p>
        </w:tc>
        <w:tc>
          <w:tcPr>
            <w:tcW w:w="3436" w:type="dxa"/>
            <w:shd w:val="clear" w:color="auto" w:fill="FFFFFF" w:themeFill="background1"/>
          </w:tcPr>
          <w:p w:rsidR="000D039A" w:rsidRPr="00131540" w:rsidRDefault="000D039A" w:rsidP="00A83AD0">
            <w:r w:rsidRPr="00131540">
              <w:t>People are involved more effectively in the safeguarding process.</w:t>
            </w:r>
          </w:p>
        </w:tc>
      </w:tr>
      <w:tr w:rsidR="000D039A" w:rsidRPr="00AC7C1A" w:rsidTr="000D039A">
        <w:tc>
          <w:tcPr>
            <w:tcW w:w="2518" w:type="dxa"/>
            <w:vMerge/>
            <w:shd w:val="clear" w:color="auto" w:fill="FFFFFF" w:themeFill="background1"/>
          </w:tcPr>
          <w:p w:rsidR="000D039A" w:rsidRPr="00131540" w:rsidRDefault="000D039A" w:rsidP="004B1508"/>
        </w:tc>
        <w:tc>
          <w:tcPr>
            <w:tcW w:w="4961" w:type="dxa"/>
            <w:shd w:val="clear" w:color="auto" w:fill="FFFFFF" w:themeFill="background1"/>
          </w:tcPr>
          <w:p w:rsidR="000D039A" w:rsidRPr="00131540" w:rsidRDefault="000D039A" w:rsidP="004B1508">
            <w:r>
              <w:t xml:space="preserve">b) </w:t>
            </w:r>
            <w:r w:rsidRPr="00131540">
              <w:t xml:space="preserve">Promote the principles of Making Safeguarding Personal. </w:t>
            </w:r>
          </w:p>
        </w:tc>
        <w:tc>
          <w:tcPr>
            <w:tcW w:w="2127" w:type="dxa"/>
            <w:shd w:val="clear" w:color="auto" w:fill="FFFFFF" w:themeFill="background1"/>
          </w:tcPr>
          <w:p w:rsidR="000D039A" w:rsidRPr="00131540" w:rsidRDefault="000D039A" w:rsidP="004B1508">
            <w:r w:rsidRPr="00131540">
              <w:t xml:space="preserve">Communication Subgroup  </w:t>
            </w:r>
          </w:p>
        </w:tc>
        <w:tc>
          <w:tcPr>
            <w:tcW w:w="1984" w:type="dxa"/>
            <w:shd w:val="clear" w:color="auto" w:fill="FFFFFF" w:themeFill="background1"/>
          </w:tcPr>
          <w:p w:rsidR="000D039A" w:rsidRPr="00131540" w:rsidRDefault="000D039A" w:rsidP="004B1508">
            <w:r w:rsidRPr="00131540">
              <w:t>January 2017</w:t>
            </w:r>
          </w:p>
        </w:tc>
        <w:tc>
          <w:tcPr>
            <w:tcW w:w="3436" w:type="dxa"/>
            <w:shd w:val="clear" w:color="auto" w:fill="FFFFFF" w:themeFill="background1"/>
          </w:tcPr>
          <w:p w:rsidR="000D039A" w:rsidRPr="00A83AD0" w:rsidRDefault="000D039A" w:rsidP="004B1508">
            <w:r w:rsidRPr="00131540">
              <w:t>Information on MSP published and disseminated via website, briefing notes and publicity material.</w:t>
            </w:r>
          </w:p>
        </w:tc>
      </w:tr>
    </w:tbl>
    <w:p w:rsidR="00164C5E" w:rsidRDefault="00164C5E"/>
    <w:tbl>
      <w:tblPr>
        <w:tblW w:w="15164" w:type="dxa"/>
        <w:tblInd w:w="-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7"/>
        <w:gridCol w:w="4819"/>
        <w:gridCol w:w="2268"/>
        <w:gridCol w:w="1985"/>
        <w:gridCol w:w="3405"/>
      </w:tblGrid>
      <w:tr w:rsidR="002544AA" w:rsidRPr="002544AA" w:rsidTr="002544AA">
        <w:tc>
          <w:tcPr>
            <w:tcW w:w="15164" w:type="dxa"/>
            <w:gridSpan w:val="5"/>
            <w:shd w:val="clear" w:color="auto" w:fill="auto"/>
          </w:tcPr>
          <w:p w:rsidR="002544AA" w:rsidRPr="002544AA" w:rsidRDefault="002544AA" w:rsidP="002544AA">
            <w:pPr>
              <w:spacing w:before="120" w:after="160" w:line="259" w:lineRule="auto"/>
              <w:rPr>
                <w:rFonts w:ascii="Calibri" w:eastAsia="Calibri" w:hAnsi="Calibri" w:cs="Times New Roman"/>
                <w:b/>
              </w:rPr>
            </w:pPr>
            <w:r w:rsidRPr="002544AA">
              <w:rPr>
                <w:rFonts w:ascii="Calibri" w:eastAsia="Calibri" w:hAnsi="Calibri" w:cs="Times New Roman"/>
                <w:b/>
              </w:rPr>
              <w:t>PRIORITY 3:  ENSURE EFFECTIVE LEARNING FROM GOOD AND BAD PRACTICE IS SHARED IN ORDER TO IMPROVE THE SAFEGUARDING EXPERIENCE AND ULTIMATE OUTCOMES FOR SERVICE USERS.</w:t>
            </w:r>
          </w:p>
        </w:tc>
      </w:tr>
      <w:tr w:rsidR="000D039A" w:rsidRPr="002544AA" w:rsidTr="000D039A">
        <w:tc>
          <w:tcPr>
            <w:tcW w:w="2687" w:type="dxa"/>
            <w:shd w:val="clear" w:color="auto" w:fill="auto"/>
          </w:tcPr>
          <w:p w:rsidR="000D039A" w:rsidRPr="002544AA" w:rsidRDefault="000D039A" w:rsidP="002544AA">
            <w:pPr>
              <w:spacing w:after="160" w:line="259" w:lineRule="auto"/>
              <w:rPr>
                <w:rFonts w:ascii="Calibri" w:eastAsia="Calibri" w:hAnsi="Calibri" w:cs="Times New Roman"/>
                <w:b/>
              </w:rPr>
            </w:pPr>
            <w:r w:rsidRPr="002544AA">
              <w:rPr>
                <w:rFonts w:ascii="Calibri" w:eastAsia="Calibri" w:hAnsi="Calibri" w:cs="Times New Roman"/>
                <w:b/>
              </w:rPr>
              <w:t>Outcome</w:t>
            </w:r>
          </w:p>
        </w:tc>
        <w:tc>
          <w:tcPr>
            <w:tcW w:w="4819" w:type="dxa"/>
            <w:shd w:val="clear" w:color="auto" w:fill="auto"/>
          </w:tcPr>
          <w:p w:rsidR="000D039A" w:rsidRPr="002544AA" w:rsidRDefault="000D039A" w:rsidP="002544AA">
            <w:pPr>
              <w:spacing w:after="160" w:line="259" w:lineRule="auto"/>
              <w:rPr>
                <w:rFonts w:ascii="Calibri" w:eastAsia="Calibri" w:hAnsi="Calibri" w:cs="Times New Roman"/>
                <w:b/>
              </w:rPr>
            </w:pPr>
            <w:r w:rsidRPr="002544AA">
              <w:rPr>
                <w:rFonts w:ascii="Calibri" w:eastAsia="Calibri" w:hAnsi="Calibri" w:cs="Times New Roman"/>
                <w:b/>
              </w:rPr>
              <w:t>Action</w:t>
            </w:r>
          </w:p>
        </w:tc>
        <w:tc>
          <w:tcPr>
            <w:tcW w:w="2268" w:type="dxa"/>
            <w:shd w:val="clear" w:color="auto" w:fill="auto"/>
          </w:tcPr>
          <w:p w:rsidR="000D039A" w:rsidRPr="002544AA" w:rsidRDefault="000D039A" w:rsidP="002544AA">
            <w:pPr>
              <w:spacing w:after="160" w:line="259" w:lineRule="auto"/>
              <w:rPr>
                <w:rFonts w:ascii="Calibri" w:eastAsia="Calibri" w:hAnsi="Calibri" w:cs="Times New Roman"/>
                <w:b/>
              </w:rPr>
            </w:pPr>
            <w:r w:rsidRPr="002544AA">
              <w:rPr>
                <w:rFonts w:ascii="Calibri" w:eastAsia="Calibri" w:hAnsi="Calibri" w:cs="Times New Roman"/>
                <w:b/>
              </w:rPr>
              <w:t xml:space="preserve">Lead </w:t>
            </w:r>
          </w:p>
        </w:tc>
        <w:tc>
          <w:tcPr>
            <w:tcW w:w="1985" w:type="dxa"/>
            <w:shd w:val="clear" w:color="auto" w:fill="auto"/>
          </w:tcPr>
          <w:p w:rsidR="000D039A" w:rsidRPr="002544AA" w:rsidRDefault="000D039A" w:rsidP="002544AA">
            <w:pPr>
              <w:spacing w:after="160" w:line="259" w:lineRule="auto"/>
              <w:rPr>
                <w:rFonts w:ascii="Calibri" w:eastAsia="Calibri" w:hAnsi="Calibri" w:cs="Times New Roman"/>
                <w:b/>
              </w:rPr>
            </w:pPr>
            <w:r w:rsidRPr="002544AA">
              <w:rPr>
                <w:rFonts w:ascii="Calibri" w:eastAsia="Calibri" w:hAnsi="Calibri" w:cs="Times New Roman"/>
                <w:b/>
              </w:rPr>
              <w:t xml:space="preserve">Timescale </w:t>
            </w:r>
          </w:p>
        </w:tc>
        <w:tc>
          <w:tcPr>
            <w:tcW w:w="3405" w:type="dxa"/>
            <w:shd w:val="clear" w:color="auto" w:fill="auto"/>
          </w:tcPr>
          <w:p w:rsidR="000D039A" w:rsidRPr="002544AA" w:rsidRDefault="000D039A" w:rsidP="002544AA">
            <w:pPr>
              <w:spacing w:after="160" w:line="259" w:lineRule="auto"/>
              <w:rPr>
                <w:rFonts w:ascii="Calibri" w:eastAsia="Calibri" w:hAnsi="Calibri" w:cs="Times New Roman"/>
                <w:b/>
              </w:rPr>
            </w:pPr>
            <w:r w:rsidRPr="002544AA">
              <w:rPr>
                <w:rFonts w:ascii="Calibri" w:eastAsia="Calibri" w:hAnsi="Calibri" w:cs="Times New Roman"/>
                <w:b/>
              </w:rPr>
              <w:t xml:space="preserve">Success criteria  </w:t>
            </w:r>
          </w:p>
        </w:tc>
      </w:tr>
      <w:tr w:rsidR="000D039A" w:rsidRPr="002544AA" w:rsidTr="000D039A">
        <w:tc>
          <w:tcPr>
            <w:tcW w:w="2687" w:type="dxa"/>
            <w:vMerge w:val="restart"/>
            <w:shd w:val="clear" w:color="auto" w:fill="auto"/>
          </w:tcPr>
          <w:p w:rsidR="000D039A" w:rsidRPr="002544AA" w:rsidRDefault="000D039A" w:rsidP="002544AA">
            <w:pPr>
              <w:spacing w:before="120" w:after="160" w:line="259" w:lineRule="auto"/>
              <w:rPr>
                <w:rFonts w:ascii="Calibri" w:eastAsia="Calibri" w:hAnsi="Calibri" w:cs="Times New Roman"/>
              </w:rPr>
            </w:pPr>
            <w:r w:rsidRPr="002544AA">
              <w:rPr>
                <w:rFonts w:ascii="Calibri" w:eastAsia="Calibri" w:hAnsi="Calibri" w:cs="Times New Roman"/>
              </w:rPr>
              <w:t xml:space="preserve">3.1 Continue to ensure </w:t>
            </w:r>
            <w:proofErr w:type="gramStart"/>
            <w:r w:rsidRPr="002544AA">
              <w:rPr>
                <w:rFonts w:ascii="Calibri" w:eastAsia="Calibri" w:hAnsi="Calibri" w:cs="Times New Roman"/>
              </w:rPr>
              <w:t>staff receive</w:t>
            </w:r>
            <w:proofErr w:type="gramEnd"/>
            <w:r w:rsidRPr="002544AA">
              <w:rPr>
                <w:rFonts w:ascii="Calibri" w:eastAsia="Calibri" w:hAnsi="Calibri" w:cs="Times New Roman"/>
              </w:rPr>
              <w:t xml:space="preserve"> appropriate level of safeguarding adults training.</w:t>
            </w:r>
          </w:p>
        </w:tc>
        <w:tc>
          <w:tcPr>
            <w:tcW w:w="4819" w:type="dxa"/>
            <w:shd w:val="clear" w:color="auto" w:fill="auto"/>
          </w:tcPr>
          <w:p w:rsidR="000D039A" w:rsidRPr="002544AA" w:rsidRDefault="000D039A" w:rsidP="002544AA">
            <w:pPr>
              <w:spacing w:before="120" w:after="0"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a) </w:t>
            </w:r>
            <w:r w:rsidRPr="002544AA">
              <w:rPr>
                <w:rFonts w:ascii="Calibri" w:eastAsia="Calibri" w:hAnsi="Calibri" w:cs="Times New Roman"/>
              </w:rPr>
              <w:t>Review Levels 2 and 3 safeguarding training standards to ensure alignment with Pan-Berkshire Policy and Procedures.</w:t>
            </w:r>
          </w:p>
        </w:tc>
        <w:tc>
          <w:tcPr>
            <w:tcW w:w="2268" w:type="dxa"/>
            <w:shd w:val="clear" w:color="auto" w:fill="auto"/>
          </w:tcPr>
          <w:p w:rsidR="000D039A" w:rsidRDefault="000D039A">
            <w:r w:rsidRPr="006B268D">
              <w:t xml:space="preserve">Learning and Development Subgroup </w:t>
            </w:r>
          </w:p>
        </w:tc>
        <w:tc>
          <w:tcPr>
            <w:tcW w:w="1985" w:type="dxa"/>
            <w:shd w:val="clear" w:color="auto" w:fill="auto"/>
          </w:tcPr>
          <w:p w:rsidR="000D039A" w:rsidRPr="002544AA" w:rsidRDefault="000D039A" w:rsidP="00131540">
            <w:pPr>
              <w:spacing w:before="120" w:after="0" w:line="240" w:lineRule="auto"/>
              <w:rPr>
                <w:rFonts w:ascii="Calibri" w:eastAsia="Calibri" w:hAnsi="Calibri" w:cs="Times New Roman"/>
              </w:rPr>
            </w:pPr>
            <w:r w:rsidRPr="002544AA">
              <w:rPr>
                <w:rFonts w:ascii="Calibri" w:eastAsia="Calibri" w:hAnsi="Calibri" w:cs="Times New Roman"/>
              </w:rPr>
              <w:t>December 2016</w:t>
            </w:r>
          </w:p>
        </w:tc>
        <w:tc>
          <w:tcPr>
            <w:tcW w:w="3405" w:type="dxa"/>
            <w:shd w:val="clear" w:color="auto" w:fill="auto"/>
          </w:tcPr>
          <w:p w:rsidR="000D039A" w:rsidRPr="002544AA" w:rsidRDefault="000D039A" w:rsidP="00131540">
            <w:pPr>
              <w:spacing w:before="120" w:after="0" w:line="240" w:lineRule="auto"/>
              <w:rPr>
                <w:rFonts w:ascii="Calibri" w:eastAsia="Calibri" w:hAnsi="Calibri" w:cs="Times New Roman"/>
              </w:rPr>
            </w:pPr>
            <w:r w:rsidRPr="002544AA">
              <w:rPr>
                <w:rFonts w:ascii="Calibri" w:eastAsia="Calibri" w:hAnsi="Calibri" w:cs="Times New Roman"/>
              </w:rPr>
              <w:t>Updated training standards agreed and used in developing training programmes</w:t>
            </w:r>
          </w:p>
        </w:tc>
      </w:tr>
      <w:tr w:rsidR="000D039A" w:rsidRPr="002544AA" w:rsidTr="000D039A">
        <w:tc>
          <w:tcPr>
            <w:tcW w:w="2687" w:type="dxa"/>
            <w:vMerge/>
            <w:shd w:val="clear" w:color="auto" w:fill="auto"/>
          </w:tcPr>
          <w:p w:rsidR="000D039A" w:rsidRPr="002544AA" w:rsidRDefault="000D039A" w:rsidP="002544AA">
            <w:pPr>
              <w:spacing w:before="120" w:after="160" w:line="259" w:lineRule="auto"/>
              <w:ind w:left="360"/>
              <w:rPr>
                <w:rFonts w:ascii="Calibri" w:eastAsia="Calibri" w:hAnsi="Calibri" w:cs="Times New Roman"/>
              </w:rPr>
            </w:pPr>
          </w:p>
        </w:tc>
        <w:tc>
          <w:tcPr>
            <w:tcW w:w="4819" w:type="dxa"/>
            <w:tcBorders>
              <w:bottom w:val="single" w:sz="4" w:space="0" w:color="auto"/>
            </w:tcBorders>
            <w:shd w:val="clear" w:color="auto" w:fill="auto"/>
          </w:tcPr>
          <w:p w:rsidR="000D039A" w:rsidRPr="002544AA" w:rsidRDefault="000D039A" w:rsidP="002544AA">
            <w:pPr>
              <w:spacing w:before="120" w:after="0"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b) </w:t>
            </w:r>
            <w:r w:rsidRPr="002544AA">
              <w:rPr>
                <w:rFonts w:ascii="Calibri" w:eastAsia="Calibri" w:hAnsi="Calibri" w:cs="Times New Roman"/>
              </w:rPr>
              <w:t>Refresh Workforce Development Strategy to map to revised social care competence framework and to intercollegiate document.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</w:tcPr>
          <w:p w:rsidR="000D039A" w:rsidRDefault="000D039A">
            <w:r w:rsidRPr="006B268D">
              <w:t xml:space="preserve">Learning and Development Subgroup 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0D039A" w:rsidRPr="002544AA" w:rsidRDefault="000D039A" w:rsidP="00131540">
            <w:pPr>
              <w:spacing w:before="120" w:after="0" w:line="240" w:lineRule="auto"/>
              <w:rPr>
                <w:rFonts w:ascii="Calibri" w:eastAsia="Calibri" w:hAnsi="Calibri" w:cs="Times New Roman"/>
              </w:rPr>
            </w:pPr>
            <w:r w:rsidRPr="002544AA">
              <w:rPr>
                <w:rFonts w:ascii="Calibri" w:eastAsia="Calibri" w:hAnsi="Calibri" w:cs="Times New Roman"/>
              </w:rPr>
              <w:t>March 2017</w:t>
            </w:r>
          </w:p>
        </w:tc>
        <w:tc>
          <w:tcPr>
            <w:tcW w:w="3405" w:type="dxa"/>
            <w:tcBorders>
              <w:bottom w:val="single" w:sz="4" w:space="0" w:color="auto"/>
            </w:tcBorders>
            <w:shd w:val="clear" w:color="auto" w:fill="auto"/>
          </w:tcPr>
          <w:p w:rsidR="000D039A" w:rsidRPr="002544AA" w:rsidRDefault="000D039A" w:rsidP="00131540">
            <w:pPr>
              <w:spacing w:before="120" w:after="0" w:line="240" w:lineRule="auto"/>
              <w:rPr>
                <w:rFonts w:ascii="Calibri" w:eastAsia="Calibri" w:hAnsi="Calibri" w:cs="Times New Roman"/>
              </w:rPr>
            </w:pPr>
            <w:r w:rsidRPr="002544AA">
              <w:rPr>
                <w:rFonts w:ascii="Calibri" w:eastAsia="Calibri" w:hAnsi="Calibri" w:cs="Times New Roman"/>
              </w:rPr>
              <w:t>Refreshed Strategy (including updated tra</w:t>
            </w:r>
            <w:r>
              <w:rPr>
                <w:rFonts w:ascii="Calibri" w:eastAsia="Calibri" w:hAnsi="Calibri" w:cs="Times New Roman"/>
              </w:rPr>
              <w:t>i</w:t>
            </w:r>
            <w:r w:rsidRPr="002544AA">
              <w:rPr>
                <w:rFonts w:ascii="Calibri" w:eastAsia="Calibri" w:hAnsi="Calibri" w:cs="Times New Roman"/>
              </w:rPr>
              <w:t>ning standards) produced &amp; published on SAB website</w:t>
            </w:r>
          </w:p>
        </w:tc>
      </w:tr>
      <w:tr w:rsidR="000D039A" w:rsidRPr="002544AA" w:rsidTr="000D039A">
        <w:tc>
          <w:tcPr>
            <w:tcW w:w="2687" w:type="dxa"/>
            <w:vMerge/>
            <w:shd w:val="clear" w:color="auto" w:fill="auto"/>
          </w:tcPr>
          <w:p w:rsidR="000D039A" w:rsidRPr="002544AA" w:rsidRDefault="000D039A" w:rsidP="002544AA">
            <w:pPr>
              <w:spacing w:before="120" w:after="160" w:line="259" w:lineRule="auto"/>
              <w:ind w:left="36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4819" w:type="dxa"/>
            <w:shd w:val="clear" w:color="auto" w:fill="FFFFFF" w:themeFill="background1"/>
          </w:tcPr>
          <w:p w:rsidR="000D039A" w:rsidRPr="002544AA" w:rsidRDefault="000D039A" w:rsidP="002544AA">
            <w:pPr>
              <w:spacing w:before="120" w:after="0"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c) </w:t>
            </w:r>
            <w:r w:rsidRPr="002544AA">
              <w:rPr>
                <w:rFonts w:ascii="Calibri" w:eastAsia="Calibri" w:hAnsi="Calibri" w:cs="Times New Roman"/>
              </w:rPr>
              <w:t>Deliver Safeguarding Adults Train the Trainer programme (Wokingham BC.)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0D039A" w:rsidRDefault="000D039A">
            <w:r w:rsidRPr="006B268D">
              <w:t xml:space="preserve">Learning and Development Subgroup 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0D039A" w:rsidRPr="002544AA" w:rsidRDefault="000D039A" w:rsidP="00131540">
            <w:pPr>
              <w:spacing w:before="120" w:after="0" w:line="240" w:lineRule="auto"/>
              <w:rPr>
                <w:rFonts w:ascii="Calibri" w:eastAsia="Calibri" w:hAnsi="Calibri" w:cs="Times New Roman"/>
              </w:rPr>
            </w:pPr>
            <w:r w:rsidRPr="002544AA">
              <w:rPr>
                <w:rFonts w:ascii="Calibri" w:eastAsia="Calibri" w:hAnsi="Calibri" w:cs="Times New Roman"/>
              </w:rPr>
              <w:t>April 2016</w:t>
            </w:r>
          </w:p>
          <w:p w:rsidR="000D039A" w:rsidRPr="002544AA" w:rsidRDefault="000D039A" w:rsidP="00131540">
            <w:pPr>
              <w:spacing w:before="120" w:after="0" w:line="240" w:lineRule="auto"/>
              <w:rPr>
                <w:rFonts w:ascii="Calibri" w:eastAsia="Calibri" w:hAnsi="Calibri" w:cs="Times New Roman"/>
              </w:rPr>
            </w:pPr>
            <w:r w:rsidRPr="002544AA">
              <w:rPr>
                <w:rFonts w:ascii="Calibri" w:eastAsia="Calibri" w:hAnsi="Calibri" w:cs="Times New Roman"/>
              </w:rPr>
              <w:t>(achieved)</w:t>
            </w:r>
          </w:p>
        </w:tc>
        <w:tc>
          <w:tcPr>
            <w:tcW w:w="3405" w:type="dxa"/>
            <w:shd w:val="clear" w:color="auto" w:fill="FFFFFF" w:themeFill="background1"/>
          </w:tcPr>
          <w:p w:rsidR="000D039A" w:rsidRPr="002544AA" w:rsidRDefault="000D039A" w:rsidP="00131540">
            <w:pPr>
              <w:spacing w:before="120" w:after="0" w:line="240" w:lineRule="auto"/>
              <w:rPr>
                <w:rFonts w:ascii="Calibri" w:eastAsia="Calibri" w:hAnsi="Calibri" w:cs="Times New Roman"/>
              </w:rPr>
            </w:pPr>
            <w:r w:rsidRPr="002544AA">
              <w:rPr>
                <w:rFonts w:ascii="Calibri" w:eastAsia="Calibri" w:hAnsi="Calibri" w:cs="Times New Roman"/>
              </w:rPr>
              <w:t>Course delivered by Wokingham BC and offered across west of Berkshire</w:t>
            </w:r>
          </w:p>
        </w:tc>
      </w:tr>
      <w:tr w:rsidR="000D039A" w:rsidRPr="002544AA" w:rsidTr="000D039A">
        <w:tc>
          <w:tcPr>
            <w:tcW w:w="2687" w:type="dxa"/>
            <w:vMerge/>
            <w:shd w:val="clear" w:color="auto" w:fill="auto"/>
          </w:tcPr>
          <w:p w:rsidR="000D039A" w:rsidRPr="002544AA" w:rsidRDefault="000D039A" w:rsidP="002544AA">
            <w:pPr>
              <w:spacing w:before="120" w:after="160" w:line="259" w:lineRule="auto"/>
              <w:ind w:left="36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4819" w:type="dxa"/>
            <w:shd w:val="clear" w:color="auto" w:fill="FFFFFF" w:themeFill="background1"/>
          </w:tcPr>
          <w:p w:rsidR="000D039A" w:rsidRPr="002544AA" w:rsidRDefault="000D039A" w:rsidP="002544AA">
            <w:pPr>
              <w:spacing w:before="120" w:after="0"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d) </w:t>
            </w:r>
            <w:r w:rsidRPr="002544AA">
              <w:rPr>
                <w:rFonts w:ascii="Calibri" w:eastAsia="Calibri" w:hAnsi="Calibri" w:cs="Times New Roman"/>
              </w:rPr>
              <w:t>In conjunction with the LSCBs, support development and delivery of the Joint Children’s and Adults Safeguarding Conference on 23 September.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0D039A" w:rsidRDefault="000D039A">
            <w:r w:rsidRPr="006B268D">
              <w:t xml:space="preserve">Learning and Development Subgroup </w:t>
            </w:r>
          </w:p>
        </w:tc>
        <w:tc>
          <w:tcPr>
            <w:tcW w:w="1985" w:type="dxa"/>
            <w:shd w:val="clear" w:color="auto" w:fill="FFFFFF" w:themeFill="background1"/>
          </w:tcPr>
          <w:p w:rsidR="000D039A" w:rsidRPr="002544AA" w:rsidRDefault="000D039A" w:rsidP="00131540">
            <w:pPr>
              <w:spacing w:before="120" w:after="0" w:line="240" w:lineRule="auto"/>
              <w:rPr>
                <w:rFonts w:ascii="Calibri" w:eastAsia="Calibri" w:hAnsi="Calibri" w:cs="Times New Roman"/>
              </w:rPr>
            </w:pPr>
            <w:r w:rsidRPr="002544AA">
              <w:rPr>
                <w:rFonts w:ascii="Calibri" w:eastAsia="Calibri" w:hAnsi="Calibri" w:cs="Times New Roman"/>
              </w:rPr>
              <w:t>23 September 2016</w:t>
            </w:r>
          </w:p>
        </w:tc>
        <w:tc>
          <w:tcPr>
            <w:tcW w:w="3405" w:type="dxa"/>
            <w:shd w:val="clear" w:color="auto" w:fill="FFFFFF" w:themeFill="background1"/>
          </w:tcPr>
          <w:p w:rsidR="000D039A" w:rsidRPr="002544AA" w:rsidRDefault="000D039A" w:rsidP="00131540">
            <w:pPr>
              <w:spacing w:before="120" w:after="0" w:line="240" w:lineRule="auto"/>
              <w:rPr>
                <w:rFonts w:ascii="Calibri" w:eastAsia="Calibri" w:hAnsi="Calibri" w:cs="Times New Roman"/>
              </w:rPr>
            </w:pPr>
            <w:r w:rsidRPr="002544AA">
              <w:rPr>
                <w:rFonts w:ascii="Calibri" w:eastAsia="Calibri" w:hAnsi="Calibri" w:cs="Times New Roman"/>
              </w:rPr>
              <w:t>Conference held with attendance from adult sector</w:t>
            </w:r>
          </w:p>
        </w:tc>
      </w:tr>
      <w:tr w:rsidR="000D039A" w:rsidRPr="002544AA" w:rsidTr="000D039A">
        <w:tc>
          <w:tcPr>
            <w:tcW w:w="2687" w:type="dxa"/>
            <w:vMerge/>
            <w:shd w:val="clear" w:color="auto" w:fill="auto"/>
          </w:tcPr>
          <w:p w:rsidR="000D039A" w:rsidRPr="002544AA" w:rsidRDefault="000D039A" w:rsidP="002544AA">
            <w:pPr>
              <w:spacing w:before="120" w:after="160" w:line="259" w:lineRule="auto"/>
              <w:ind w:left="36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4819" w:type="dxa"/>
            <w:shd w:val="clear" w:color="auto" w:fill="FFFFFF" w:themeFill="background1"/>
          </w:tcPr>
          <w:p w:rsidR="000D039A" w:rsidRPr="002544AA" w:rsidRDefault="000D039A" w:rsidP="002544AA">
            <w:pPr>
              <w:spacing w:before="120" w:after="0"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e) </w:t>
            </w:r>
            <w:r w:rsidRPr="002544AA">
              <w:rPr>
                <w:rFonts w:ascii="Calibri" w:eastAsia="Calibri" w:hAnsi="Calibri" w:cs="Times New Roman"/>
              </w:rPr>
              <w:t>Deliver Making Safeguarding Personal awareness training for private, voluntary and independent sector.</w:t>
            </w:r>
          </w:p>
        </w:tc>
        <w:tc>
          <w:tcPr>
            <w:tcW w:w="2268" w:type="dxa"/>
            <w:shd w:val="clear" w:color="auto" w:fill="FFFFFF" w:themeFill="background1"/>
          </w:tcPr>
          <w:p w:rsidR="000D039A" w:rsidRDefault="000D039A">
            <w:r w:rsidRPr="00582C00">
              <w:t xml:space="preserve">Learning and Development Subgroup 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0D039A" w:rsidRPr="002544AA" w:rsidRDefault="000D039A" w:rsidP="00131540">
            <w:pPr>
              <w:spacing w:before="120" w:after="0" w:line="240" w:lineRule="auto"/>
              <w:rPr>
                <w:rFonts w:ascii="Calibri" w:eastAsia="Calibri" w:hAnsi="Calibri" w:cs="Times New Roman"/>
              </w:rPr>
            </w:pPr>
            <w:r w:rsidRPr="002544AA">
              <w:rPr>
                <w:rFonts w:ascii="Calibri" w:eastAsia="Calibri" w:hAnsi="Calibri" w:cs="Times New Roman"/>
              </w:rPr>
              <w:t>December 2016</w:t>
            </w:r>
          </w:p>
        </w:tc>
        <w:tc>
          <w:tcPr>
            <w:tcW w:w="3405" w:type="dxa"/>
            <w:shd w:val="clear" w:color="auto" w:fill="FFFFFF" w:themeFill="background1"/>
          </w:tcPr>
          <w:p w:rsidR="000D039A" w:rsidRPr="002544AA" w:rsidRDefault="000D039A" w:rsidP="00131540">
            <w:pPr>
              <w:spacing w:before="120" w:after="0" w:line="240" w:lineRule="auto"/>
              <w:rPr>
                <w:rFonts w:ascii="Calibri" w:eastAsia="Calibri" w:hAnsi="Calibri" w:cs="Times New Roman"/>
              </w:rPr>
            </w:pPr>
            <w:r w:rsidRPr="002544AA">
              <w:rPr>
                <w:rFonts w:ascii="Calibri" w:eastAsia="Calibri" w:hAnsi="Calibri" w:cs="Times New Roman"/>
              </w:rPr>
              <w:t>Awareness workshops delivered to the local PVI sector</w:t>
            </w:r>
          </w:p>
        </w:tc>
      </w:tr>
      <w:tr w:rsidR="000D039A" w:rsidRPr="002544AA" w:rsidTr="000D039A">
        <w:tc>
          <w:tcPr>
            <w:tcW w:w="2687" w:type="dxa"/>
            <w:vMerge/>
            <w:shd w:val="clear" w:color="auto" w:fill="auto"/>
          </w:tcPr>
          <w:p w:rsidR="000D039A" w:rsidRPr="002544AA" w:rsidRDefault="000D039A" w:rsidP="002544AA">
            <w:pPr>
              <w:spacing w:before="120" w:after="160" w:line="259" w:lineRule="auto"/>
              <w:ind w:left="36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4819" w:type="dxa"/>
            <w:shd w:val="clear" w:color="auto" w:fill="FFFFFF" w:themeFill="background1"/>
          </w:tcPr>
          <w:p w:rsidR="000D039A" w:rsidRPr="002544AA" w:rsidRDefault="000D039A" w:rsidP="002544AA">
            <w:pPr>
              <w:spacing w:before="120" w:after="0"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f) </w:t>
            </w:r>
            <w:r w:rsidRPr="002544AA">
              <w:rPr>
                <w:rFonts w:ascii="Calibri" w:eastAsia="Calibri" w:hAnsi="Calibri" w:cs="Times New Roman"/>
              </w:rPr>
              <w:t>Trading standards tailored training.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0D039A" w:rsidRDefault="000D039A">
            <w:r w:rsidRPr="00582C00">
              <w:t xml:space="preserve">Learning and Development Subgroup </w:t>
            </w:r>
          </w:p>
        </w:tc>
        <w:tc>
          <w:tcPr>
            <w:tcW w:w="1985" w:type="dxa"/>
            <w:shd w:val="clear" w:color="auto" w:fill="FFFFFF" w:themeFill="background1"/>
          </w:tcPr>
          <w:p w:rsidR="000D039A" w:rsidRPr="002544AA" w:rsidRDefault="000D039A" w:rsidP="00131540">
            <w:pPr>
              <w:spacing w:before="120" w:after="0" w:line="240" w:lineRule="auto"/>
              <w:rPr>
                <w:rFonts w:ascii="Calibri" w:eastAsia="Calibri" w:hAnsi="Calibri" w:cs="Times New Roman"/>
              </w:rPr>
            </w:pPr>
            <w:r w:rsidRPr="002544AA">
              <w:rPr>
                <w:rFonts w:ascii="Calibri" w:eastAsia="Calibri" w:hAnsi="Calibri" w:cs="Times New Roman"/>
              </w:rPr>
              <w:t>20 June 2016</w:t>
            </w:r>
          </w:p>
        </w:tc>
        <w:tc>
          <w:tcPr>
            <w:tcW w:w="3405" w:type="dxa"/>
            <w:shd w:val="clear" w:color="auto" w:fill="FFFFFF" w:themeFill="background1"/>
          </w:tcPr>
          <w:p w:rsidR="000D039A" w:rsidRPr="002544AA" w:rsidRDefault="000D039A" w:rsidP="00131540">
            <w:pPr>
              <w:spacing w:before="120" w:after="0" w:line="240" w:lineRule="auto"/>
              <w:rPr>
                <w:rFonts w:ascii="Calibri" w:eastAsia="Calibri" w:hAnsi="Calibri" w:cs="Times New Roman"/>
              </w:rPr>
            </w:pPr>
            <w:r w:rsidRPr="002544AA">
              <w:rPr>
                <w:rFonts w:ascii="Calibri" w:eastAsia="Calibri" w:hAnsi="Calibri" w:cs="Times New Roman"/>
              </w:rPr>
              <w:t xml:space="preserve">Tailored training developed and delivered </w:t>
            </w:r>
          </w:p>
        </w:tc>
      </w:tr>
      <w:tr w:rsidR="000D039A" w:rsidRPr="002544AA" w:rsidTr="000D039A">
        <w:trPr>
          <w:trHeight w:val="1287"/>
        </w:trPr>
        <w:tc>
          <w:tcPr>
            <w:tcW w:w="2687" w:type="dxa"/>
            <w:vMerge/>
            <w:shd w:val="clear" w:color="auto" w:fill="auto"/>
          </w:tcPr>
          <w:p w:rsidR="000D039A" w:rsidRPr="002544AA" w:rsidRDefault="000D039A" w:rsidP="002544AA">
            <w:pPr>
              <w:spacing w:before="120" w:after="160" w:line="259" w:lineRule="auto"/>
              <w:ind w:left="36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4819" w:type="dxa"/>
            <w:shd w:val="clear" w:color="auto" w:fill="FFFFFF" w:themeFill="background1"/>
          </w:tcPr>
          <w:p w:rsidR="000D039A" w:rsidRPr="002544AA" w:rsidRDefault="000D039A" w:rsidP="002544AA">
            <w:pPr>
              <w:spacing w:before="120" w:after="0"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g) </w:t>
            </w:r>
            <w:r w:rsidRPr="002544AA">
              <w:rPr>
                <w:rFonts w:ascii="Calibri" w:eastAsia="Calibri" w:hAnsi="Calibri" w:cs="Times New Roman"/>
              </w:rPr>
              <w:t>Deliver core training programmes at all levels to support the sector</w:t>
            </w:r>
            <w:r>
              <w:rPr>
                <w:rFonts w:ascii="Calibri" w:eastAsia="Calibri" w:hAnsi="Calibri" w:cs="Times New Roman"/>
              </w:rPr>
              <w:t>.</w:t>
            </w:r>
            <w:r w:rsidRPr="002544AA">
              <w:rPr>
                <w:rFonts w:ascii="Calibri" w:eastAsia="Calibri" w:hAnsi="Calibri" w:cs="Times New Roman"/>
              </w:rPr>
              <w:t xml:space="preserve"> </w:t>
            </w:r>
          </w:p>
          <w:p w:rsidR="000D039A" w:rsidRPr="002544AA" w:rsidRDefault="000D039A" w:rsidP="002544AA">
            <w:pPr>
              <w:spacing w:before="120" w:after="0" w:line="240" w:lineRule="auto"/>
              <w:rPr>
                <w:rFonts w:ascii="Calibri" w:eastAsia="Calibri" w:hAnsi="Calibri" w:cs="Times New Roman"/>
              </w:rPr>
            </w:pPr>
            <w:r w:rsidRPr="002544AA">
              <w:rPr>
                <w:rFonts w:ascii="Calibri" w:eastAsia="Calibri" w:hAnsi="Calibri" w:cs="Times New Roman"/>
              </w:rPr>
              <w:t>Report on training activity for 2015-16 for SAB annual report</w:t>
            </w:r>
            <w:r>
              <w:rPr>
                <w:rFonts w:ascii="Calibri" w:eastAsia="Calibri" w:hAnsi="Calibri" w:cs="Times New Roman"/>
              </w:rPr>
              <w:t>.</w:t>
            </w:r>
          </w:p>
        </w:tc>
        <w:tc>
          <w:tcPr>
            <w:tcW w:w="2268" w:type="dxa"/>
            <w:shd w:val="clear" w:color="auto" w:fill="FFFFFF" w:themeFill="background1"/>
          </w:tcPr>
          <w:p w:rsidR="000D039A" w:rsidRDefault="000D039A">
            <w:r w:rsidRPr="00582C00">
              <w:t xml:space="preserve">Learning and Development Subgroup </w:t>
            </w:r>
          </w:p>
        </w:tc>
        <w:tc>
          <w:tcPr>
            <w:tcW w:w="1985" w:type="dxa"/>
            <w:shd w:val="clear" w:color="auto" w:fill="FFFFFF" w:themeFill="background1"/>
          </w:tcPr>
          <w:p w:rsidR="000D039A" w:rsidRPr="002544AA" w:rsidRDefault="000D039A" w:rsidP="00131540">
            <w:pPr>
              <w:spacing w:before="120" w:after="0" w:line="240" w:lineRule="auto"/>
              <w:rPr>
                <w:rFonts w:ascii="Calibri" w:eastAsia="Calibri" w:hAnsi="Calibri" w:cs="Times New Roman"/>
              </w:rPr>
            </w:pPr>
            <w:r w:rsidRPr="002544AA">
              <w:rPr>
                <w:rFonts w:ascii="Calibri" w:eastAsia="Calibri" w:hAnsi="Calibri" w:cs="Times New Roman"/>
              </w:rPr>
              <w:t>Ongoing</w:t>
            </w:r>
          </w:p>
          <w:p w:rsidR="000D039A" w:rsidRPr="002544AA" w:rsidRDefault="000D039A" w:rsidP="002544AA">
            <w:pPr>
              <w:spacing w:before="120" w:after="0" w:line="240" w:lineRule="auto"/>
              <w:ind w:left="360"/>
              <w:rPr>
                <w:rFonts w:ascii="Calibri" w:eastAsia="Calibri" w:hAnsi="Calibri" w:cs="Times New Roman"/>
              </w:rPr>
            </w:pPr>
          </w:p>
          <w:p w:rsidR="000D039A" w:rsidRPr="002544AA" w:rsidRDefault="000D039A" w:rsidP="002544AA">
            <w:pPr>
              <w:spacing w:before="120" w:after="0" w:line="240" w:lineRule="auto"/>
              <w:rPr>
                <w:rFonts w:ascii="Calibri" w:eastAsia="Calibri" w:hAnsi="Calibri" w:cs="Times New Roman"/>
              </w:rPr>
            </w:pPr>
            <w:r w:rsidRPr="002544AA">
              <w:rPr>
                <w:rFonts w:ascii="Calibri" w:eastAsia="Calibri" w:hAnsi="Calibri" w:cs="Times New Roman"/>
              </w:rPr>
              <w:t>June 2016</w:t>
            </w:r>
          </w:p>
        </w:tc>
        <w:tc>
          <w:tcPr>
            <w:tcW w:w="3405" w:type="dxa"/>
            <w:shd w:val="clear" w:color="auto" w:fill="FFFFFF" w:themeFill="background1"/>
          </w:tcPr>
          <w:p w:rsidR="000D039A" w:rsidRPr="002544AA" w:rsidRDefault="000D039A" w:rsidP="00131540">
            <w:pPr>
              <w:spacing w:before="120" w:after="0" w:line="240" w:lineRule="auto"/>
              <w:rPr>
                <w:rFonts w:ascii="Calibri" w:eastAsia="Calibri" w:hAnsi="Calibri" w:cs="Times New Roman"/>
              </w:rPr>
            </w:pPr>
            <w:r w:rsidRPr="002544AA">
              <w:rPr>
                <w:rFonts w:ascii="Calibri" w:eastAsia="Calibri" w:hAnsi="Calibri" w:cs="Times New Roman"/>
              </w:rPr>
              <w:t xml:space="preserve">Training programmes delivered and evaluated. </w:t>
            </w:r>
          </w:p>
          <w:p w:rsidR="000D039A" w:rsidRPr="002544AA" w:rsidRDefault="000D039A" w:rsidP="00131540">
            <w:pPr>
              <w:spacing w:before="120" w:after="0" w:line="240" w:lineRule="auto"/>
              <w:rPr>
                <w:rFonts w:ascii="Calibri" w:eastAsia="Calibri" w:hAnsi="Calibri" w:cs="Times New Roman"/>
              </w:rPr>
            </w:pPr>
            <w:r w:rsidRPr="002544AA">
              <w:rPr>
                <w:rFonts w:ascii="Calibri" w:eastAsia="Calibri" w:hAnsi="Calibri" w:cs="Times New Roman"/>
              </w:rPr>
              <w:t>Training data collated</w:t>
            </w:r>
          </w:p>
        </w:tc>
      </w:tr>
      <w:tr w:rsidR="000D039A" w:rsidRPr="002544AA" w:rsidTr="000D039A">
        <w:tc>
          <w:tcPr>
            <w:tcW w:w="2687" w:type="dxa"/>
            <w:shd w:val="clear" w:color="auto" w:fill="auto"/>
          </w:tcPr>
          <w:p w:rsidR="000D039A" w:rsidRPr="002544AA" w:rsidRDefault="000D039A" w:rsidP="002544AA">
            <w:pPr>
              <w:spacing w:before="120" w:after="160" w:line="259" w:lineRule="auto"/>
              <w:rPr>
                <w:rFonts w:ascii="Calibri" w:eastAsia="Calibri" w:hAnsi="Calibri" w:cs="Times New Roman"/>
              </w:rPr>
            </w:pPr>
            <w:r w:rsidRPr="002544AA">
              <w:rPr>
                <w:rFonts w:ascii="Calibri" w:eastAsia="Calibri" w:hAnsi="Calibri" w:cs="Times New Roman"/>
              </w:rPr>
              <w:t>3.2 Improve mechanisms to share learning from good and bad practice more widely.</w:t>
            </w:r>
          </w:p>
        </w:tc>
        <w:tc>
          <w:tcPr>
            <w:tcW w:w="4819" w:type="dxa"/>
            <w:shd w:val="clear" w:color="auto" w:fill="FFFFFF" w:themeFill="background1"/>
          </w:tcPr>
          <w:p w:rsidR="000D039A" w:rsidRPr="002544AA" w:rsidRDefault="000D039A" w:rsidP="00FA6F76">
            <w:pPr>
              <w:spacing w:before="120" w:after="0" w:line="240" w:lineRule="auto"/>
              <w:rPr>
                <w:rFonts w:ascii="Calibri" w:eastAsia="Calibri" w:hAnsi="Calibri" w:cs="Times New Roman"/>
              </w:rPr>
            </w:pPr>
            <w:r w:rsidRPr="002544AA">
              <w:rPr>
                <w:rFonts w:ascii="Calibri" w:eastAsia="Calibri" w:hAnsi="Calibri" w:cs="Times New Roman"/>
              </w:rPr>
              <w:t>Support the development of workshops and network meetings to share learning from SARs and other partner</w:t>
            </w:r>
            <w:r>
              <w:rPr>
                <w:rFonts w:ascii="Calibri" w:eastAsia="Calibri" w:hAnsi="Calibri" w:cs="Times New Roman"/>
              </w:rPr>
              <w:t>s</w:t>
            </w:r>
            <w:r w:rsidRPr="002544AA">
              <w:rPr>
                <w:rFonts w:ascii="Calibri" w:eastAsia="Calibri" w:hAnsi="Calibri" w:cs="Times New Roman"/>
              </w:rPr>
              <w:t>hip reviews.</w:t>
            </w:r>
          </w:p>
        </w:tc>
        <w:tc>
          <w:tcPr>
            <w:tcW w:w="2268" w:type="dxa"/>
            <w:shd w:val="clear" w:color="auto" w:fill="FFFFFF" w:themeFill="background1"/>
          </w:tcPr>
          <w:p w:rsidR="000D039A" w:rsidRPr="002544AA" w:rsidRDefault="000D039A" w:rsidP="002544AA">
            <w:pPr>
              <w:spacing w:before="120" w:after="0" w:line="240" w:lineRule="auto"/>
              <w:rPr>
                <w:rFonts w:ascii="Calibri" w:eastAsia="Calibri" w:hAnsi="Calibri" w:cs="Times New Roman"/>
              </w:rPr>
            </w:pPr>
            <w:r w:rsidRPr="00131540">
              <w:rPr>
                <w:rFonts w:ascii="Calibri" w:eastAsia="Calibri" w:hAnsi="Calibri" w:cs="Times New Roman"/>
              </w:rPr>
              <w:t>Learning and Development Subgroup</w:t>
            </w:r>
          </w:p>
        </w:tc>
        <w:tc>
          <w:tcPr>
            <w:tcW w:w="1985" w:type="dxa"/>
            <w:shd w:val="clear" w:color="auto" w:fill="FFFFFF" w:themeFill="background1"/>
          </w:tcPr>
          <w:p w:rsidR="000D039A" w:rsidRPr="002544AA" w:rsidRDefault="000D039A" w:rsidP="00131540">
            <w:pPr>
              <w:spacing w:before="120" w:after="0" w:line="240" w:lineRule="auto"/>
              <w:rPr>
                <w:rFonts w:ascii="Calibri" w:eastAsia="Calibri" w:hAnsi="Calibri" w:cs="Times New Roman"/>
              </w:rPr>
            </w:pPr>
            <w:r w:rsidRPr="002544AA">
              <w:rPr>
                <w:rFonts w:ascii="Calibri" w:eastAsia="Calibri" w:hAnsi="Calibri" w:cs="Times New Roman"/>
              </w:rPr>
              <w:t>March 2017</w:t>
            </w:r>
          </w:p>
        </w:tc>
        <w:tc>
          <w:tcPr>
            <w:tcW w:w="3405" w:type="dxa"/>
            <w:shd w:val="clear" w:color="auto" w:fill="FFFFFF" w:themeFill="background1"/>
          </w:tcPr>
          <w:p w:rsidR="000D039A" w:rsidRPr="002544AA" w:rsidRDefault="000D039A" w:rsidP="00131540">
            <w:pPr>
              <w:spacing w:before="120" w:after="0" w:line="240" w:lineRule="auto"/>
              <w:rPr>
                <w:rFonts w:ascii="Calibri" w:eastAsia="Calibri" w:hAnsi="Calibri" w:cs="Times New Roman"/>
              </w:rPr>
            </w:pPr>
            <w:r w:rsidRPr="002544AA">
              <w:rPr>
                <w:rFonts w:ascii="Calibri" w:eastAsia="Calibri" w:hAnsi="Calibri" w:cs="Times New Roman"/>
              </w:rPr>
              <w:t>Information sharing sessions coordinated to respond to</w:t>
            </w:r>
            <w:r>
              <w:rPr>
                <w:rFonts w:ascii="Calibri" w:eastAsia="Calibri" w:hAnsi="Calibri" w:cs="Times New Roman"/>
              </w:rPr>
              <w:t xml:space="preserve"> SARs to support Effectiveness Sub</w:t>
            </w:r>
            <w:r w:rsidRPr="002544AA">
              <w:rPr>
                <w:rFonts w:ascii="Calibri" w:eastAsia="Calibri" w:hAnsi="Calibri" w:cs="Times New Roman"/>
              </w:rPr>
              <w:t>group</w:t>
            </w:r>
          </w:p>
        </w:tc>
      </w:tr>
    </w:tbl>
    <w:tbl>
      <w:tblPr>
        <w:tblpPr w:leftFromText="180" w:rightFromText="180" w:vertAnchor="text" w:horzAnchor="margin" w:tblpXSpec="center" w:tblpY="635"/>
        <w:tblOverlap w:val="never"/>
        <w:tblW w:w="156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02"/>
        <w:gridCol w:w="4819"/>
        <w:gridCol w:w="2268"/>
        <w:gridCol w:w="1985"/>
        <w:gridCol w:w="3752"/>
      </w:tblGrid>
      <w:tr w:rsidR="00FA6F76" w:rsidRPr="00AC7C1A" w:rsidTr="00FA6F76">
        <w:tc>
          <w:tcPr>
            <w:tcW w:w="15626" w:type="dxa"/>
            <w:gridSpan w:val="5"/>
            <w:shd w:val="clear" w:color="auto" w:fill="auto"/>
          </w:tcPr>
          <w:p w:rsidR="00FA6F76" w:rsidRDefault="00FA6F76" w:rsidP="00FA6F76">
            <w:r w:rsidRPr="00AC7C1A">
              <w:rPr>
                <w:b/>
              </w:rPr>
              <w:t xml:space="preserve">PRIORITY </w:t>
            </w:r>
            <w:r>
              <w:rPr>
                <w:b/>
              </w:rPr>
              <w:t>4</w:t>
            </w:r>
            <w:r w:rsidRPr="00AC7C1A">
              <w:rPr>
                <w:b/>
              </w:rPr>
              <w:t xml:space="preserve"> </w:t>
            </w:r>
            <w:r>
              <w:t xml:space="preserve"> </w:t>
            </w:r>
          </w:p>
          <w:p w:rsidR="00FA6F76" w:rsidRPr="00AC7C1A" w:rsidRDefault="00FA6F76" w:rsidP="00FA6F76">
            <w:pPr>
              <w:rPr>
                <w:b/>
              </w:rPr>
            </w:pPr>
            <w:r w:rsidRPr="00001D5D">
              <w:rPr>
                <w:b/>
              </w:rPr>
              <w:t>COORDINATE AND ENSURE THE EFFECTIVENESS OF WHAT EACH AGENCY DOES</w:t>
            </w:r>
          </w:p>
        </w:tc>
      </w:tr>
      <w:tr w:rsidR="000D039A" w:rsidRPr="00AC7C1A" w:rsidTr="000D039A">
        <w:tc>
          <w:tcPr>
            <w:tcW w:w="2802" w:type="dxa"/>
            <w:shd w:val="clear" w:color="auto" w:fill="auto"/>
          </w:tcPr>
          <w:p w:rsidR="000D039A" w:rsidRPr="00AC7C1A" w:rsidRDefault="000D039A" w:rsidP="00FA6F76">
            <w:pPr>
              <w:rPr>
                <w:b/>
              </w:rPr>
            </w:pPr>
            <w:r w:rsidRPr="00AC7C1A">
              <w:rPr>
                <w:b/>
              </w:rPr>
              <w:t>Outcome</w:t>
            </w:r>
          </w:p>
        </w:tc>
        <w:tc>
          <w:tcPr>
            <w:tcW w:w="4819" w:type="dxa"/>
            <w:shd w:val="clear" w:color="auto" w:fill="auto"/>
          </w:tcPr>
          <w:p w:rsidR="000D039A" w:rsidRPr="00AC7C1A" w:rsidRDefault="000D039A" w:rsidP="00FA6F76">
            <w:pPr>
              <w:rPr>
                <w:b/>
              </w:rPr>
            </w:pPr>
            <w:r w:rsidRPr="00AC7C1A">
              <w:rPr>
                <w:b/>
              </w:rPr>
              <w:t>Action</w:t>
            </w:r>
          </w:p>
        </w:tc>
        <w:tc>
          <w:tcPr>
            <w:tcW w:w="2268" w:type="dxa"/>
            <w:shd w:val="clear" w:color="auto" w:fill="auto"/>
          </w:tcPr>
          <w:p w:rsidR="000D039A" w:rsidRPr="00AC7C1A" w:rsidRDefault="000D039A" w:rsidP="00FA6F76">
            <w:pPr>
              <w:rPr>
                <w:b/>
              </w:rPr>
            </w:pPr>
            <w:r w:rsidRPr="00AC7C1A">
              <w:rPr>
                <w:b/>
              </w:rPr>
              <w:t xml:space="preserve">Lead </w:t>
            </w:r>
          </w:p>
        </w:tc>
        <w:tc>
          <w:tcPr>
            <w:tcW w:w="1985" w:type="dxa"/>
            <w:shd w:val="clear" w:color="auto" w:fill="auto"/>
          </w:tcPr>
          <w:p w:rsidR="000D039A" w:rsidRPr="00AC7C1A" w:rsidRDefault="000D039A" w:rsidP="00FA6F76">
            <w:pPr>
              <w:rPr>
                <w:b/>
              </w:rPr>
            </w:pPr>
            <w:r w:rsidRPr="00AC7C1A">
              <w:rPr>
                <w:b/>
              </w:rPr>
              <w:t xml:space="preserve">Timescale </w:t>
            </w:r>
          </w:p>
        </w:tc>
        <w:tc>
          <w:tcPr>
            <w:tcW w:w="3752" w:type="dxa"/>
            <w:shd w:val="clear" w:color="auto" w:fill="auto"/>
          </w:tcPr>
          <w:p w:rsidR="000D039A" w:rsidRPr="00AC7C1A" w:rsidRDefault="000D039A" w:rsidP="00FA6F76">
            <w:pPr>
              <w:rPr>
                <w:b/>
              </w:rPr>
            </w:pPr>
            <w:r w:rsidRPr="00A83AD0">
              <w:rPr>
                <w:b/>
              </w:rPr>
              <w:t xml:space="preserve">Success criteria  </w:t>
            </w:r>
          </w:p>
        </w:tc>
      </w:tr>
      <w:tr w:rsidR="000D039A" w:rsidRPr="00AC7C1A" w:rsidTr="000D039A">
        <w:tc>
          <w:tcPr>
            <w:tcW w:w="2802" w:type="dxa"/>
            <w:vMerge w:val="restart"/>
            <w:shd w:val="clear" w:color="auto" w:fill="auto"/>
          </w:tcPr>
          <w:p w:rsidR="000D039A" w:rsidRPr="00953BD3" w:rsidRDefault="000D039A" w:rsidP="00FA6F76">
            <w:proofErr w:type="gramStart"/>
            <w:r>
              <w:t xml:space="preserve">4.1 </w:t>
            </w:r>
            <w:r w:rsidRPr="00953BD3">
              <w:t xml:space="preserve"> </w:t>
            </w:r>
            <w:r>
              <w:t>A</w:t>
            </w:r>
            <w:r w:rsidRPr="00953BD3">
              <w:t>gencies</w:t>
            </w:r>
            <w:proofErr w:type="gramEnd"/>
            <w:r w:rsidRPr="00953BD3">
              <w:t xml:space="preserve"> are implementing</w:t>
            </w:r>
            <w:r>
              <w:t>,</w:t>
            </w:r>
            <w:r w:rsidRPr="00953BD3">
              <w:t xml:space="preserve"> and are compliant with</w:t>
            </w:r>
            <w:r>
              <w:t>,</w:t>
            </w:r>
            <w:r w:rsidRPr="00953BD3">
              <w:t xml:space="preserve"> the new Berkshire Policy and Procedures </w:t>
            </w:r>
            <w:r>
              <w:t xml:space="preserve"> and a</w:t>
            </w:r>
            <w:r w:rsidRPr="00953BD3">
              <w:t>reas for learning and development across agencies and standards of best practice are identified.</w:t>
            </w:r>
          </w:p>
        </w:tc>
        <w:tc>
          <w:tcPr>
            <w:tcW w:w="4819" w:type="dxa"/>
            <w:shd w:val="clear" w:color="auto" w:fill="auto"/>
          </w:tcPr>
          <w:p w:rsidR="000D039A" w:rsidRDefault="000D039A" w:rsidP="00FA6F76">
            <w:pPr>
              <w:spacing w:after="0" w:line="240" w:lineRule="auto"/>
            </w:pPr>
            <w:r>
              <w:t xml:space="preserve">a) </w:t>
            </w:r>
            <w:r w:rsidRPr="001F194B">
              <w:t xml:space="preserve">Twice yearly </w:t>
            </w:r>
            <w:r>
              <w:t>case audit on S</w:t>
            </w:r>
            <w:r w:rsidRPr="000E11F9">
              <w:t>42 enquiries</w:t>
            </w:r>
            <w:r>
              <w:t xml:space="preserve"> are undertaken.  T</w:t>
            </w:r>
            <w:r w:rsidRPr="00502B97">
              <w:t xml:space="preserve">hemes and areas for development </w:t>
            </w:r>
            <w:r>
              <w:t>from S</w:t>
            </w:r>
            <w:r w:rsidRPr="00502B97">
              <w:t xml:space="preserve">42 </w:t>
            </w:r>
            <w:r>
              <w:t>audits reported to the Board in June and December. Board to take required actions to address areas of identified concerns across partner agencies.</w:t>
            </w:r>
          </w:p>
          <w:p w:rsidR="000D039A" w:rsidRDefault="000D039A" w:rsidP="00FA6F76">
            <w:pPr>
              <w:spacing w:after="0" w:line="240" w:lineRule="auto"/>
            </w:pPr>
          </w:p>
          <w:p w:rsidR="000D039A" w:rsidRDefault="000D039A" w:rsidP="00FA6F76">
            <w:pPr>
              <w:spacing w:after="0" w:line="240" w:lineRule="auto"/>
            </w:pPr>
            <w:r w:rsidRPr="008E7E3B">
              <w:t>Audit sample of cases against the MCA code of practice.</w:t>
            </w:r>
            <w:r>
              <w:t xml:space="preserve"> </w:t>
            </w:r>
          </w:p>
          <w:p w:rsidR="000D039A" w:rsidRDefault="000D039A" w:rsidP="00FA6F76">
            <w:pPr>
              <w:spacing w:after="0" w:line="240" w:lineRule="auto"/>
            </w:pPr>
          </w:p>
        </w:tc>
        <w:tc>
          <w:tcPr>
            <w:tcW w:w="2268" w:type="dxa"/>
            <w:shd w:val="clear" w:color="auto" w:fill="auto"/>
          </w:tcPr>
          <w:p w:rsidR="000D039A" w:rsidRDefault="000D039A" w:rsidP="00FA6F76">
            <w:r w:rsidRPr="00BE31B9">
              <w:t xml:space="preserve">Effectiveness Subgroup </w:t>
            </w:r>
          </w:p>
        </w:tc>
        <w:tc>
          <w:tcPr>
            <w:tcW w:w="1985" w:type="dxa"/>
            <w:shd w:val="clear" w:color="auto" w:fill="FFFFFF" w:themeFill="background1"/>
          </w:tcPr>
          <w:p w:rsidR="000D039A" w:rsidRPr="00AC7C1A" w:rsidRDefault="000D039A" w:rsidP="00FA6F76">
            <w:r>
              <w:t>May and November 2016</w:t>
            </w:r>
          </w:p>
        </w:tc>
        <w:tc>
          <w:tcPr>
            <w:tcW w:w="3752" w:type="dxa"/>
            <w:shd w:val="clear" w:color="auto" w:fill="auto"/>
          </w:tcPr>
          <w:p w:rsidR="000D039A" w:rsidRPr="00AC7C1A" w:rsidRDefault="000D039A" w:rsidP="00FA6F76">
            <w:r>
              <w:t xml:space="preserve">Baseline established in May and areas for improvement identified; second audit in November evidences improvements in results of </w:t>
            </w:r>
            <w:r w:rsidRPr="00502B97">
              <w:t>S42</w:t>
            </w:r>
            <w:r>
              <w:t xml:space="preserve"> case file audits outcomes. </w:t>
            </w:r>
          </w:p>
        </w:tc>
      </w:tr>
      <w:tr w:rsidR="000D039A" w:rsidRPr="00AC7C1A" w:rsidTr="000D039A">
        <w:tc>
          <w:tcPr>
            <w:tcW w:w="2802" w:type="dxa"/>
            <w:vMerge/>
            <w:shd w:val="clear" w:color="auto" w:fill="auto"/>
          </w:tcPr>
          <w:p w:rsidR="000D039A" w:rsidRDefault="000D039A" w:rsidP="00FA6F76"/>
        </w:tc>
        <w:tc>
          <w:tcPr>
            <w:tcW w:w="4819" w:type="dxa"/>
            <w:shd w:val="clear" w:color="auto" w:fill="auto"/>
          </w:tcPr>
          <w:p w:rsidR="000D039A" w:rsidRDefault="000D039A" w:rsidP="00FA6F76">
            <w:pPr>
              <w:spacing w:after="0" w:line="240" w:lineRule="auto"/>
            </w:pPr>
            <w:r>
              <w:t>b) Undertake and publish multi-agency thematic reviews</w:t>
            </w:r>
            <w:r w:rsidRPr="000E11F9">
              <w:t>.</w:t>
            </w:r>
          </w:p>
          <w:p w:rsidR="000D039A" w:rsidRDefault="000D039A" w:rsidP="00FA6F76">
            <w:pPr>
              <w:spacing w:after="0" w:line="240" w:lineRule="auto"/>
            </w:pPr>
          </w:p>
        </w:tc>
        <w:tc>
          <w:tcPr>
            <w:tcW w:w="2268" w:type="dxa"/>
            <w:shd w:val="clear" w:color="auto" w:fill="auto"/>
          </w:tcPr>
          <w:p w:rsidR="000D039A" w:rsidRDefault="000D039A" w:rsidP="00FA6F76">
            <w:r w:rsidRPr="00BE31B9">
              <w:t xml:space="preserve">Effectiveness Subgroup </w:t>
            </w:r>
          </w:p>
        </w:tc>
        <w:tc>
          <w:tcPr>
            <w:tcW w:w="1985" w:type="dxa"/>
            <w:shd w:val="clear" w:color="auto" w:fill="auto"/>
          </w:tcPr>
          <w:p w:rsidR="000D039A" w:rsidRPr="00AC7C1A" w:rsidRDefault="000D039A" w:rsidP="00FA6F76">
            <w:r>
              <w:t>February 2017</w:t>
            </w:r>
          </w:p>
        </w:tc>
        <w:tc>
          <w:tcPr>
            <w:tcW w:w="3752" w:type="dxa"/>
            <w:shd w:val="clear" w:color="auto" w:fill="auto"/>
          </w:tcPr>
          <w:p w:rsidR="000D039A" w:rsidRPr="00AC7C1A" w:rsidRDefault="000D039A" w:rsidP="00FA6F76">
            <w:r>
              <w:t>Results of thematic reviews are published and areas for development are identified for the Board to take appropriate action.</w:t>
            </w:r>
          </w:p>
        </w:tc>
      </w:tr>
      <w:tr w:rsidR="000D039A" w:rsidRPr="00AC7C1A" w:rsidTr="000D039A">
        <w:tc>
          <w:tcPr>
            <w:tcW w:w="2802" w:type="dxa"/>
            <w:vMerge w:val="restart"/>
            <w:shd w:val="clear" w:color="auto" w:fill="auto"/>
          </w:tcPr>
          <w:p w:rsidR="000D039A" w:rsidRPr="008E7E3B" w:rsidRDefault="000D039A" w:rsidP="00FA6F76">
            <w:r w:rsidRPr="008E7E3B">
              <w:t>4.</w:t>
            </w:r>
            <w:r>
              <w:t xml:space="preserve">2 </w:t>
            </w:r>
            <w:r w:rsidRPr="008E7E3B">
              <w:t>Service user feedback indicates that clients’ desired outcomes are met, in line with MSP and the well-being principle.</w:t>
            </w:r>
          </w:p>
        </w:tc>
        <w:tc>
          <w:tcPr>
            <w:tcW w:w="4819" w:type="dxa"/>
            <w:shd w:val="clear" w:color="auto" w:fill="auto"/>
          </w:tcPr>
          <w:p w:rsidR="000D039A" w:rsidRPr="008E7E3B" w:rsidRDefault="000D039A" w:rsidP="00FA6F76">
            <w:pPr>
              <w:spacing w:after="0" w:line="240" w:lineRule="auto"/>
            </w:pPr>
            <w:r>
              <w:t xml:space="preserve">a) </w:t>
            </w:r>
            <w:r w:rsidRPr="008E7E3B">
              <w:t>Develop processes to ensure service user feedback is collected and understood.</w:t>
            </w:r>
          </w:p>
          <w:p w:rsidR="000D039A" w:rsidRPr="008E7E3B" w:rsidRDefault="000D039A" w:rsidP="00FA6F76">
            <w:pPr>
              <w:spacing w:after="0" w:line="240" w:lineRule="auto"/>
            </w:pPr>
          </w:p>
        </w:tc>
        <w:tc>
          <w:tcPr>
            <w:tcW w:w="2268" w:type="dxa"/>
            <w:shd w:val="clear" w:color="auto" w:fill="auto"/>
          </w:tcPr>
          <w:p w:rsidR="000D039A" w:rsidRPr="00AC7C1A" w:rsidRDefault="000D039A" w:rsidP="00FA6F76">
            <w:r w:rsidRPr="00C96436">
              <w:t>Effectiveness Subgroup</w:t>
            </w:r>
          </w:p>
        </w:tc>
        <w:tc>
          <w:tcPr>
            <w:tcW w:w="1985" w:type="dxa"/>
            <w:shd w:val="clear" w:color="auto" w:fill="auto"/>
          </w:tcPr>
          <w:p w:rsidR="000D039A" w:rsidRPr="00AC7C1A" w:rsidRDefault="000D039A" w:rsidP="00FA6F76">
            <w:r>
              <w:t>September 2016</w:t>
            </w:r>
          </w:p>
        </w:tc>
        <w:tc>
          <w:tcPr>
            <w:tcW w:w="3752" w:type="dxa"/>
            <w:shd w:val="clear" w:color="auto" w:fill="auto"/>
          </w:tcPr>
          <w:p w:rsidR="000D039A" w:rsidRPr="00AC7C1A" w:rsidRDefault="000D039A" w:rsidP="00FA6F76">
            <w:r>
              <w:t>Robust, practical processes are in place across partner agencies.</w:t>
            </w:r>
          </w:p>
        </w:tc>
      </w:tr>
      <w:tr w:rsidR="000D039A" w:rsidRPr="00AC7C1A" w:rsidTr="000D039A">
        <w:tc>
          <w:tcPr>
            <w:tcW w:w="2802" w:type="dxa"/>
            <w:vMerge/>
            <w:shd w:val="clear" w:color="auto" w:fill="auto"/>
          </w:tcPr>
          <w:p w:rsidR="000D039A" w:rsidRPr="008E7E3B" w:rsidRDefault="000D039A" w:rsidP="00FA6F76"/>
        </w:tc>
        <w:tc>
          <w:tcPr>
            <w:tcW w:w="4819" w:type="dxa"/>
            <w:shd w:val="clear" w:color="auto" w:fill="auto"/>
          </w:tcPr>
          <w:p w:rsidR="000D039A" w:rsidRPr="008E7E3B" w:rsidRDefault="000D039A" w:rsidP="00FA6F76">
            <w:pPr>
              <w:spacing w:after="0" w:line="240" w:lineRule="auto"/>
            </w:pPr>
            <w:r>
              <w:t xml:space="preserve">b) </w:t>
            </w:r>
            <w:r w:rsidRPr="008E7E3B">
              <w:t>Develop mechanisms for measuring outcomes for individuals who have been through the safeguarding process.</w:t>
            </w:r>
          </w:p>
          <w:p w:rsidR="000D039A" w:rsidRPr="008E7E3B" w:rsidRDefault="000D039A" w:rsidP="00FA6F76">
            <w:pPr>
              <w:spacing w:after="0" w:line="240" w:lineRule="auto"/>
            </w:pPr>
          </w:p>
        </w:tc>
        <w:tc>
          <w:tcPr>
            <w:tcW w:w="2268" w:type="dxa"/>
            <w:shd w:val="clear" w:color="auto" w:fill="auto"/>
          </w:tcPr>
          <w:p w:rsidR="000D039A" w:rsidRDefault="000D039A" w:rsidP="00FA6F76">
            <w:r w:rsidRPr="00923D16">
              <w:t>Effectiveness Subgroup</w:t>
            </w:r>
          </w:p>
        </w:tc>
        <w:tc>
          <w:tcPr>
            <w:tcW w:w="1985" w:type="dxa"/>
            <w:shd w:val="clear" w:color="auto" w:fill="auto"/>
          </w:tcPr>
          <w:p w:rsidR="000D039A" w:rsidRPr="00AC7C1A" w:rsidRDefault="000D039A" w:rsidP="00FA6F76">
            <w:r>
              <w:t xml:space="preserve">March 2017 </w:t>
            </w:r>
          </w:p>
        </w:tc>
        <w:tc>
          <w:tcPr>
            <w:tcW w:w="3752" w:type="dxa"/>
            <w:shd w:val="clear" w:color="auto" w:fill="auto"/>
          </w:tcPr>
          <w:p w:rsidR="000D039A" w:rsidRPr="00AC7C1A" w:rsidRDefault="000D039A" w:rsidP="00FA6F76">
            <w:r>
              <w:t xml:space="preserve">Increase in number of individuals whose desired outcomes have been met as a result of the safeguarding process. </w:t>
            </w:r>
          </w:p>
        </w:tc>
      </w:tr>
      <w:tr w:rsidR="000D039A" w:rsidRPr="00AC7C1A" w:rsidTr="000D039A">
        <w:tc>
          <w:tcPr>
            <w:tcW w:w="2802" w:type="dxa"/>
            <w:shd w:val="clear" w:color="auto" w:fill="auto"/>
          </w:tcPr>
          <w:p w:rsidR="000D039A" w:rsidRPr="008E7E3B" w:rsidRDefault="000D039A" w:rsidP="00FA6F76">
            <w:r w:rsidRPr="008E7E3B">
              <w:t>4.</w:t>
            </w:r>
            <w:r>
              <w:t>3</w:t>
            </w:r>
            <w:r w:rsidRPr="008E7E3B">
              <w:t xml:space="preserve"> Involvement of advocates and IMCAs ensure person centred responses are promoted. </w:t>
            </w:r>
          </w:p>
        </w:tc>
        <w:tc>
          <w:tcPr>
            <w:tcW w:w="4819" w:type="dxa"/>
            <w:shd w:val="clear" w:color="auto" w:fill="auto"/>
          </w:tcPr>
          <w:p w:rsidR="000D039A" w:rsidRPr="008E7E3B" w:rsidRDefault="000D039A" w:rsidP="00FA6F76">
            <w:pPr>
              <w:spacing w:after="0" w:line="240" w:lineRule="auto"/>
            </w:pPr>
            <w:r w:rsidRPr="008E7E3B">
              <w:t xml:space="preserve">Identify where there is a shortfall in the use of advocates and raise staff awareness as to how and when to involve advocates. </w:t>
            </w:r>
          </w:p>
          <w:p w:rsidR="000D039A" w:rsidRPr="008E7E3B" w:rsidRDefault="000D039A" w:rsidP="00FA6F76">
            <w:pPr>
              <w:spacing w:after="0" w:line="240" w:lineRule="auto"/>
            </w:pPr>
          </w:p>
        </w:tc>
        <w:tc>
          <w:tcPr>
            <w:tcW w:w="2268" w:type="dxa"/>
            <w:shd w:val="clear" w:color="auto" w:fill="auto"/>
          </w:tcPr>
          <w:p w:rsidR="000D039A" w:rsidRPr="008E7E3B" w:rsidRDefault="000D039A" w:rsidP="00FA6F76">
            <w:r w:rsidRPr="008E7E3B">
              <w:t>Effectiveness Subgroup</w:t>
            </w:r>
          </w:p>
        </w:tc>
        <w:tc>
          <w:tcPr>
            <w:tcW w:w="1985" w:type="dxa"/>
            <w:shd w:val="clear" w:color="auto" w:fill="auto"/>
          </w:tcPr>
          <w:p w:rsidR="000D039A" w:rsidRPr="008E7E3B" w:rsidRDefault="000D039A" w:rsidP="00FA6F76">
            <w:r w:rsidRPr="008E7E3B">
              <w:t>September 2016</w:t>
            </w:r>
          </w:p>
        </w:tc>
        <w:tc>
          <w:tcPr>
            <w:tcW w:w="3752" w:type="dxa"/>
            <w:shd w:val="clear" w:color="auto" w:fill="auto"/>
          </w:tcPr>
          <w:p w:rsidR="000D039A" w:rsidRPr="008E7E3B" w:rsidRDefault="000D039A" w:rsidP="00FA6F76">
            <w:r w:rsidRPr="008E7E3B">
              <w:t>New approaches to person centred responses are promoted. Quarterly PI data indicates improvement in use of advocates.</w:t>
            </w:r>
          </w:p>
        </w:tc>
      </w:tr>
      <w:tr w:rsidR="000D039A" w:rsidRPr="00AC7C1A" w:rsidTr="000D039A">
        <w:trPr>
          <w:trHeight w:val="1217"/>
        </w:trPr>
        <w:tc>
          <w:tcPr>
            <w:tcW w:w="2802" w:type="dxa"/>
            <w:vMerge w:val="restart"/>
            <w:shd w:val="clear" w:color="auto" w:fill="auto"/>
          </w:tcPr>
          <w:p w:rsidR="000D039A" w:rsidRDefault="000D039A" w:rsidP="00FA6F76">
            <w:r w:rsidRPr="002B1D58">
              <w:t>4.</w:t>
            </w:r>
            <w:r>
              <w:t>4</w:t>
            </w:r>
            <w:r w:rsidRPr="002B1D58">
              <w:t xml:space="preserve"> The Board is assured that learning from SARs has been responded to appropriately by agencies.</w:t>
            </w:r>
          </w:p>
        </w:tc>
        <w:tc>
          <w:tcPr>
            <w:tcW w:w="4819" w:type="dxa"/>
            <w:shd w:val="clear" w:color="auto" w:fill="auto"/>
          </w:tcPr>
          <w:p w:rsidR="000D039A" w:rsidRDefault="000D039A" w:rsidP="00FA6F76">
            <w:pPr>
              <w:spacing w:after="0" w:line="240" w:lineRule="auto"/>
            </w:pPr>
            <w:r>
              <w:t>The SAR Learning Monitoring Tool is used to monitor response to findings by partner agencies upon publication of SARs.</w:t>
            </w:r>
          </w:p>
          <w:p w:rsidR="000D039A" w:rsidRDefault="000D039A" w:rsidP="00FA6F76">
            <w:pPr>
              <w:spacing w:after="0" w:line="240" w:lineRule="auto"/>
            </w:pPr>
          </w:p>
        </w:tc>
        <w:tc>
          <w:tcPr>
            <w:tcW w:w="2268" w:type="dxa"/>
            <w:shd w:val="clear" w:color="auto" w:fill="auto"/>
          </w:tcPr>
          <w:p w:rsidR="000D039A" w:rsidRDefault="000D039A" w:rsidP="00FA6F76">
            <w:r w:rsidRPr="00923D16">
              <w:t>Effectiveness Subgroup</w:t>
            </w:r>
          </w:p>
        </w:tc>
        <w:tc>
          <w:tcPr>
            <w:tcW w:w="1985" w:type="dxa"/>
            <w:shd w:val="clear" w:color="auto" w:fill="auto"/>
          </w:tcPr>
          <w:p w:rsidR="000D039A" w:rsidRPr="00AC7C1A" w:rsidRDefault="000D039A" w:rsidP="00FA6F76">
            <w:r>
              <w:t xml:space="preserve">October 2016 and ongoing </w:t>
            </w:r>
          </w:p>
        </w:tc>
        <w:tc>
          <w:tcPr>
            <w:tcW w:w="3752" w:type="dxa"/>
            <w:shd w:val="clear" w:color="auto" w:fill="auto"/>
          </w:tcPr>
          <w:p w:rsidR="000D039A" w:rsidRPr="00AC7C1A" w:rsidRDefault="000D039A" w:rsidP="00FA6F76">
            <w:r w:rsidRPr="00BA5E9C">
              <w:t>The SAR Learning Monitoring Tool</w:t>
            </w:r>
            <w:r>
              <w:t xml:space="preserve"> is completed and presented to the Board quarterly showing that l</w:t>
            </w:r>
            <w:r w:rsidRPr="00BA5E9C">
              <w:t>earning from SARs is embedded within partner agencies.</w:t>
            </w:r>
          </w:p>
        </w:tc>
      </w:tr>
      <w:tr w:rsidR="000D039A" w:rsidRPr="00AC7C1A" w:rsidTr="000D039A">
        <w:tc>
          <w:tcPr>
            <w:tcW w:w="2802" w:type="dxa"/>
            <w:vMerge/>
            <w:shd w:val="clear" w:color="auto" w:fill="auto"/>
          </w:tcPr>
          <w:p w:rsidR="000D039A" w:rsidRPr="002B1D58" w:rsidRDefault="000D039A" w:rsidP="00FA6F76"/>
        </w:tc>
        <w:tc>
          <w:tcPr>
            <w:tcW w:w="4819" w:type="dxa"/>
            <w:shd w:val="clear" w:color="auto" w:fill="auto"/>
          </w:tcPr>
          <w:p w:rsidR="000D039A" w:rsidRDefault="000D039A" w:rsidP="00FA6F76">
            <w:pPr>
              <w:spacing w:after="0" w:line="240" w:lineRule="auto"/>
            </w:pPr>
            <w:r w:rsidRPr="00BA5E9C">
              <w:t>Subgroup to receive action plan developed by the SAR Panel</w:t>
            </w:r>
            <w:r>
              <w:t>, monitor completion by partner agencies</w:t>
            </w:r>
            <w:r w:rsidRPr="00BA5E9C">
              <w:t xml:space="preserve"> and provide assurance to the Board that actions have been met.</w:t>
            </w:r>
          </w:p>
        </w:tc>
        <w:tc>
          <w:tcPr>
            <w:tcW w:w="2268" w:type="dxa"/>
            <w:shd w:val="clear" w:color="auto" w:fill="auto"/>
          </w:tcPr>
          <w:p w:rsidR="000D039A" w:rsidRPr="006F77B5" w:rsidRDefault="000D039A" w:rsidP="00FA6F76">
            <w:r w:rsidRPr="006F77B5">
              <w:t>Effectiveness Subgroup</w:t>
            </w:r>
          </w:p>
        </w:tc>
        <w:tc>
          <w:tcPr>
            <w:tcW w:w="1985" w:type="dxa"/>
            <w:shd w:val="clear" w:color="auto" w:fill="auto"/>
          </w:tcPr>
          <w:p w:rsidR="000D039A" w:rsidRDefault="000D039A" w:rsidP="00FA6F76">
            <w:r w:rsidRPr="006F77B5">
              <w:t xml:space="preserve">October </w:t>
            </w:r>
            <w:r>
              <w:t>2016 and ongoing</w:t>
            </w:r>
          </w:p>
        </w:tc>
        <w:tc>
          <w:tcPr>
            <w:tcW w:w="3752" w:type="dxa"/>
            <w:shd w:val="clear" w:color="auto" w:fill="auto"/>
          </w:tcPr>
          <w:p w:rsidR="000D039A" w:rsidRPr="00AC7C1A" w:rsidRDefault="000D039A" w:rsidP="00FA6F76">
            <w:r>
              <w:t xml:space="preserve">Learning from SARs is embedded within partner agencies. Actions are completed within identified timescales.  </w:t>
            </w:r>
          </w:p>
        </w:tc>
      </w:tr>
    </w:tbl>
    <w:p w:rsidR="002544AA" w:rsidRDefault="002544AA"/>
    <w:p w:rsidR="00164C5E" w:rsidRDefault="00164C5E" w:rsidP="00A83AD0"/>
    <w:sectPr w:rsidR="00164C5E" w:rsidSect="005533BB">
      <w:foot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7F92" w:rsidRDefault="00777F92" w:rsidP="00C20D5A">
      <w:pPr>
        <w:spacing w:after="0" w:line="240" w:lineRule="auto"/>
      </w:pPr>
      <w:r>
        <w:separator/>
      </w:r>
    </w:p>
  </w:endnote>
  <w:endnote w:type="continuationSeparator" w:id="0">
    <w:p w:rsidR="00777F92" w:rsidRDefault="00777F92" w:rsidP="00C20D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0D5A" w:rsidRDefault="00C20D5A">
    <w:pPr>
      <w:pStyle w:val="Footer"/>
    </w:pPr>
    <w:r>
      <w:t>SAB Business Plan –</w:t>
    </w:r>
    <w:r w:rsidR="000D039A">
      <w:t xml:space="preserve"> June 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7F92" w:rsidRDefault="00777F92" w:rsidP="00C20D5A">
      <w:pPr>
        <w:spacing w:after="0" w:line="240" w:lineRule="auto"/>
      </w:pPr>
      <w:r>
        <w:separator/>
      </w:r>
    </w:p>
  </w:footnote>
  <w:footnote w:type="continuationSeparator" w:id="0">
    <w:p w:rsidR="00777F92" w:rsidRDefault="00777F92" w:rsidP="00C20D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533BB"/>
    <w:rsid w:val="000000E2"/>
    <w:rsid w:val="00002BDE"/>
    <w:rsid w:val="00005021"/>
    <w:rsid w:val="0001059C"/>
    <w:rsid w:val="00012EA1"/>
    <w:rsid w:val="00016B50"/>
    <w:rsid w:val="0001711D"/>
    <w:rsid w:val="00020B20"/>
    <w:rsid w:val="000248B2"/>
    <w:rsid w:val="000250D6"/>
    <w:rsid w:val="00025E9A"/>
    <w:rsid w:val="00026F62"/>
    <w:rsid w:val="00030825"/>
    <w:rsid w:val="000346E3"/>
    <w:rsid w:val="00035B73"/>
    <w:rsid w:val="00045C9D"/>
    <w:rsid w:val="0005405B"/>
    <w:rsid w:val="00062252"/>
    <w:rsid w:val="000638E0"/>
    <w:rsid w:val="00077944"/>
    <w:rsid w:val="00077BE1"/>
    <w:rsid w:val="000844C6"/>
    <w:rsid w:val="0008657C"/>
    <w:rsid w:val="000A2B31"/>
    <w:rsid w:val="000A5544"/>
    <w:rsid w:val="000A5858"/>
    <w:rsid w:val="000B0C03"/>
    <w:rsid w:val="000B0C28"/>
    <w:rsid w:val="000B52C0"/>
    <w:rsid w:val="000B738F"/>
    <w:rsid w:val="000B7603"/>
    <w:rsid w:val="000C0F13"/>
    <w:rsid w:val="000C1789"/>
    <w:rsid w:val="000C4C77"/>
    <w:rsid w:val="000C5FEB"/>
    <w:rsid w:val="000C7B97"/>
    <w:rsid w:val="000D039A"/>
    <w:rsid w:val="000D740B"/>
    <w:rsid w:val="000E0B96"/>
    <w:rsid w:val="000F0196"/>
    <w:rsid w:val="000F26B9"/>
    <w:rsid w:val="000F5D8B"/>
    <w:rsid w:val="00100ACE"/>
    <w:rsid w:val="001019A4"/>
    <w:rsid w:val="00104F11"/>
    <w:rsid w:val="00112C37"/>
    <w:rsid w:val="001213D9"/>
    <w:rsid w:val="0012299C"/>
    <w:rsid w:val="00124959"/>
    <w:rsid w:val="001303BE"/>
    <w:rsid w:val="00131540"/>
    <w:rsid w:val="00133F03"/>
    <w:rsid w:val="00140DA7"/>
    <w:rsid w:val="0014163C"/>
    <w:rsid w:val="00142DA3"/>
    <w:rsid w:val="001512D0"/>
    <w:rsid w:val="00151BCE"/>
    <w:rsid w:val="001558EB"/>
    <w:rsid w:val="00162008"/>
    <w:rsid w:val="001643F7"/>
    <w:rsid w:val="00164C5E"/>
    <w:rsid w:val="001662AB"/>
    <w:rsid w:val="00172D03"/>
    <w:rsid w:val="00174263"/>
    <w:rsid w:val="001766DD"/>
    <w:rsid w:val="0018191F"/>
    <w:rsid w:val="001848AE"/>
    <w:rsid w:val="0018606D"/>
    <w:rsid w:val="00190B39"/>
    <w:rsid w:val="001912BD"/>
    <w:rsid w:val="00195D7C"/>
    <w:rsid w:val="0019650B"/>
    <w:rsid w:val="00197476"/>
    <w:rsid w:val="001B2F77"/>
    <w:rsid w:val="001C5AE3"/>
    <w:rsid w:val="001C67E8"/>
    <w:rsid w:val="001D33D9"/>
    <w:rsid w:val="001D7A26"/>
    <w:rsid w:val="001E1CA4"/>
    <w:rsid w:val="001E1F60"/>
    <w:rsid w:val="001E23B2"/>
    <w:rsid w:val="001F1BBF"/>
    <w:rsid w:val="002143FB"/>
    <w:rsid w:val="00217415"/>
    <w:rsid w:val="00224604"/>
    <w:rsid w:val="002248C5"/>
    <w:rsid w:val="00225DFD"/>
    <w:rsid w:val="00226E36"/>
    <w:rsid w:val="00237829"/>
    <w:rsid w:val="002437B5"/>
    <w:rsid w:val="00244498"/>
    <w:rsid w:val="00246C16"/>
    <w:rsid w:val="002515BE"/>
    <w:rsid w:val="002544AA"/>
    <w:rsid w:val="00254BB9"/>
    <w:rsid w:val="00260DDB"/>
    <w:rsid w:val="00261508"/>
    <w:rsid w:val="00262EAB"/>
    <w:rsid w:val="00263C0C"/>
    <w:rsid w:val="00273A97"/>
    <w:rsid w:val="002775B9"/>
    <w:rsid w:val="00277A0A"/>
    <w:rsid w:val="0028138C"/>
    <w:rsid w:val="00290114"/>
    <w:rsid w:val="002939FB"/>
    <w:rsid w:val="00293EDD"/>
    <w:rsid w:val="002A0C29"/>
    <w:rsid w:val="002A1E00"/>
    <w:rsid w:val="002A63E2"/>
    <w:rsid w:val="002B0FB5"/>
    <w:rsid w:val="002B5797"/>
    <w:rsid w:val="002B58CE"/>
    <w:rsid w:val="002B5F3D"/>
    <w:rsid w:val="002C1CF3"/>
    <w:rsid w:val="002C5441"/>
    <w:rsid w:val="002D12E5"/>
    <w:rsid w:val="002E2A40"/>
    <w:rsid w:val="002E5409"/>
    <w:rsid w:val="002E6154"/>
    <w:rsid w:val="002E698F"/>
    <w:rsid w:val="002E7CBC"/>
    <w:rsid w:val="00310BBD"/>
    <w:rsid w:val="003130F2"/>
    <w:rsid w:val="00315D27"/>
    <w:rsid w:val="00326D3E"/>
    <w:rsid w:val="00332587"/>
    <w:rsid w:val="00335891"/>
    <w:rsid w:val="0033630A"/>
    <w:rsid w:val="0034572B"/>
    <w:rsid w:val="00346F5E"/>
    <w:rsid w:val="00353449"/>
    <w:rsid w:val="003561F7"/>
    <w:rsid w:val="00361DE3"/>
    <w:rsid w:val="003666BE"/>
    <w:rsid w:val="00373BA4"/>
    <w:rsid w:val="00383EA8"/>
    <w:rsid w:val="003A04D7"/>
    <w:rsid w:val="003A52B7"/>
    <w:rsid w:val="003A5880"/>
    <w:rsid w:val="003B0C3C"/>
    <w:rsid w:val="003B4617"/>
    <w:rsid w:val="003B67BB"/>
    <w:rsid w:val="003C6A9D"/>
    <w:rsid w:val="003D417D"/>
    <w:rsid w:val="003D708F"/>
    <w:rsid w:val="003E5068"/>
    <w:rsid w:val="003F416D"/>
    <w:rsid w:val="00403EA3"/>
    <w:rsid w:val="00417407"/>
    <w:rsid w:val="00421EEC"/>
    <w:rsid w:val="00422D4F"/>
    <w:rsid w:val="004545CB"/>
    <w:rsid w:val="004704E9"/>
    <w:rsid w:val="00470CA3"/>
    <w:rsid w:val="00472F30"/>
    <w:rsid w:val="00474283"/>
    <w:rsid w:val="0047596C"/>
    <w:rsid w:val="00477855"/>
    <w:rsid w:val="0048068A"/>
    <w:rsid w:val="00480AAC"/>
    <w:rsid w:val="0048209F"/>
    <w:rsid w:val="0049138F"/>
    <w:rsid w:val="004A190A"/>
    <w:rsid w:val="004A1A57"/>
    <w:rsid w:val="004B1508"/>
    <w:rsid w:val="004B66F8"/>
    <w:rsid w:val="004D1077"/>
    <w:rsid w:val="004D7743"/>
    <w:rsid w:val="004D7CCE"/>
    <w:rsid w:val="004E7417"/>
    <w:rsid w:val="004F3339"/>
    <w:rsid w:val="004F3F40"/>
    <w:rsid w:val="004F46A9"/>
    <w:rsid w:val="00501F22"/>
    <w:rsid w:val="00505D61"/>
    <w:rsid w:val="00510076"/>
    <w:rsid w:val="0051049A"/>
    <w:rsid w:val="00512EA1"/>
    <w:rsid w:val="00520F40"/>
    <w:rsid w:val="00522C76"/>
    <w:rsid w:val="00535031"/>
    <w:rsid w:val="005352E2"/>
    <w:rsid w:val="00537E6E"/>
    <w:rsid w:val="005463D5"/>
    <w:rsid w:val="005521B4"/>
    <w:rsid w:val="005533BB"/>
    <w:rsid w:val="005534EF"/>
    <w:rsid w:val="00554321"/>
    <w:rsid w:val="00555225"/>
    <w:rsid w:val="00565B23"/>
    <w:rsid w:val="00566262"/>
    <w:rsid w:val="005729F8"/>
    <w:rsid w:val="0057674E"/>
    <w:rsid w:val="005828A0"/>
    <w:rsid w:val="00582CEF"/>
    <w:rsid w:val="005836A2"/>
    <w:rsid w:val="00584F17"/>
    <w:rsid w:val="0059020E"/>
    <w:rsid w:val="00595B52"/>
    <w:rsid w:val="005A2ECF"/>
    <w:rsid w:val="005C25EF"/>
    <w:rsid w:val="005C311D"/>
    <w:rsid w:val="005C3E69"/>
    <w:rsid w:val="005C58E3"/>
    <w:rsid w:val="005D43CF"/>
    <w:rsid w:val="005D7CAB"/>
    <w:rsid w:val="005E1AD6"/>
    <w:rsid w:val="005E3A8D"/>
    <w:rsid w:val="005E5CC1"/>
    <w:rsid w:val="005E60B4"/>
    <w:rsid w:val="005E6E33"/>
    <w:rsid w:val="005F0341"/>
    <w:rsid w:val="005F1E13"/>
    <w:rsid w:val="005F33C8"/>
    <w:rsid w:val="005F629E"/>
    <w:rsid w:val="006049A1"/>
    <w:rsid w:val="0062081B"/>
    <w:rsid w:val="006219C4"/>
    <w:rsid w:val="0063034D"/>
    <w:rsid w:val="00631E9A"/>
    <w:rsid w:val="00634C0E"/>
    <w:rsid w:val="0064426F"/>
    <w:rsid w:val="0064771E"/>
    <w:rsid w:val="0065005C"/>
    <w:rsid w:val="00656AD7"/>
    <w:rsid w:val="00656EAE"/>
    <w:rsid w:val="00661046"/>
    <w:rsid w:val="006616F0"/>
    <w:rsid w:val="00667609"/>
    <w:rsid w:val="0067264B"/>
    <w:rsid w:val="00681BA8"/>
    <w:rsid w:val="00684F5E"/>
    <w:rsid w:val="00685122"/>
    <w:rsid w:val="00692043"/>
    <w:rsid w:val="00695243"/>
    <w:rsid w:val="006953AD"/>
    <w:rsid w:val="00696FFE"/>
    <w:rsid w:val="006A02B6"/>
    <w:rsid w:val="006A0DBF"/>
    <w:rsid w:val="006B2271"/>
    <w:rsid w:val="006C2BB6"/>
    <w:rsid w:val="006C5182"/>
    <w:rsid w:val="006D0554"/>
    <w:rsid w:val="006D39E2"/>
    <w:rsid w:val="006E0CD2"/>
    <w:rsid w:val="006E3409"/>
    <w:rsid w:val="006F4137"/>
    <w:rsid w:val="006F576C"/>
    <w:rsid w:val="006F594E"/>
    <w:rsid w:val="006F6D7E"/>
    <w:rsid w:val="00703B68"/>
    <w:rsid w:val="007061DA"/>
    <w:rsid w:val="007070F8"/>
    <w:rsid w:val="00711052"/>
    <w:rsid w:val="00712609"/>
    <w:rsid w:val="00722F54"/>
    <w:rsid w:val="00727209"/>
    <w:rsid w:val="0073435E"/>
    <w:rsid w:val="00746F12"/>
    <w:rsid w:val="00762B68"/>
    <w:rsid w:val="00767DFE"/>
    <w:rsid w:val="00777F92"/>
    <w:rsid w:val="007803A1"/>
    <w:rsid w:val="00780F20"/>
    <w:rsid w:val="007834CF"/>
    <w:rsid w:val="00787408"/>
    <w:rsid w:val="007A6557"/>
    <w:rsid w:val="007B0163"/>
    <w:rsid w:val="007B2A6E"/>
    <w:rsid w:val="007B3AAD"/>
    <w:rsid w:val="007B6F6D"/>
    <w:rsid w:val="007B7B4E"/>
    <w:rsid w:val="007C7396"/>
    <w:rsid w:val="007D15FA"/>
    <w:rsid w:val="007D18CA"/>
    <w:rsid w:val="007D6220"/>
    <w:rsid w:val="007D6665"/>
    <w:rsid w:val="007D787D"/>
    <w:rsid w:val="007E15C2"/>
    <w:rsid w:val="007E1E1A"/>
    <w:rsid w:val="007E76DF"/>
    <w:rsid w:val="00814C9A"/>
    <w:rsid w:val="0082758C"/>
    <w:rsid w:val="00834BDC"/>
    <w:rsid w:val="00835863"/>
    <w:rsid w:val="008428C4"/>
    <w:rsid w:val="00845123"/>
    <w:rsid w:val="00845AC5"/>
    <w:rsid w:val="00846658"/>
    <w:rsid w:val="008534DD"/>
    <w:rsid w:val="0087067C"/>
    <w:rsid w:val="00870C55"/>
    <w:rsid w:val="00872B12"/>
    <w:rsid w:val="00876D27"/>
    <w:rsid w:val="00876E81"/>
    <w:rsid w:val="00876F1B"/>
    <w:rsid w:val="0088003F"/>
    <w:rsid w:val="00884ED1"/>
    <w:rsid w:val="0088598A"/>
    <w:rsid w:val="00895B95"/>
    <w:rsid w:val="008969BD"/>
    <w:rsid w:val="008A6CD8"/>
    <w:rsid w:val="008A7E51"/>
    <w:rsid w:val="008B0ABF"/>
    <w:rsid w:val="008B481D"/>
    <w:rsid w:val="008D295D"/>
    <w:rsid w:val="008D6FD6"/>
    <w:rsid w:val="008D79DA"/>
    <w:rsid w:val="008E4C66"/>
    <w:rsid w:val="008E59D7"/>
    <w:rsid w:val="008E7E3B"/>
    <w:rsid w:val="009008BD"/>
    <w:rsid w:val="00903AD6"/>
    <w:rsid w:val="00910BD9"/>
    <w:rsid w:val="00923023"/>
    <w:rsid w:val="0094059C"/>
    <w:rsid w:val="00942B58"/>
    <w:rsid w:val="0094635E"/>
    <w:rsid w:val="00946F95"/>
    <w:rsid w:val="00952774"/>
    <w:rsid w:val="00952EE2"/>
    <w:rsid w:val="00953D88"/>
    <w:rsid w:val="009616CE"/>
    <w:rsid w:val="00962894"/>
    <w:rsid w:val="009757A1"/>
    <w:rsid w:val="00980C7C"/>
    <w:rsid w:val="00982D1B"/>
    <w:rsid w:val="00986CF0"/>
    <w:rsid w:val="009A13AB"/>
    <w:rsid w:val="009A74CD"/>
    <w:rsid w:val="009C35F7"/>
    <w:rsid w:val="009C3EE7"/>
    <w:rsid w:val="009C5BDF"/>
    <w:rsid w:val="009C7F25"/>
    <w:rsid w:val="009D0082"/>
    <w:rsid w:val="009E3FA9"/>
    <w:rsid w:val="00A03C01"/>
    <w:rsid w:val="00A078D6"/>
    <w:rsid w:val="00A30750"/>
    <w:rsid w:val="00A366F3"/>
    <w:rsid w:val="00A42665"/>
    <w:rsid w:val="00A44A6C"/>
    <w:rsid w:val="00A46483"/>
    <w:rsid w:val="00A47A83"/>
    <w:rsid w:val="00A50918"/>
    <w:rsid w:val="00A56B7C"/>
    <w:rsid w:val="00A60C89"/>
    <w:rsid w:val="00A61B4F"/>
    <w:rsid w:val="00A65FEB"/>
    <w:rsid w:val="00A671BF"/>
    <w:rsid w:val="00A70064"/>
    <w:rsid w:val="00A75ABA"/>
    <w:rsid w:val="00A778E4"/>
    <w:rsid w:val="00A835F2"/>
    <w:rsid w:val="00A83AD0"/>
    <w:rsid w:val="00A95ADE"/>
    <w:rsid w:val="00AA1DC0"/>
    <w:rsid w:val="00AA328E"/>
    <w:rsid w:val="00AA3A95"/>
    <w:rsid w:val="00AA493E"/>
    <w:rsid w:val="00AA77B9"/>
    <w:rsid w:val="00AB35CF"/>
    <w:rsid w:val="00AB694D"/>
    <w:rsid w:val="00AC2185"/>
    <w:rsid w:val="00AC5E35"/>
    <w:rsid w:val="00AE47D4"/>
    <w:rsid w:val="00AF6D86"/>
    <w:rsid w:val="00AF6FCE"/>
    <w:rsid w:val="00B03365"/>
    <w:rsid w:val="00B158A0"/>
    <w:rsid w:val="00B2638C"/>
    <w:rsid w:val="00B335B7"/>
    <w:rsid w:val="00B75818"/>
    <w:rsid w:val="00B812F3"/>
    <w:rsid w:val="00BA2E4B"/>
    <w:rsid w:val="00BA488D"/>
    <w:rsid w:val="00BB2210"/>
    <w:rsid w:val="00BB5FAE"/>
    <w:rsid w:val="00BD6A3C"/>
    <w:rsid w:val="00BF5796"/>
    <w:rsid w:val="00BF7250"/>
    <w:rsid w:val="00C02E5C"/>
    <w:rsid w:val="00C04A7A"/>
    <w:rsid w:val="00C11A46"/>
    <w:rsid w:val="00C20D5A"/>
    <w:rsid w:val="00C313A6"/>
    <w:rsid w:val="00C3211F"/>
    <w:rsid w:val="00C333BE"/>
    <w:rsid w:val="00C401E6"/>
    <w:rsid w:val="00C45F37"/>
    <w:rsid w:val="00C462F5"/>
    <w:rsid w:val="00C55CB3"/>
    <w:rsid w:val="00C56306"/>
    <w:rsid w:val="00C575FF"/>
    <w:rsid w:val="00C63384"/>
    <w:rsid w:val="00C71590"/>
    <w:rsid w:val="00C737B2"/>
    <w:rsid w:val="00C7425E"/>
    <w:rsid w:val="00C755FF"/>
    <w:rsid w:val="00C762DE"/>
    <w:rsid w:val="00C77A51"/>
    <w:rsid w:val="00C77F18"/>
    <w:rsid w:val="00C8213D"/>
    <w:rsid w:val="00C82D0F"/>
    <w:rsid w:val="00C83474"/>
    <w:rsid w:val="00C906F8"/>
    <w:rsid w:val="00C967D2"/>
    <w:rsid w:val="00CA1389"/>
    <w:rsid w:val="00CA1F34"/>
    <w:rsid w:val="00CA28E7"/>
    <w:rsid w:val="00CB3CF3"/>
    <w:rsid w:val="00CB69FC"/>
    <w:rsid w:val="00CC3231"/>
    <w:rsid w:val="00CD232E"/>
    <w:rsid w:val="00CD7169"/>
    <w:rsid w:val="00CF1D16"/>
    <w:rsid w:val="00CF2185"/>
    <w:rsid w:val="00D018D2"/>
    <w:rsid w:val="00D10A96"/>
    <w:rsid w:val="00D17505"/>
    <w:rsid w:val="00D32BBF"/>
    <w:rsid w:val="00D572B9"/>
    <w:rsid w:val="00D60D36"/>
    <w:rsid w:val="00D61B5B"/>
    <w:rsid w:val="00D61D3E"/>
    <w:rsid w:val="00D747DD"/>
    <w:rsid w:val="00D74FDA"/>
    <w:rsid w:val="00D91100"/>
    <w:rsid w:val="00D94CF9"/>
    <w:rsid w:val="00D95EEB"/>
    <w:rsid w:val="00D974F5"/>
    <w:rsid w:val="00DA2F85"/>
    <w:rsid w:val="00DA6949"/>
    <w:rsid w:val="00DB134B"/>
    <w:rsid w:val="00DC1AD3"/>
    <w:rsid w:val="00DC4524"/>
    <w:rsid w:val="00DC6EBB"/>
    <w:rsid w:val="00DD11C6"/>
    <w:rsid w:val="00DD26F2"/>
    <w:rsid w:val="00DD3364"/>
    <w:rsid w:val="00DD3981"/>
    <w:rsid w:val="00DE1D77"/>
    <w:rsid w:val="00DF6213"/>
    <w:rsid w:val="00DF7FB8"/>
    <w:rsid w:val="00E04C89"/>
    <w:rsid w:val="00E061BF"/>
    <w:rsid w:val="00E235BD"/>
    <w:rsid w:val="00E31FFB"/>
    <w:rsid w:val="00E33AF8"/>
    <w:rsid w:val="00E41A7A"/>
    <w:rsid w:val="00E575FE"/>
    <w:rsid w:val="00E760BA"/>
    <w:rsid w:val="00E818E1"/>
    <w:rsid w:val="00E917E3"/>
    <w:rsid w:val="00E918DB"/>
    <w:rsid w:val="00EA15F6"/>
    <w:rsid w:val="00EA2F9C"/>
    <w:rsid w:val="00EA3A7E"/>
    <w:rsid w:val="00EB00CF"/>
    <w:rsid w:val="00EB1494"/>
    <w:rsid w:val="00EB36C5"/>
    <w:rsid w:val="00EC23F8"/>
    <w:rsid w:val="00EC5095"/>
    <w:rsid w:val="00EC661D"/>
    <w:rsid w:val="00ED2BFF"/>
    <w:rsid w:val="00EF64A9"/>
    <w:rsid w:val="00EF7E7D"/>
    <w:rsid w:val="00F0799A"/>
    <w:rsid w:val="00F11A43"/>
    <w:rsid w:val="00F15BBB"/>
    <w:rsid w:val="00F171E1"/>
    <w:rsid w:val="00F178DF"/>
    <w:rsid w:val="00F220D2"/>
    <w:rsid w:val="00F44843"/>
    <w:rsid w:val="00F53336"/>
    <w:rsid w:val="00F65CC7"/>
    <w:rsid w:val="00F74935"/>
    <w:rsid w:val="00F77ABD"/>
    <w:rsid w:val="00F804DF"/>
    <w:rsid w:val="00F833CB"/>
    <w:rsid w:val="00FA4DD3"/>
    <w:rsid w:val="00FA6F76"/>
    <w:rsid w:val="00FB09E8"/>
    <w:rsid w:val="00FB7E0F"/>
    <w:rsid w:val="00FC0410"/>
    <w:rsid w:val="00FC7123"/>
    <w:rsid w:val="00FD36A2"/>
    <w:rsid w:val="00FD3F8B"/>
    <w:rsid w:val="00FE1083"/>
    <w:rsid w:val="00FF29B3"/>
    <w:rsid w:val="00FF6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4C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4C5E"/>
    <w:pPr>
      <w:spacing w:after="160" w:line="259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0D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D5A"/>
  </w:style>
  <w:style w:type="paragraph" w:styleId="Footer">
    <w:name w:val="footer"/>
    <w:basedOn w:val="Normal"/>
    <w:link w:val="FooterChar"/>
    <w:uiPriority w:val="99"/>
    <w:unhideWhenUsed/>
    <w:rsid w:val="00C20D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D5A"/>
  </w:style>
  <w:style w:type="paragraph" w:styleId="BalloonText">
    <w:name w:val="Balloon Text"/>
    <w:basedOn w:val="Normal"/>
    <w:link w:val="BalloonTextChar"/>
    <w:uiPriority w:val="99"/>
    <w:semiHidden/>
    <w:unhideWhenUsed/>
    <w:rsid w:val="00C20D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D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412A69-2109-4C2D-9BCF-C8C166911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1413</Words>
  <Characters>8058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Reading Borough Council</Company>
  <LinksUpToDate>false</LinksUpToDate>
  <CharactersWithSpaces>9453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Madden, Natalie</dc:creator>
  <cp:lastModifiedBy>Madden, Natalie</cp:lastModifiedBy>
  <cp:revision>2</cp:revision>
  <dcterms:created xsi:type="dcterms:W3CDTF">2016-06-29T12:21:00Z</dcterms:created>
  <dcterms:modified xsi:type="dcterms:W3CDTF">2016-06-29T12:21:00Z</dcterms:modified>
</cp:coreProperties>
</file>