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C09" w:rsidRPr="00BA4F73" w:rsidRDefault="00602DBC" w:rsidP="000731B8">
      <w:pPr>
        <w:pStyle w:val="Heading1"/>
        <w:rPr>
          <w:rFonts w:asciiTheme="minorHAnsi" w:hAnsiTheme="minorHAnsi" w:cs="Arial"/>
          <w:color w:val="000000" w:themeColor="text1"/>
          <w:szCs w:val="24"/>
          <w:u w:val="single"/>
        </w:rPr>
      </w:pPr>
      <w:r w:rsidRPr="00BA4F73">
        <w:rPr>
          <w:rFonts w:asciiTheme="minorHAnsi" w:hAnsiTheme="minorHAnsi" w:cs="Arial"/>
          <w:color w:val="000000" w:themeColor="text1"/>
          <w:szCs w:val="24"/>
          <w:u w:val="single"/>
        </w:rPr>
        <w:t xml:space="preserve">Reading </w:t>
      </w:r>
      <w:bookmarkStart w:id="0" w:name="_GoBack"/>
      <w:bookmarkEnd w:id="0"/>
      <w:r w:rsidR="008A5AC0" w:rsidRPr="00BA4F73">
        <w:rPr>
          <w:rFonts w:asciiTheme="minorHAnsi" w:hAnsiTheme="minorHAnsi" w:cs="Arial"/>
          <w:color w:val="000000" w:themeColor="text1"/>
          <w:szCs w:val="24"/>
          <w:u w:val="single"/>
        </w:rPr>
        <w:t>A</w:t>
      </w:r>
      <w:r w:rsidR="006D4DE3" w:rsidRPr="00BA4F73">
        <w:rPr>
          <w:rFonts w:asciiTheme="minorHAnsi" w:hAnsiTheme="minorHAnsi" w:cs="Arial"/>
          <w:color w:val="000000" w:themeColor="text1"/>
          <w:szCs w:val="24"/>
          <w:u w:val="single"/>
        </w:rPr>
        <w:t>nnual Performance Report 2015</w:t>
      </w:r>
      <w:r w:rsidR="002E5525" w:rsidRPr="00BA4F73">
        <w:rPr>
          <w:rFonts w:asciiTheme="minorHAnsi" w:hAnsiTheme="minorHAnsi" w:cs="Arial"/>
          <w:color w:val="000000" w:themeColor="text1"/>
          <w:szCs w:val="24"/>
          <w:u w:val="single"/>
        </w:rPr>
        <w:t>/</w:t>
      </w:r>
      <w:r w:rsidR="006D4DE3" w:rsidRPr="00BA4F73">
        <w:rPr>
          <w:rFonts w:asciiTheme="minorHAnsi" w:hAnsiTheme="minorHAnsi" w:cs="Arial"/>
          <w:color w:val="000000" w:themeColor="text1"/>
          <w:szCs w:val="24"/>
          <w:u w:val="single"/>
        </w:rPr>
        <w:t>16</w:t>
      </w:r>
    </w:p>
    <w:p w:rsidR="00D16317" w:rsidRPr="00BA4F73" w:rsidRDefault="00D16317" w:rsidP="000731B8">
      <w:pPr>
        <w:pStyle w:val="Heading2"/>
        <w:rPr>
          <w:rFonts w:asciiTheme="minorHAnsi" w:hAnsiTheme="minorHAnsi" w:cs="Arial"/>
          <w:b w:val="0"/>
          <w:color w:val="000000" w:themeColor="text1"/>
          <w:sz w:val="22"/>
          <w:szCs w:val="22"/>
        </w:rPr>
      </w:pPr>
      <w:r w:rsidRPr="00BA4F73">
        <w:rPr>
          <w:rFonts w:asciiTheme="minorHAnsi" w:hAnsiTheme="minorHAnsi" w:cs="Arial"/>
          <w:b w:val="0"/>
          <w:color w:val="000000" w:themeColor="text1"/>
          <w:sz w:val="22"/>
          <w:szCs w:val="22"/>
        </w:rPr>
        <w:t>The 2015-16 Safeguarding Adults Collection (SAC) records details about safeguarding activity for adults aged 18 and over in England. It includes demographic information about the adults at risk and the details of the incidents that have been alleged.</w:t>
      </w:r>
    </w:p>
    <w:p w:rsidR="00D16317" w:rsidRPr="00BA4F73" w:rsidRDefault="00D16317" w:rsidP="00D16317">
      <w:pPr>
        <w:spacing w:after="0"/>
        <w:rPr>
          <w:color w:val="000000" w:themeColor="text1"/>
        </w:rPr>
      </w:pPr>
    </w:p>
    <w:p w:rsidR="00B5129D" w:rsidRPr="00BA4F73" w:rsidRDefault="00D16317" w:rsidP="00C81EAC">
      <w:pPr>
        <w:rPr>
          <w:color w:val="000000" w:themeColor="text1"/>
        </w:rPr>
      </w:pPr>
      <w:r w:rsidRPr="00BA4F73">
        <w:rPr>
          <w:color w:val="000000" w:themeColor="text1"/>
        </w:rPr>
        <w:t xml:space="preserve">The </w:t>
      </w:r>
      <w:r w:rsidR="00B5129D" w:rsidRPr="00BA4F73">
        <w:rPr>
          <w:rFonts w:cs="Arial"/>
          <w:color w:val="000000" w:themeColor="text1"/>
        </w:rPr>
        <w:t>Safeguarding Adults Collection (</w:t>
      </w:r>
      <w:r w:rsidRPr="00BA4F73">
        <w:rPr>
          <w:color w:val="000000" w:themeColor="text1"/>
        </w:rPr>
        <w:t>SAC</w:t>
      </w:r>
      <w:r w:rsidR="00B5129D" w:rsidRPr="00BA4F73">
        <w:rPr>
          <w:color w:val="000000" w:themeColor="text1"/>
        </w:rPr>
        <w:t>)</w:t>
      </w:r>
      <w:r w:rsidRPr="00BA4F73">
        <w:rPr>
          <w:color w:val="000000" w:themeColor="text1"/>
        </w:rPr>
        <w:t xml:space="preserve"> is an updated version of the Safeguarding Adults Return (SAR) which collected</w:t>
      </w:r>
      <w:r w:rsidR="00D9449E" w:rsidRPr="00BA4F73">
        <w:rPr>
          <w:color w:val="000000" w:themeColor="text1"/>
        </w:rPr>
        <w:t xml:space="preserve"> safeguarding data for the 2013/14 and 2014/</w:t>
      </w:r>
      <w:r w:rsidRPr="00BA4F73">
        <w:rPr>
          <w:color w:val="000000" w:themeColor="text1"/>
        </w:rPr>
        <w:t>15 reporting periods so has some areas where there have been significant changes to th</w:t>
      </w:r>
      <w:r w:rsidR="00C81EAC" w:rsidRPr="00BA4F73">
        <w:rPr>
          <w:color w:val="000000" w:themeColor="text1"/>
        </w:rPr>
        <w:t>e categories of data collected.</w:t>
      </w:r>
    </w:p>
    <w:p w:rsidR="000E5F87" w:rsidRPr="00BA4F73" w:rsidRDefault="00F539C8" w:rsidP="000731B8">
      <w:pPr>
        <w:pStyle w:val="Heading2"/>
        <w:rPr>
          <w:rFonts w:asciiTheme="minorHAnsi" w:hAnsiTheme="minorHAnsi" w:cs="Arial"/>
          <w:color w:val="000000" w:themeColor="text1"/>
          <w:szCs w:val="24"/>
          <w:u w:val="single"/>
        </w:rPr>
      </w:pPr>
      <w:r w:rsidRPr="00BA4F73">
        <w:rPr>
          <w:rFonts w:asciiTheme="minorHAnsi" w:hAnsiTheme="minorHAnsi" w:cs="Arial"/>
          <w:color w:val="000000" w:themeColor="text1"/>
          <w:szCs w:val="24"/>
          <w:u w:val="single"/>
        </w:rPr>
        <w:t xml:space="preserve">Section 1 - </w:t>
      </w:r>
      <w:r w:rsidR="00E54397" w:rsidRPr="00BA4F73">
        <w:rPr>
          <w:rFonts w:asciiTheme="minorHAnsi" w:hAnsiTheme="minorHAnsi" w:cs="Arial"/>
          <w:color w:val="000000" w:themeColor="text1"/>
          <w:szCs w:val="24"/>
          <w:u w:val="single"/>
        </w:rPr>
        <w:t>Safeguarding activity</w:t>
      </w:r>
    </w:p>
    <w:p w:rsidR="00740CE3" w:rsidRPr="00BA4F73" w:rsidRDefault="000731B8" w:rsidP="001E73BB">
      <w:pPr>
        <w:pStyle w:val="Heading3"/>
        <w:rPr>
          <w:rFonts w:asciiTheme="minorHAnsi" w:hAnsiTheme="minorHAnsi" w:cs="Arial"/>
          <w:color w:val="000000" w:themeColor="text1"/>
          <w:sz w:val="24"/>
          <w:szCs w:val="24"/>
        </w:rPr>
      </w:pPr>
      <w:r w:rsidRPr="00BA4F73">
        <w:rPr>
          <w:rFonts w:asciiTheme="minorHAnsi" w:hAnsiTheme="minorHAnsi" w:cs="Arial"/>
          <w:color w:val="000000" w:themeColor="text1"/>
          <w:sz w:val="24"/>
          <w:szCs w:val="24"/>
        </w:rPr>
        <w:t>Concerns and enquiries</w:t>
      </w:r>
    </w:p>
    <w:p w:rsidR="001975CE" w:rsidRPr="00BA4F73" w:rsidRDefault="001975CE" w:rsidP="000E5F87">
      <w:pPr>
        <w:rPr>
          <w:rFonts w:cs="Times New Roman"/>
          <w:color w:val="000000" w:themeColor="text1"/>
        </w:rPr>
      </w:pPr>
      <w:r w:rsidRPr="00BA4F73">
        <w:rPr>
          <w:rFonts w:cs="Times New Roman"/>
          <w:color w:val="000000" w:themeColor="text1"/>
        </w:rPr>
        <w:t xml:space="preserve">As </w:t>
      </w:r>
      <w:r w:rsidR="00D773EE" w:rsidRPr="00BA4F73">
        <w:rPr>
          <w:rFonts w:cs="Times New Roman"/>
          <w:color w:val="000000" w:themeColor="text1"/>
        </w:rPr>
        <w:t xml:space="preserve">a result of the Care Act changes the terminology of some of the key data recorded in the Safeguarding Return </w:t>
      </w:r>
      <w:r w:rsidR="00D16317" w:rsidRPr="00BA4F73">
        <w:rPr>
          <w:rFonts w:cs="Times New Roman"/>
          <w:color w:val="000000" w:themeColor="text1"/>
        </w:rPr>
        <w:t xml:space="preserve">in its various formats </w:t>
      </w:r>
      <w:r w:rsidR="00D773EE" w:rsidRPr="00BA4F73">
        <w:rPr>
          <w:rFonts w:cs="Times New Roman"/>
          <w:color w:val="000000" w:themeColor="text1"/>
        </w:rPr>
        <w:t>has changed over the past year or so. Safeguarding Alerts are now being referred to as Concerns and Safeguarding Referrals are now known as Enquiries.</w:t>
      </w:r>
    </w:p>
    <w:p w:rsidR="00470B4D" w:rsidRPr="00BA4F73" w:rsidRDefault="00D16317" w:rsidP="000E5F87">
      <w:pPr>
        <w:rPr>
          <w:rFonts w:cs="Times New Roman"/>
          <w:color w:val="000000" w:themeColor="text1"/>
        </w:rPr>
      </w:pPr>
      <w:r w:rsidRPr="00BA4F73">
        <w:rPr>
          <w:rFonts w:cs="Times New Roman"/>
          <w:color w:val="000000" w:themeColor="text1"/>
        </w:rPr>
        <w:t>Another change made to the return as compared to last year is the mandatory requirement to collect information about ‘individuals involved in section 42 safeguarding enquiries’ which has replaced the collection of ‘individuals involved in safeguarding referrals’.</w:t>
      </w:r>
      <w:r w:rsidR="00B5129D" w:rsidRPr="00BA4F73">
        <w:rPr>
          <w:rFonts w:cs="Times New Roman"/>
          <w:color w:val="000000" w:themeColor="text1"/>
        </w:rPr>
        <w:t xml:space="preserve"> Therefore any data relating to 2015-16 contained within this report relates to s42 enquiries.</w:t>
      </w:r>
    </w:p>
    <w:p w:rsidR="00C81EAC" w:rsidRPr="00BA4F73" w:rsidRDefault="00B5129D" w:rsidP="000E5F87">
      <w:pPr>
        <w:rPr>
          <w:rFonts w:cs="Times New Roman"/>
          <w:color w:val="000000" w:themeColor="text1"/>
        </w:rPr>
      </w:pPr>
      <w:r w:rsidRPr="00BA4F73">
        <w:rPr>
          <w:rFonts w:cs="Times New Roman"/>
          <w:color w:val="000000" w:themeColor="text1"/>
        </w:rPr>
        <w:t>Table 1 shows the Safeguarding activity within Reading over the previous 3 years</w:t>
      </w:r>
      <w:r w:rsidR="00C81EAC" w:rsidRPr="00BA4F73">
        <w:rPr>
          <w:rFonts w:cs="Times New Roman"/>
          <w:color w:val="000000" w:themeColor="text1"/>
        </w:rPr>
        <w:t xml:space="preserve"> in terms of Concerns raised and Enquiries opened and the conversion rates over the same period</w:t>
      </w:r>
      <w:r w:rsidRPr="00BA4F73">
        <w:rPr>
          <w:rFonts w:cs="Times New Roman"/>
          <w:color w:val="000000" w:themeColor="text1"/>
        </w:rPr>
        <w:t xml:space="preserve">. </w:t>
      </w:r>
    </w:p>
    <w:p w:rsidR="000C07E2" w:rsidRPr="00BA4F73" w:rsidRDefault="008E7FCA" w:rsidP="000E5F87">
      <w:pPr>
        <w:rPr>
          <w:rFonts w:cs="Times New Roman"/>
          <w:color w:val="000000" w:themeColor="text1"/>
        </w:rPr>
      </w:pPr>
      <w:r w:rsidRPr="00BA4F73">
        <w:rPr>
          <w:rFonts w:cs="Times New Roman"/>
          <w:color w:val="000000" w:themeColor="text1"/>
        </w:rPr>
        <w:t>There were</w:t>
      </w:r>
      <w:r w:rsidRPr="00BA4F73">
        <w:rPr>
          <w:rFonts w:cs="Times New Roman"/>
          <w:b/>
          <w:color w:val="000000" w:themeColor="text1"/>
        </w:rPr>
        <w:t xml:space="preserve"> </w:t>
      </w:r>
      <w:r w:rsidR="00B5129D" w:rsidRPr="00BA4F73">
        <w:rPr>
          <w:rFonts w:cs="Times New Roman"/>
          <w:color w:val="000000" w:themeColor="text1"/>
        </w:rPr>
        <w:t xml:space="preserve">1075 </w:t>
      </w:r>
      <w:r w:rsidR="00D770D9" w:rsidRPr="00BA4F73">
        <w:rPr>
          <w:rFonts w:cs="Times New Roman"/>
          <w:color w:val="000000" w:themeColor="text1"/>
        </w:rPr>
        <w:t>safeguarding concerns</w:t>
      </w:r>
      <w:r w:rsidR="00115000" w:rsidRPr="00BA4F73">
        <w:rPr>
          <w:rFonts w:cs="Times New Roman"/>
          <w:color w:val="000000" w:themeColor="text1"/>
        </w:rPr>
        <w:t xml:space="preserve"> </w:t>
      </w:r>
      <w:r w:rsidR="00F539C8" w:rsidRPr="00BA4F73">
        <w:rPr>
          <w:rFonts w:cs="Times New Roman"/>
          <w:color w:val="000000" w:themeColor="text1"/>
        </w:rPr>
        <w:t>received</w:t>
      </w:r>
      <w:r w:rsidR="00FD04FE" w:rsidRPr="00BA4F73">
        <w:rPr>
          <w:rFonts w:cs="Times New Roman"/>
          <w:color w:val="000000" w:themeColor="text1"/>
        </w:rPr>
        <w:t xml:space="preserve"> </w:t>
      </w:r>
      <w:r w:rsidR="00D770D9" w:rsidRPr="00BA4F73">
        <w:rPr>
          <w:rFonts w:cs="Times New Roman"/>
          <w:color w:val="000000" w:themeColor="text1"/>
        </w:rPr>
        <w:t>in 2015</w:t>
      </w:r>
      <w:r w:rsidR="002E5525" w:rsidRPr="00BA4F73">
        <w:rPr>
          <w:rFonts w:cs="Times New Roman"/>
          <w:color w:val="000000" w:themeColor="text1"/>
        </w:rPr>
        <w:t>/</w:t>
      </w:r>
      <w:r w:rsidR="00D770D9" w:rsidRPr="00BA4F73">
        <w:rPr>
          <w:rFonts w:cs="Times New Roman"/>
          <w:color w:val="000000" w:themeColor="text1"/>
        </w:rPr>
        <w:t>16</w:t>
      </w:r>
      <w:r w:rsidR="000F6FC3" w:rsidRPr="00BA4F73">
        <w:rPr>
          <w:rFonts w:cs="Times New Roman"/>
          <w:color w:val="000000" w:themeColor="text1"/>
        </w:rPr>
        <w:t>.</w:t>
      </w:r>
      <w:r w:rsidR="00115000" w:rsidRPr="00BA4F73">
        <w:rPr>
          <w:rFonts w:cs="Times New Roman"/>
          <w:color w:val="000000" w:themeColor="text1"/>
        </w:rPr>
        <w:t xml:space="preserve"> </w:t>
      </w:r>
      <w:r w:rsidR="00F539C8" w:rsidRPr="00BA4F73">
        <w:rPr>
          <w:rFonts w:cs="Times New Roman"/>
          <w:color w:val="000000" w:themeColor="text1"/>
        </w:rPr>
        <w:t>The n</w:t>
      </w:r>
      <w:r w:rsidR="00B5129D" w:rsidRPr="00BA4F73">
        <w:rPr>
          <w:rFonts w:cs="Times New Roman"/>
          <w:color w:val="000000" w:themeColor="text1"/>
        </w:rPr>
        <w:t xml:space="preserve">umber of concerns has increased over the past </w:t>
      </w:r>
      <w:r w:rsidR="00F539C8" w:rsidRPr="00BA4F73">
        <w:rPr>
          <w:rFonts w:cs="Times New Roman"/>
          <w:color w:val="000000" w:themeColor="text1"/>
        </w:rPr>
        <w:t>couple of years</w:t>
      </w:r>
      <w:r w:rsidR="00C81EAC" w:rsidRPr="00BA4F73">
        <w:rPr>
          <w:rFonts w:cs="Times New Roman"/>
          <w:color w:val="000000" w:themeColor="text1"/>
        </w:rPr>
        <w:t xml:space="preserve"> with a </w:t>
      </w:r>
      <w:r w:rsidR="00B5129D" w:rsidRPr="00BA4F73">
        <w:rPr>
          <w:rFonts w:cs="Times New Roman"/>
          <w:color w:val="000000" w:themeColor="text1"/>
        </w:rPr>
        <w:t xml:space="preserve">large increase </w:t>
      </w:r>
      <w:r w:rsidR="00C81EAC" w:rsidRPr="00BA4F73">
        <w:rPr>
          <w:rFonts w:cs="Times New Roman"/>
          <w:color w:val="000000" w:themeColor="text1"/>
        </w:rPr>
        <w:t xml:space="preserve">of 373 </w:t>
      </w:r>
      <w:r w:rsidR="00B5129D" w:rsidRPr="00BA4F73">
        <w:rPr>
          <w:rFonts w:cs="Times New Roman"/>
          <w:color w:val="000000" w:themeColor="text1"/>
        </w:rPr>
        <w:t xml:space="preserve">over the previous year </w:t>
      </w:r>
      <w:r w:rsidR="00C81EAC" w:rsidRPr="00BA4F73">
        <w:rPr>
          <w:rFonts w:cs="Times New Roman"/>
          <w:color w:val="000000" w:themeColor="text1"/>
        </w:rPr>
        <w:t>(</w:t>
      </w:r>
      <w:r w:rsidR="00B5129D" w:rsidRPr="00BA4F73">
        <w:rPr>
          <w:rFonts w:cs="Times New Roman"/>
          <w:color w:val="000000" w:themeColor="text1"/>
        </w:rPr>
        <w:t>from 702 in 2014-15</w:t>
      </w:r>
      <w:r w:rsidR="00C81EAC" w:rsidRPr="00BA4F73">
        <w:rPr>
          <w:rFonts w:cs="Times New Roman"/>
          <w:color w:val="000000" w:themeColor="text1"/>
        </w:rPr>
        <w:t>)</w:t>
      </w:r>
      <w:r w:rsidR="00B5129D" w:rsidRPr="00BA4F73">
        <w:rPr>
          <w:rFonts w:cs="Times New Roman"/>
          <w:color w:val="000000" w:themeColor="text1"/>
        </w:rPr>
        <w:t xml:space="preserve"> which demonstrates the work being carried out in the authority to highlight the importance of recording safeguarding incidents</w:t>
      </w:r>
      <w:r w:rsidR="00F539C8" w:rsidRPr="00BA4F73">
        <w:rPr>
          <w:rFonts w:cs="Times New Roman"/>
          <w:color w:val="000000" w:themeColor="text1"/>
        </w:rPr>
        <w:t>.</w:t>
      </w:r>
      <w:r w:rsidR="001553F6" w:rsidRPr="00BA4F73">
        <w:rPr>
          <w:rFonts w:cs="Times New Roman"/>
          <w:color w:val="000000" w:themeColor="text1"/>
        </w:rPr>
        <w:t xml:space="preserve"> </w:t>
      </w:r>
    </w:p>
    <w:p w:rsidR="00B5129D" w:rsidRPr="00BA4F73" w:rsidRDefault="00B5129D" w:rsidP="00C81EAC">
      <w:pPr>
        <w:rPr>
          <w:rFonts w:cs="Times New Roman"/>
          <w:color w:val="000000" w:themeColor="text1"/>
        </w:rPr>
      </w:pPr>
      <w:r w:rsidRPr="00BA4F73">
        <w:rPr>
          <w:rFonts w:cs="Times New Roman"/>
          <w:color w:val="000000" w:themeColor="text1"/>
        </w:rPr>
        <w:t>538 s</w:t>
      </w:r>
      <w:r w:rsidR="00902349" w:rsidRPr="00BA4F73">
        <w:rPr>
          <w:rFonts w:cs="Times New Roman"/>
          <w:color w:val="000000" w:themeColor="text1"/>
        </w:rPr>
        <w:t>42 enquiries were opened during 2015</w:t>
      </w:r>
      <w:r w:rsidR="002E5525" w:rsidRPr="00BA4F73">
        <w:rPr>
          <w:rFonts w:cs="Times New Roman"/>
          <w:color w:val="000000" w:themeColor="text1"/>
        </w:rPr>
        <w:t>/</w:t>
      </w:r>
      <w:r w:rsidR="00902349" w:rsidRPr="00BA4F73">
        <w:rPr>
          <w:rFonts w:cs="Times New Roman"/>
          <w:color w:val="000000" w:themeColor="text1"/>
        </w:rPr>
        <w:t xml:space="preserve">16, </w:t>
      </w:r>
      <w:r w:rsidR="00F539C8" w:rsidRPr="00BA4F73">
        <w:rPr>
          <w:rFonts w:cs="Times New Roman"/>
          <w:color w:val="000000" w:themeColor="text1"/>
        </w:rPr>
        <w:t>with a conversion rate fr</w:t>
      </w:r>
      <w:r w:rsidR="00602DBC" w:rsidRPr="00BA4F73">
        <w:rPr>
          <w:rFonts w:cs="Times New Roman"/>
          <w:color w:val="000000" w:themeColor="text1"/>
        </w:rPr>
        <w:t xml:space="preserve">om concern to s42 enquiry of </w:t>
      </w:r>
      <w:r w:rsidRPr="00BA4F73">
        <w:rPr>
          <w:rFonts w:cs="Times New Roman"/>
          <w:color w:val="000000" w:themeColor="text1"/>
        </w:rPr>
        <w:t>50</w:t>
      </w:r>
      <w:r w:rsidR="00F539C8" w:rsidRPr="00BA4F73">
        <w:rPr>
          <w:rFonts w:cs="Times New Roman"/>
          <w:color w:val="000000" w:themeColor="text1"/>
        </w:rPr>
        <w:t>%</w:t>
      </w:r>
      <w:r w:rsidRPr="00BA4F73">
        <w:rPr>
          <w:rFonts w:cs="Times New Roman"/>
          <w:color w:val="000000" w:themeColor="text1"/>
        </w:rPr>
        <w:t xml:space="preserve"> which is still slightly higher than the national average of around 40%</w:t>
      </w:r>
      <w:r w:rsidR="00902349" w:rsidRPr="00BA4F73">
        <w:rPr>
          <w:rFonts w:cs="Times New Roman"/>
          <w:color w:val="000000" w:themeColor="text1"/>
        </w:rPr>
        <w:t>.</w:t>
      </w:r>
      <w:r w:rsidR="00186055" w:rsidRPr="00BA4F73">
        <w:rPr>
          <w:rFonts w:cs="Times New Roman"/>
          <w:color w:val="000000" w:themeColor="text1"/>
        </w:rPr>
        <w:t xml:space="preserve"> </w:t>
      </w:r>
      <w:r w:rsidRPr="00BA4F73">
        <w:rPr>
          <w:rFonts w:cs="Times New Roman"/>
          <w:color w:val="000000" w:themeColor="text1"/>
        </w:rPr>
        <w:t xml:space="preserve"> This is however a decrease </w:t>
      </w:r>
      <w:r w:rsidR="00A43A7B" w:rsidRPr="00BA4F73">
        <w:rPr>
          <w:rFonts w:cs="Times New Roman"/>
          <w:color w:val="000000" w:themeColor="text1"/>
        </w:rPr>
        <w:t>on previous years</w:t>
      </w:r>
      <w:r w:rsidRPr="00BA4F73">
        <w:rPr>
          <w:rFonts w:cs="Times New Roman"/>
          <w:color w:val="000000" w:themeColor="text1"/>
        </w:rPr>
        <w:t xml:space="preserve"> which had seen conversion rates of aroun</w:t>
      </w:r>
      <w:r w:rsidR="00C81EAC" w:rsidRPr="00BA4F73">
        <w:rPr>
          <w:rFonts w:cs="Times New Roman"/>
          <w:color w:val="000000" w:themeColor="text1"/>
        </w:rPr>
        <w:t>d 75%</w:t>
      </w:r>
      <w:r w:rsidR="00A43A7B" w:rsidRPr="00BA4F73">
        <w:rPr>
          <w:rFonts w:cs="Times New Roman"/>
          <w:color w:val="000000" w:themeColor="text1"/>
        </w:rPr>
        <w:t>.</w:t>
      </w:r>
      <w:r w:rsidRPr="00BA4F73">
        <w:rPr>
          <w:rFonts w:cs="Times New Roman"/>
          <w:color w:val="000000" w:themeColor="text1"/>
        </w:rPr>
        <w:t xml:space="preserve"> This demonstrates a positive shift away from the Risk Averse outlook the authority had shown historically.</w:t>
      </w:r>
    </w:p>
    <w:p w:rsidR="00C81EAC" w:rsidRPr="00BA4F73" w:rsidRDefault="00C81EAC" w:rsidP="00C81EAC">
      <w:pPr>
        <w:rPr>
          <w:rFonts w:cs="Times New Roman"/>
          <w:color w:val="000000" w:themeColor="text1"/>
        </w:rPr>
      </w:pPr>
      <w:r w:rsidRPr="00BA4F73">
        <w:rPr>
          <w:rFonts w:cs="Times New Roman"/>
          <w:color w:val="000000" w:themeColor="text1"/>
        </w:rPr>
        <w:t>There were 511 individuals who had a</w:t>
      </w:r>
      <w:r w:rsidR="00D9449E" w:rsidRPr="00BA4F73">
        <w:rPr>
          <w:rFonts w:cs="Times New Roman"/>
          <w:color w:val="000000" w:themeColor="text1"/>
        </w:rPr>
        <w:t xml:space="preserve"> s42 enquiry opened during 2015/</w:t>
      </w:r>
      <w:r w:rsidRPr="00BA4F73">
        <w:rPr>
          <w:rFonts w:cs="Times New Roman"/>
          <w:color w:val="000000" w:themeColor="text1"/>
        </w:rPr>
        <w:t xml:space="preserve">16 which is an increase of 36 </w:t>
      </w:r>
      <w:r w:rsidR="00D9449E" w:rsidRPr="00BA4F73">
        <w:rPr>
          <w:rFonts w:cs="Times New Roman"/>
          <w:color w:val="000000" w:themeColor="text1"/>
        </w:rPr>
        <w:t>which is a 7.6% rise since 2014/</w:t>
      </w:r>
      <w:r w:rsidRPr="00BA4F73">
        <w:rPr>
          <w:rFonts w:cs="Times New Roman"/>
          <w:color w:val="000000" w:themeColor="text1"/>
        </w:rPr>
        <w:t>15.</w:t>
      </w:r>
    </w:p>
    <w:p w:rsidR="005D7BF1" w:rsidRPr="00BA4F73" w:rsidRDefault="005D7BF1" w:rsidP="005D7BF1">
      <w:pPr>
        <w:pStyle w:val="Caption"/>
        <w:keepNext/>
        <w:rPr>
          <w:rFonts w:cs="Arial"/>
          <w:color w:val="000000" w:themeColor="text1"/>
          <w:sz w:val="22"/>
          <w:szCs w:val="22"/>
        </w:rPr>
      </w:pPr>
      <w:r w:rsidRPr="00BA4F73">
        <w:rPr>
          <w:rFonts w:cs="Arial"/>
          <w:color w:val="000000" w:themeColor="text1"/>
          <w:sz w:val="22"/>
          <w:szCs w:val="22"/>
        </w:rPr>
        <w:t xml:space="preserve">Table </w:t>
      </w:r>
      <w:r w:rsidR="004765E2" w:rsidRPr="00BA4F73">
        <w:rPr>
          <w:rFonts w:cs="Arial"/>
          <w:color w:val="000000" w:themeColor="text1"/>
          <w:sz w:val="22"/>
          <w:szCs w:val="22"/>
        </w:rPr>
        <w:fldChar w:fldCharType="begin"/>
      </w:r>
      <w:r w:rsidRPr="00BA4F73">
        <w:rPr>
          <w:rFonts w:cs="Arial"/>
          <w:color w:val="000000" w:themeColor="text1"/>
          <w:sz w:val="22"/>
          <w:szCs w:val="22"/>
        </w:rPr>
        <w:instrText xml:space="preserve"> SEQ Table \* ARABIC </w:instrText>
      </w:r>
      <w:r w:rsidR="004765E2" w:rsidRPr="00BA4F73">
        <w:rPr>
          <w:rFonts w:cs="Arial"/>
          <w:color w:val="000000" w:themeColor="text1"/>
          <w:sz w:val="22"/>
          <w:szCs w:val="22"/>
        </w:rPr>
        <w:fldChar w:fldCharType="separate"/>
      </w:r>
      <w:r w:rsidR="00701957" w:rsidRPr="00BA4F73">
        <w:rPr>
          <w:rFonts w:cs="Arial"/>
          <w:noProof/>
          <w:color w:val="000000" w:themeColor="text1"/>
          <w:sz w:val="22"/>
          <w:szCs w:val="22"/>
        </w:rPr>
        <w:t>1</w:t>
      </w:r>
      <w:r w:rsidR="004765E2" w:rsidRPr="00BA4F73">
        <w:rPr>
          <w:rFonts w:cs="Arial"/>
          <w:color w:val="000000" w:themeColor="text1"/>
          <w:sz w:val="22"/>
          <w:szCs w:val="22"/>
        </w:rPr>
        <w:fldChar w:fldCharType="end"/>
      </w:r>
      <w:r w:rsidR="00186055" w:rsidRPr="00BA4F73">
        <w:rPr>
          <w:rFonts w:cs="Arial"/>
          <w:color w:val="000000" w:themeColor="text1"/>
          <w:sz w:val="22"/>
          <w:szCs w:val="22"/>
        </w:rPr>
        <w:t xml:space="preserve"> – Safeguarding activity for the reporting period</w:t>
      </w:r>
      <w:r w:rsidRPr="00BA4F73">
        <w:rPr>
          <w:rFonts w:cs="Arial"/>
          <w:color w:val="000000" w:themeColor="text1"/>
          <w:sz w:val="22"/>
          <w:szCs w:val="22"/>
        </w:rPr>
        <w:t xml:space="preserve"> 2014-16</w:t>
      </w:r>
    </w:p>
    <w:tbl>
      <w:tblPr>
        <w:tblW w:w="4968" w:type="pct"/>
        <w:tblLook w:val="04A0" w:firstRow="1" w:lastRow="0" w:firstColumn="1" w:lastColumn="0" w:noHBand="0" w:noVBand="1"/>
      </w:tblPr>
      <w:tblGrid>
        <w:gridCol w:w="2160"/>
        <w:gridCol w:w="1115"/>
        <w:gridCol w:w="1559"/>
        <w:gridCol w:w="2643"/>
        <w:gridCol w:w="1706"/>
      </w:tblGrid>
      <w:tr w:rsidR="001F1AC4" w:rsidRPr="00BA4F73" w:rsidTr="00C81EAC">
        <w:trPr>
          <w:trHeight w:val="1108"/>
        </w:trPr>
        <w:tc>
          <w:tcPr>
            <w:tcW w:w="1176"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Year</w:t>
            </w:r>
          </w:p>
        </w:tc>
        <w:tc>
          <w:tcPr>
            <w:tcW w:w="607" w:type="pct"/>
            <w:tcBorders>
              <w:top w:val="single" w:sz="8" w:space="0" w:color="auto"/>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Alerts / Concerns received</w:t>
            </w:r>
          </w:p>
        </w:tc>
        <w:tc>
          <w:tcPr>
            <w:tcW w:w="849" w:type="pct"/>
            <w:tcBorders>
              <w:top w:val="single" w:sz="8" w:space="0" w:color="auto"/>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Safeguarding referrals / s42 enquiries</w:t>
            </w:r>
          </w:p>
        </w:tc>
        <w:tc>
          <w:tcPr>
            <w:tcW w:w="1439" w:type="pct"/>
            <w:tcBorders>
              <w:top w:val="single" w:sz="8" w:space="0" w:color="auto"/>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Individuals who had safeguarding referral / s42 enquiry</w:t>
            </w:r>
          </w:p>
        </w:tc>
        <w:tc>
          <w:tcPr>
            <w:tcW w:w="929" w:type="pct"/>
            <w:tcBorders>
              <w:top w:val="single" w:sz="8" w:space="0" w:color="auto"/>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Conversion rate of concern to s42 enquiry</w:t>
            </w:r>
          </w:p>
        </w:tc>
      </w:tr>
      <w:tr w:rsidR="00080665" w:rsidRPr="00BA4F73" w:rsidTr="00080665">
        <w:trPr>
          <w:trHeight w:val="434"/>
        </w:trPr>
        <w:tc>
          <w:tcPr>
            <w:tcW w:w="1176" w:type="pct"/>
            <w:tcBorders>
              <w:top w:val="nil"/>
              <w:left w:val="single" w:sz="8" w:space="0" w:color="auto"/>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201</w:t>
            </w:r>
            <w:r w:rsidR="00D9449E" w:rsidRPr="00BA4F73">
              <w:rPr>
                <w:rFonts w:eastAsia="Times New Roman" w:cs="Times New Roman"/>
                <w:color w:val="000000" w:themeColor="text1"/>
                <w:lang w:eastAsia="en-GB"/>
              </w:rPr>
              <w:t>3/</w:t>
            </w:r>
            <w:r w:rsidRPr="00BA4F73">
              <w:rPr>
                <w:rFonts w:eastAsia="Times New Roman" w:cs="Times New Roman"/>
                <w:color w:val="000000" w:themeColor="text1"/>
                <w:lang w:eastAsia="en-GB"/>
              </w:rPr>
              <w:t>14</w:t>
            </w:r>
          </w:p>
        </w:tc>
        <w:tc>
          <w:tcPr>
            <w:tcW w:w="607"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654</w:t>
            </w:r>
          </w:p>
        </w:tc>
        <w:tc>
          <w:tcPr>
            <w:tcW w:w="849"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491</w:t>
            </w:r>
          </w:p>
        </w:tc>
        <w:tc>
          <w:tcPr>
            <w:tcW w:w="1439"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410</w:t>
            </w:r>
          </w:p>
        </w:tc>
        <w:tc>
          <w:tcPr>
            <w:tcW w:w="929"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75%</w:t>
            </w:r>
          </w:p>
        </w:tc>
      </w:tr>
      <w:tr w:rsidR="00080665" w:rsidRPr="00BA4F73" w:rsidTr="00080665">
        <w:trPr>
          <w:trHeight w:val="434"/>
        </w:trPr>
        <w:tc>
          <w:tcPr>
            <w:tcW w:w="1176" w:type="pct"/>
            <w:tcBorders>
              <w:top w:val="nil"/>
              <w:left w:val="single" w:sz="8" w:space="0" w:color="auto"/>
              <w:bottom w:val="single" w:sz="8" w:space="0" w:color="auto"/>
              <w:right w:val="single" w:sz="8" w:space="0" w:color="auto"/>
            </w:tcBorders>
            <w:shd w:val="clear" w:color="auto" w:fill="auto"/>
            <w:vAlign w:val="center"/>
            <w:hideMark/>
          </w:tcPr>
          <w:p w:rsidR="00080665" w:rsidRPr="00BA4F73" w:rsidRDefault="00D9449E"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2014/</w:t>
            </w:r>
            <w:r w:rsidR="00080665" w:rsidRPr="00BA4F73">
              <w:rPr>
                <w:rFonts w:eastAsia="Times New Roman" w:cs="Times New Roman"/>
                <w:color w:val="000000" w:themeColor="text1"/>
                <w:lang w:eastAsia="en-GB"/>
              </w:rPr>
              <w:t>15</w:t>
            </w:r>
          </w:p>
        </w:tc>
        <w:tc>
          <w:tcPr>
            <w:tcW w:w="607"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702</w:t>
            </w:r>
          </w:p>
        </w:tc>
        <w:tc>
          <w:tcPr>
            <w:tcW w:w="849"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527</w:t>
            </w:r>
          </w:p>
        </w:tc>
        <w:tc>
          <w:tcPr>
            <w:tcW w:w="1439"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475</w:t>
            </w:r>
          </w:p>
        </w:tc>
        <w:tc>
          <w:tcPr>
            <w:tcW w:w="929"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75%</w:t>
            </w:r>
          </w:p>
        </w:tc>
      </w:tr>
      <w:tr w:rsidR="00080665" w:rsidRPr="00BA4F73" w:rsidTr="00080665">
        <w:trPr>
          <w:trHeight w:val="434"/>
        </w:trPr>
        <w:tc>
          <w:tcPr>
            <w:tcW w:w="1176" w:type="pct"/>
            <w:tcBorders>
              <w:top w:val="nil"/>
              <w:left w:val="single" w:sz="8" w:space="0" w:color="auto"/>
              <w:bottom w:val="single" w:sz="8" w:space="0" w:color="auto"/>
              <w:right w:val="single" w:sz="8" w:space="0" w:color="auto"/>
            </w:tcBorders>
            <w:shd w:val="clear" w:color="auto" w:fill="auto"/>
            <w:vAlign w:val="center"/>
            <w:hideMark/>
          </w:tcPr>
          <w:p w:rsidR="00080665" w:rsidRPr="00BA4F73" w:rsidRDefault="00D9449E"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2015/</w:t>
            </w:r>
            <w:r w:rsidR="00080665" w:rsidRPr="00BA4F73">
              <w:rPr>
                <w:rFonts w:eastAsia="Times New Roman" w:cs="Times New Roman"/>
                <w:color w:val="000000" w:themeColor="text1"/>
                <w:lang w:eastAsia="en-GB"/>
              </w:rPr>
              <w:t>16</w:t>
            </w:r>
          </w:p>
        </w:tc>
        <w:tc>
          <w:tcPr>
            <w:tcW w:w="607"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1075</w:t>
            </w:r>
          </w:p>
        </w:tc>
        <w:tc>
          <w:tcPr>
            <w:tcW w:w="849"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538</w:t>
            </w:r>
          </w:p>
        </w:tc>
        <w:tc>
          <w:tcPr>
            <w:tcW w:w="1439"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511</w:t>
            </w:r>
          </w:p>
        </w:tc>
        <w:tc>
          <w:tcPr>
            <w:tcW w:w="929"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50%</w:t>
            </w:r>
          </w:p>
        </w:tc>
      </w:tr>
    </w:tbl>
    <w:p w:rsidR="00794C0C" w:rsidRPr="00BA4F73" w:rsidRDefault="00794C0C" w:rsidP="00794C0C">
      <w:pPr>
        <w:rPr>
          <w:color w:val="000000" w:themeColor="text1"/>
        </w:rPr>
      </w:pPr>
    </w:p>
    <w:p w:rsidR="00F23777" w:rsidRPr="00BA4F73" w:rsidRDefault="00186055" w:rsidP="00DE6A3F">
      <w:pPr>
        <w:pStyle w:val="Heading3"/>
        <w:spacing w:line="240" w:lineRule="auto"/>
        <w:rPr>
          <w:rFonts w:asciiTheme="minorHAnsi" w:hAnsiTheme="minorHAnsi" w:cs="Arial"/>
          <w:color w:val="000000" w:themeColor="text1"/>
          <w:sz w:val="28"/>
          <w:u w:val="single"/>
        </w:rPr>
      </w:pPr>
      <w:r w:rsidRPr="00BA4F73">
        <w:rPr>
          <w:rFonts w:asciiTheme="minorHAnsi" w:hAnsiTheme="minorHAnsi" w:cs="Arial"/>
          <w:color w:val="000000" w:themeColor="text1"/>
          <w:sz w:val="28"/>
          <w:u w:val="single"/>
        </w:rPr>
        <w:lastRenderedPageBreak/>
        <w:t xml:space="preserve">Section 2 - </w:t>
      </w:r>
      <w:r w:rsidR="00F23777" w:rsidRPr="00BA4F73">
        <w:rPr>
          <w:rFonts w:asciiTheme="minorHAnsi" w:hAnsiTheme="minorHAnsi" w:cs="Arial"/>
          <w:color w:val="000000" w:themeColor="text1"/>
          <w:sz w:val="28"/>
          <w:u w:val="single"/>
        </w:rPr>
        <w:t xml:space="preserve">Source of </w:t>
      </w:r>
      <w:r w:rsidR="001F1AC4" w:rsidRPr="00BA4F73">
        <w:rPr>
          <w:rFonts w:asciiTheme="minorHAnsi" w:hAnsiTheme="minorHAnsi" w:cs="Arial"/>
          <w:color w:val="000000" w:themeColor="text1"/>
          <w:sz w:val="28"/>
          <w:u w:val="single"/>
        </w:rPr>
        <w:t>Safeguarding E</w:t>
      </w:r>
      <w:r w:rsidR="00FF4E4E" w:rsidRPr="00BA4F73">
        <w:rPr>
          <w:rFonts w:asciiTheme="minorHAnsi" w:hAnsiTheme="minorHAnsi" w:cs="Arial"/>
          <w:color w:val="000000" w:themeColor="text1"/>
          <w:sz w:val="28"/>
          <w:u w:val="single"/>
        </w:rPr>
        <w:t>nquiries</w:t>
      </w:r>
    </w:p>
    <w:p w:rsidR="00794C0C" w:rsidRPr="00BA4F73" w:rsidRDefault="00794C0C" w:rsidP="00794C0C">
      <w:pPr>
        <w:rPr>
          <w:color w:val="000000" w:themeColor="text1"/>
        </w:rPr>
      </w:pPr>
    </w:p>
    <w:p w:rsidR="001F1AC4" w:rsidRPr="00BA4F73" w:rsidRDefault="001F1AC4" w:rsidP="00794C0C">
      <w:pPr>
        <w:rPr>
          <w:color w:val="000000" w:themeColor="text1"/>
        </w:rPr>
      </w:pPr>
      <w:r w:rsidRPr="00BA4F73">
        <w:rPr>
          <w:color w:val="000000" w:themeColor="text1"/>
        </w:rPr>
        <w:t xml:space="preserve">As Figure 1 shows the largest percentage of </w:t>
      </w:r>
      <w:r w:rsidR="009004AA">
        <w:rPr>
          <w:color w:val="000000" w:themeColor="text1"/>
        </w:rPr>
        <w:t>safeguarding enquiries for 2015/</w:t>
      </w:r>
      <w:r w:rsidRPr="00BA4F73">
        <w:rPr>
          <w:color w:val="000000" w:themeColor="text1"/>
        </w:rPr>
        <w:t>16 were referred from both Social Care staff (33%) and also by Health staff (27%) with Family members also providing a larger than average proportion (16%). The Police have also been responsible for referring 7% of all s42 enquiries over the past year.</w:t>
      </w:r>
    </w:p>
    <w:p w:rsidR="001F1AC4" w:rsidRPr="00BA4F73" w:rsidRDefault="001F1AC4" w:rsidP="00794C0C">
      <w:pPr>
        <w:rPr>
          <w:color w:val="000000" w:themeColor="text1"/>
        </w:rPr>
      </w:pPr>
      <w:r w:rsidRPr="00BA4F73">
        <w:rPr>
          <w:color w:val="000000" w:themeColor="text1"/>
        </w:rPr>
        <w:t xml:space="preserve">The </w:t>
      </w:r>
      <w:r w:rsidR="00347DA0" w:rsidRPr="00BA4F73">
        <w:rPr>
          <w:color w:val="000000" w:themeColor="text1"/>
        </w:rPr>
        <w:t xml:space="preserve">Social Care </w:t>
      </w:r>
      <w:r w:rsidRPr="00BA4F73">
        <w:rPr>
          <w:color w:val="000000" w:themeColor="text1"/>
        </w:rPr>
        <w:t>category encompasses both</w:t>
      </w:r>
      <w:r w:rsidR="00347DA0" w:rsidRPr="00BA4F73">
        <w:rPr>
          <w:color w:val="000000" w:themeColor="text1"/>
        </w:rPr>
        <w:t xml:space="preserve"> local authority staff such as Social Workers and Care Managers as well as independent sector workers such as Residential / Nursing Care and Day Care staff. The Health category relates to both Primary and Secondary Health staff as well as Mental Health workers.</w:t>
      </w:r>
    </w:p>
    <w:p w:rsidR="00794C0C" w:rsidRPr="00BA4F73" w:rsidRDefault="00794C0C" w:rsidP="00794C0C">
      <w:pPr>
        <w:rPr>
          <w:b/>
          <w:color w:val="000000" w:themeColor="text1"/>
        </w:rPr>
      </w:pPr>
      <w:r w:rsidRPr="00BA4F73">
        <w:rPr>
          <w:b/>
          <w:color w:val="000000" w:themeColor="text1"/>
        </w:rPr>
        <w:t>Figure 1 - Safeguarding Enquiries by Referral Source - 2015/16</w:t>
      </w:r>
    </w:p>
    <w:p w:rsidR="00602DBC" w:rsidRPr="00BA4F73" w:rsidRDefault="00080665" w:rsidP="00602DBC">
      <w:pPr>
        <w:rPr>
          <w:color w:val="000000" w:themeColor="text1"/>
        </w:rPr>
      </w:pPr>
      <w:r w:rsidRPr="00BA4F73">
        <w:rPr>
          <w:noProof/>
          <w:color w:val="000000" w:themeColor="text1"/>
          <w:lang w:eastAsia="en-GB"/>
        </w:rPr>
        <w:drawing>
          <wp:inline distT="0" distB="0" distL="0" distR="0" wp14:anchorId="22476A9E" wp14:editId="28D1EB45">
            <wp:extent cx="5067300" cy="284797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80665" w:rsidRPr="00BA4F73" w:rsidRDefault="00080665" w:rsidP="00602DBC">
      <w:pPr>
        <w:rPr>
          <w:color w:val="000000" w:themeColor="text1"/>
        </w:rPr>
      </w:pPr>
    </w:p>
    <w:p w:rsidR="001F1AC4" w:rsidRPr="00BA4F73" w:rsidRDefault="00347DA0" w:rsidP="00602DBC">
      <w:pPr>
        <w:rPr>
          <w:color w:val="000000" w:themeColor="text1"/>
        </w:rPr>
      </w:pPr>
      <w:r w:rsidRPr="00BA4F73">
        <w:rPr>
          <w:color w:val="000000" w:themeColor="text1"/>
        </w:rPr>
        <w:t>Table 2 shows the breakdown of the number of safeguarding enquiries by Referral Source</w:t>
      </w:r>
      <w:r w:rsidR="00906E8D" w:rsidRPr="00BA4F73">
        <w:rPr>
          <w:color w:val="000000" w:themeColor="text1"/>
        </w:rPr>
        <w:t xml:space="preserve"> over the past 3 years since </w:t>
      </w:r>
      <w:r w:rsidR="00D9449E" w:rsidRPr="00BA4F73">
        <w:rPr>
          <w:color w:val="000000" w:themeColor="text1"/>
        </w:rPr>
        <w:t>2013/</w:t>
      </w:r>
      <w:r w:rsidRPr="00BA4F73">
        <w:rPr>
          <w:color w:val="000000" w:themeColor="text1"/>
        </w:rPr>
        <w:t xml:space="preserve">14. It breaks the overarching categories of Social Care and Health staff down especially into more detailed groups </w:t>
      </w:r>
      <w:r w:rsidR="003F5951" w:rsidRPr="00BA4F73">
        <w:rPr>
          <w:color w:val="000000" w:themeColor="text1"/>
        </w:rPr>
        <w:t>where available</w:t>
      </w:r>
      <w:r w:rsidR="00906E8D" w:rsidRPr="00BA4F73">
        <w:rPr>
          <w:color w:val="000000" w:themeColor="text1"/>
        </w:rPr>
        <w:t>,</w:t>
      </w:r>
      <w:r w:rsidR="003F5951" w:rsidRPr="00BA4F73">
        <w:rPr>
          <w:color w:val="000000" w:themeColor="text1"/>
        </w:rPr>
        <w:t xml:space="preserve"> </w:t>
      </w:r>
      <w:r w:rsidRPr="00BA4F73">
        <w:rPr>
          <w:color w:val="000000" w:themeColor="text1"/>
        </w:rPr>
        <w:t>so a clearer picture can be provided of the numbers coming in from various areas.</w:t>
      </w:r>
    </w:p>
    <w:p w:rsidR="003F5951" w:rsidRPr="00BA4F73" w:rsidRDefault="003937E7" w:rsidP="00602DBC">
      <w:pPr>
        <w:rPr>
          <w:color w:val="000000" w:themeColor="text1"/>
        </w:rPr>
      </w:pPr>
      <w:r w:rsidRPr="00BA4F73">
        <w:rPr>
          <w:color w:val="000000" w:themeColor="text1"/>
        </w:rPr>
        <w:t xml:space="preserve">For Social Care </w:t>
      </w:r>
      <w:r w:rsidR="003F5951" w:rsidRPr="00BA4F73">
        <w:rPr>
          <w:color w:val="000000" w:themeColor="text1"/>
        </w:rPr>
        <w:t>the actual numbers</w:t>
      </w:r>
      <w:r w:rsidRPr="00BA4F73">
        <w:rPr>
          <w:color w:val="000000" w:themeColor="text1"/>
        </w:rPr>
        <w:t xml:space="preserve"> coming in have remained </w:t>
      </w:r>
      <w:r w:rsidR="003F5951" w:rsidRPr="00BA4F73">
        <w:rPr>
          <w:color w:val="000000" w:themeColor="text1"/>
        </w:rPr>
        <w:t>consisten</w:t>
      </w:r>
      <w:r w:rsidRPr="00BA4F73">
        <w:rPr>
          <w:color w:val="000000" w:themeColor="text1"/>
        </w:rPr>
        <w:t xml:space="preserve">t over the </w:t>
      </w:r>
      <w:r w:rsidR="003F5951" w:rsidRPr="00BA4F73">
        <w:rPr>
          <w:color w:val="000000" w:themeColor="text1"/>
        </w:rPr>
        <w:t xml:space="preserve">period at around 180-185 per year. The numbers coming in from </w:t>
      </w:r>
      <w:r w:rsidR="00901E77" w:rsidRPr="00BA4F73">
        <w:rPr>
          <w:color w:val="000000" w:themeColor="text1"/>
        </w:rPr>
        <w:t>domiciliary</w:t>
      </w:r>
      <w:r w:rsidR="003F5951" w:rsidRPr="00BA4F73">
        <w:rPr>
          <w:color w:val="000000" w:themeColor="text1"/>
        </w:rPr>
        <w:t xml:space="preserve"> staff have risen by nearly 31% from 26 to 34 whereas the numbers have fallen by 17% from 58 to 48 for </w:t>
      </w:r>
      <w:r w:rsidR="00901E77" w:rsidRPr="00BA4F73">
        <w:rPr>
          <w:color w:val="000000" w:themeColor="text1"/>
        </w:rPr>
        <w:t>Residential /</w:t>
      </w:r>
      <w:r w:rsidRPr="00BA4F73">
        <w:rPr>
          <w:color w:val="000000" w:themeColor="text1"/>
        </w:rPr>
        <w:t xml:space="preserve"> Nursing </w:t>
      </w:r>
      <w:r w:rsidR="00901E77" w:rsidRPr="00BA4F73">
        <w:rPr>
          <w:color w:val="000000" w:themeColor="text1"/>
        </w:rPr>
        <w:t>staff.</w:t>
      </w:r>
    </w:p>
    <w:p w:rsidR="00080665" w:rsidRPr="00BA4F73" w:rsidRDefault="003F5951" w:rsidP="00602DBC">
      <w:pPr>
        <w:rPr>
          <w:color w:val="000000" w:themeColor="text1"/>
        </w:rPr>
      </w:pPr>
      <w:r w:rsidRPr="00BA4F73">
        <w:rPr>
          <w:color w:val="000000" w:themeColor="text1"/>
        </w:rPr>
        <w:t>The numbers of referrals coming in from Health Staff have</w:t>
      </w:r>
      <w:r w:rsidR="00906E8D" w:rsidRPr="00BA4F73">
        <w:rPr>
          <w:color w:val="000000" w:themeColor="text1"/>
        </w:rPr>
        <w:t xml:space="preserve"> steadily risen over the </w:t>
      </w:r>
      <w:r w:rsidRPr="00BA4F73">
        <w:rPr>
          <w:color w:val="000000" w:themeColor="text1"/>
        </w:rPr>
        <w:t xml:space="preserve">period with a rise of over </w:t>
      </w:r>
      <w:r w:rsidR="00906E8D" w:rsidRPr="00BA4F73">
        <w:rPr>
          <w:color w:val="000000" w:themeColor="text1"/>
        </w:rPr>
        <w:t xml:space="preserve">24% from </w:t>
      </w:r>
      <w:r w:rsidR="009004AA">
        <w:rPr>
          <w:color w:val="000000" w:themeColor="text1"/>
        </w:rPr>
        <w:t>116 to 144 referrals since 2014/</w:t>
      </w:r>
      <w:r w:rsidR="00906E8D" w:rsidRPr="00BA4F73">
        <w:rPr>
          <w:color w:val="000000" w:themeColor="text1"/>
        </w:rPr>
        <w:t>15. This is made up of a 29.4% rise in those coming from Primary / Community Health staff (up from 51 to 66) and a 51.6% rise from Secondary Health staff (up from 31 to 47).</w:t>
      </w:r>
    </w:p>
    <w:p w:rsidR="00080665" w:rsidRPr="00BA4F73" w:rsidRDefault="003937E7" w:rsidP="00602DBC">
      <w:pPr>
        <w:rPr>
          <w:color w:val="000000" w:themeColor="text1"/>
        </w:rPr>
      </w:pPr>
      <w:r w:rsidRPr="00BA4F73">
        <w:rPr>
          <w:color w:val="000000" w:themeColor="text1"/>
        </w:rPr>
        <w:t>The numbers of Self Referrals have steadily decreased over time with a fall of 34% over the past year (from 32 to 21). There has been an increase however in the numbers of referrals coming from Family members (up 6%) and the numbers coming from the Police have more than doubled which shows the work being carried out in that area (up from 17 to 39 in the past year).</w:t>
      </w:r>
    </w:p>
    <w:p w:rsidR="00906E8D" w:rsidRPr="00BA4F73" w:rsidRDefault="00906E8D" w:rsidP="00794C0C">
      <w:pPr>
        <w:spacing w:after="0" w:line="240" w:lineRule="auto"/>
        <w:rPr>
          <w:color w:val="000000" w:themeColor="text1"/>
        </w:rPr>
      </w:pPr>
    </w:p>
    <w:p w:rsidR="003937E7" w:rsidRPr="00BA4F73" w:rsidRDefault="003937E7" w:rsidP="00794C0C">
      <w:pPr>
        <w:spacing w:after="0" w:line="240" w:lineRule="auto"/>
        <w:rPr>
          <w:rFonts w:eastAsia="Times New Roman" w:cs="Times New Roman"/>
          <w:b/>
          <w:bCs/>
          <w:color w:val="000000" w:themeColor="text1"/>
          <w:lang w:eastAsia="en-GB"/>
        </w:rPr>
      </w:pPr>
    </w:p>
    <w:p w:rsidR="00602DBC" w:rsidRPr="00BA4F73" w:rsidRDefault="003227AB" w:rsidP="003937E7">
      <w:pPr>
        <w:spacing w:after="0" w:line="240" w:lineRule="auto"/>
        <w:rPr>
          <w:rFonts w:eastAsia="Times New Roman" w:cs="Times New Roman"/>
          <w:b/>
          <w:bCs/>
          <w:color w:val="000000" w:themeColor="text1"/>
          <w:lang w:eastAsia="en-GB"/>
        </w:rPr>
      </w:pPr>
      <w:r w:rsidRPr="00BA4F73">
        <w:rPr>
          <w:rFonts w:eastAsia="Times New Roman" w:cs="Times New Roman"/>
          <w:b/>
          <w:bCs/>
          <w:color w:val="000000" w:themeColor="text1"/>
          <w:lang w:eastAsia="en-GB"/>
        </w:rPr>
        <w:t>Table</w:t>
      </w:r>
      <w:r w:rsidR="00080665" w:rsidRPr="00BA4F73">
        <w:rPr>
          <w:rFonts w:eastAsia="Times New Roman" w:cs="Times New Roman"/>
          <w:b/>
          <w:bCs/>
          <w:color w:val="000000" w:themeColor="text1"/>
          <w:lang w:eastAsia="en-GB"/>
        </w:rPr>
        <w:t xml:space="preserve"> 2 </w:t>
      </w:r>
      <w:r w:rsidR="00794C0C" w:rsidRPr="00BA4F73">
        <w:rPr>
          <w:rFonts w:eastAsia="Times New Roman" w:cs="Times New Roman"/>
          <w:b/>
          <w:bCs/>
          <w:color w:val="000000" w:themeColor="text1"/>
          <w:lang w:eastAsia="en-GB"/>
        </w:rPr>
        <w:t>- Safeguarding Enquiries by Referral Source 2014-16</w:t>
      </w:r>
    </w:p>
    <w:p w:rsidR="003937E7" w:rsidRPr="00BA4F73" w:rsidRDefault="003937E7" w:rsidP="003937E7">
      <w:pPr>
        <w:spacing w:after="0" w:line="240" w:lineRule="auto"/>
        <w:rPr>
          <w:rFonts w:eastAsia="Times New Roman" w:cs="Times New Roman"/>
          <w:b/>
          <w:bCs/>
          <w:color w:val="000000" w:themeColor="text1"/>
          <w:lang w:eastAsia="en-GB"/>
        </w:rPr>
      </w:pPr>
    </w:p>
    <w:tbl>
      <w:tblPr>
        <w:tblW w:w="5000" w:type="pct"/>
        <w:tblLook w:val="04A0" w:firstRow="1" w:lastRow="0" w:firstColumn="1" w:lastColumn="0" w:noHBand="0" w:noVBand="1"/>
      </w:tblPr>
      <w:tblGrid>
        <w:gridCol w:w="2082"/>
        <w:gridCol w:w="1852"/>
        <w:gridCol w:w="1418"/>
        <w:gridCol w:w="1701"/>
        <w:gridCol w:w="2189"/>
      </w:tblGrid>
      <w:tr w:rsidR="00080665" w:rsidRPr="00BA4F73" w:rsidTr="00080665">
        <w:trPr>
          <w:trHeight w:val="465"/>
        </w:trPr>
        <w:tc>
          <w:tcPr>
            <w:tcW w:w="1127"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 </w:t>
            </w:r>
          </w:p>
        </w:tc>
        <w:tc>
          <w:tcPr>
            <w:tcW w:w="1002" w:type="pct"/>
            <w:tcBorders>
              <w:top w:val="single" w:sz="8" w:space="0" w:color="auto"/>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Referrals</w:t>
            </w:r>
          </w:p>
        </w:tc>
        <w:tc>
          <w:tcPr>
            <w:tcW w:w="767" w:type="pct"/>
            <w:tcBorders>
              <w:top w:val="single" w:sz="8" w:space="0" w:color="auto"/>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2013/14 (All)</w:t>
            </w:r>
          </w:p>
        </w:tc>
        <w:tc>
          <w:tcPr>
            <w:tcW w:w="920" w:type="pct"/>
            <w:tcBorders>
              <w:top w:val="single" w:sz="8" w:space="0" w:color="auto"/>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2014/15 (All)</w:t>
            </w:r>
          </w:p>
        </w:tc>
        <w:tc>
          <w:tcPr>
            <w:tcW w:w="1184" w:type="pct"/>
            <w:tcBorders>
              <w:top w:val="single" w:sz="8" w:space="0" w:color="auto"/>
              <w:left w:val="nil"/>
              <w:bottom w:val="single" w:sz="8" w:space="0" w:color="auto"/>
              <w:right w:val="single" w:sz="8" w:space="0" w:color="auto"/>
            </w:tcBorders>
            <w:shd w:val="clear" w:color="auto" w:fill="auto"/>
            <w:vAlign w:val="center"/>
            <w:hideMark/>
          </w:tcPr>
          <w:p w:rsidR="00080665" w:rsidRPr="00BA4F73" w:rsidRDefault="00D9449E"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2015/</w:t>
            </w:r>
            <w:r w:rsidR="00080665" w:rsidRPr="00BA4F73">
              <w:rPr>
                <w:rFonts w:eastAsia="Times New Roman" w:cs="Times New Roman"/>
                <w:color w:val="000000" w:themeColor="text1"/>
                <w:lang w:eastAsia="en-GB"/>
              </w:rPr>
              <w:t>16 (s42 only)</w:t>
            </w:r>
          </w:p>
        </w:tc>
      </w:tr>
      <w:tr w:rsidR="00080665" w:rsidRPr="00BA4F73" w:rsidTr="00080665">
        <w:trPr>
          <w:trHeight w:val="915"/>
        </w:trPr>
        <w:tc>
          <w:tcPr>
            <w:tcW w:w="1127" w:type="pct"/>
            <w:vMerge w:val="restart"/>
            <w:tcBorders>
              <w:top w:val="nil"/>
              <w:left w:val="single" w:sz="8" w:space="0" w:color="auto"/>
              <w:bottom w:val="single" w:sz="8" w:space="0" w:color="000000"/>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Social Care Staff</w:t>
            </w:r>
          </w:p>
        </w:tc>
        <w:tc>
          <w:tcPr>
            <w:tcW w:w="1002"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b/>
                <w:bCs/>
                <w:color w:val="000000" w:themeColor="text1"/>
                <w:lang w:eastAsia="en-GB"/>
              </w:rPr>
            </w:pPr>
            <w:r w:rsidRPr="00BA4F73">
              <w:rPr>
                <w:rFonts w:eastAsia="Times New Roman" w:cs="Times New Roman"/>
                <w:b/>
                <w:bCs/>
                <w:color w:val="000000" w:themeColor="text1"/>
                <w:lang w:eastAsia="en-GB"/>
              </w:rPr>
              <w:t>Social Care Staff total (CASSR &amp; Independent)</w:t>
            </w:r>
          </w:p>
        </w:tc>
        <w:tc>
          <w:tcPr>
            <w:tcW w:w="767"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b/>
                <w:bCs/>
                <w:color w:val="000000" w:themeColor="text1"/>
                <w:lang w:eastAsia="en-GB"/>
              </w:rPr>
            </w:pPr>
            <w:r w:rsidRPr="00BA4F73">
              <w:rPr>
                <w:rFonts w:eastAsia="Times New Roman" w:cs="Times New Roman"/>
                <w:b/>
                <w:bCs/>
                <w:color w:val="000000" w:themeColor="text1"/>
                <w:lang w:eastAsia="en-GB"/>
              </w:rPr>
              <w:t>185</w:t>
            </w:r>
          </w:p>
        </w:tc>
        <w:tc>
          <w:tcPr>
            <w:tcW w:w="920"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b/>
                <w:bCs/>
                <w:color w:val="000000" w:themeColor="text1"/>
                <w:lang w:eastAsia="en-GB"/>
              </w:rPr>
            </w:pPr>
            <w:r w:rsidRPr="00BA4F73">
              <w:rPr>
                <w:rFonts w:eastAsia="Times New Roman" w:cs="Times New Roman"/>
                <w:b/>
                <w:bCs/>
                <w:color w:val="000000" w:themeColor="text1"/>
                <w:lang w:eastAsia="en-GB"/>
              </w:rPr>
              <w:t>185</w:t>
            </w:r>
          </w:p>
        </w:tc>
        <w:tc>
          <w:tcPr>
            <w:tcW w:w="1184"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b/>
                <w:bCs/>
                <w:color w:val="000000" w:themeColor="text1"/>
                <w:lang w:eastAsia="en-GB"/>
              </w:rPr>
            </w:pPr>
            <w:r w:rsidRPr="00BA4F73">
              <w:rPr>
                <w:rFonts w:eastAsia="Times New Roman" w:cs="Times New Roman"/>
                <w:b/>
                <w:bCs/>
                <w:color w:val="000000" w:themeColor="text1"/>
                <w:lang w:eastAsia="en-GB"/>
              </w:rPr>
              <w:t>180</w:t>
            </w:r>
          </w:p>
        </w:tc>
      </w:tr>
      <w:tr w:rsidR="00080665" w:rsidRPr="00BA4F73" w:rsidTr="00080665">
        <w:trPr>
          <w:trHeight w:val="315"/>
        </w:trPr>
        <w:tc>
          <w:tcPr>
            <w:tcW w:w="1127" w:type="pct"/>
            <w:vMerge/>
            <w:tcBorders>
              <w:top w:val="nil"/>
              <w:left w:val="single" w:sz="8" w:space="0" w:color="auto"/>
              <w:bottom w:val="single" w:sz="8" w:space="0" w:color="000000"/>
              <w:right w:val="single" w:sz="8" w:space="0" w:color="auto"/>
            </w:tcBorders>
            <w:vAlign w:val="center"/>
            <w:hideMark/>
          </w:tcPr>
          <w:p w:rsidR="00080665" w:rsidRPr="00BA4F73" w:rsidRDefault="00080665" w:rsidP="00080665">
            <w:pPr>
              <w:spacing w:after="0" w:line="240" w:lineRule="auto"/>
              <w:rPr>
                <w:rFonts w:eastAsia="Times New Roman" w:cs="Times New Roman"/>
                <w:color w:val="000000" w:themeColor="text1"/>
                <w:lang w:eastAsia="en-GB"/>
              </w:rPr>
            </w:pPr>
          </w:p>
        </w:tc>
        <w:tc>
          <w:tcPr>
            <w:tcW w:w="1002"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Domiciliary Staff</w:t>
            </w:r>
          </w:p>
        </w:tc>
        <w:tc>
          <w:tcPr>
            <w:tcW w:w="767"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w:t>
            </w:r>
          </w:p>
        </w:tc>
        <w:tc>
          <w:tcPr>
            <w:tcW w:w="920"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26</w:t>
            </w:r>
          </w:p>
        </w:tc>
        <w:tc>
          <w:tcPr>
            <w:tcW w:w="1184"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34</w:t>
            </w:r>
          </w:p>
        </w:tc>
      </w:tr>
      <w:tr w:rsidR="00080665" w:rsidRPr="00BA4F73" w:rsidTr="00080665">
        <w:trPr>
          <w:trHeight w:val="615"/>
        </w:trPr>
        <w:tc>
          <w:tcPr>
            <w:tcW w:w="1127" w:type="pct"/>
            <w:vMerge/>
            <w:tcBorders>
              <w:top w:val="nil"/>
              <w:left w:val="single" w:sz="8" w:space="0" w:color="auto"/>
              <w:bottom w:val="single" w:sz="8" w:space="0" w:color="000000"/>
              <w:right w:val="single" w:sz="8" w:space="0" w:color="auto"/>
            </w:tcBorders>
            <w:vAlign w:val="center"/>
            <w:hideMark/>
          </w:tcPr>
          <w:p w:rsidR="00080665" w:rsidRPr="00BA4F73" w:rsidRDefault="00080665" w:rsidP="00080665">
            <w:pPr>
              <w:spacing w:after="0" w:line="240" w:lineRule="auto"/>
              <w:rPr>
                <w:rFonts w:eastAsia="Times New Roman" w:cs="Times New Roman"/>
                <w:color w:val="000000" w:themeColor="text1"/>
                <w:lang w:eastAsia="en-GB"/>
              </w:rPr>
            </w:pPr>
          </w:p>
        </w:tc>
        <w:tc>
          <w:tcPr>
            <w:tcW w:w="1002"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Residential/ Nursing Care Staff</w:t>
            </w:r>
          </w:p>
        </w:tc>
        <w:tc>
          <w:tcPr>
            <w:tcW w:w="767"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w:t>
            </w:r>
          </w:p>
        </w:tc>
        <w:tc>
          <w:tcPr>
            <w:tcW w:w="920"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58</w:t>
            </w:r>
          </w:p>
        </w:tc>
        <w:tc>
          <w:tcPr>
            <w:tcW w:w="1184"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48</w:t>
            </w:r>
          </w:p>
        </w:tc>
      </w:tr>
      <w:tr w:rsidR="00080665" w:rsidRPr="00BA4F73" w:rsidTr="00080665">
        <w:trPr>
          <w:trHeight w:val="315"/>
        </w:trPr>
        <w:tc>
          <w:tcPr>
            <w:tcW w:w="1127" w:type="pct"/>
            <w:vMerge/>
            <w:tcBorders>
              <w:top w:val="nil"/>
              <w:left w:val="single" w:sz="8" w:space="0" w:color="auto"/>
              <w:bottom w:val="single" w:sz="8" w:space="0" w:color="000000"/>
              <w:right w:val="single" w:sz="8" w:space="0" w:color="auto"/>
            </w:tcBorders>
            <w:vAlign w:val="center"/>
            <w:hideMark/>
          </w:tcPr>
          <w:p w:rsidR="00080665" w:rsidRPr="00BA4F73" w:rsidRDefault="00080665" w:rsidP="00080665">
            <w:pPr>
              <w:spacing w:after="0" w:line="240" w:lineRule="auto"/>
              <w:rPr>
                <w:rFonts w:eastAsia="Times New Roman" w:cs="Times New Roman"/>
                <w:color w:val="000000" w:themeColor="text1"/>
                <w:lang w:eastAsia="en-GB"/>
              </w:rPr>
            </w:pPr>
          </w:p>
        </w:tc>
        <w:tc>
          <w:tcPr>
            <w:tcW w:w="1002"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Day Care Staff</w:t>
            </w:r>
          </w:p>
        </w:tc>
        <w:tc>
          <w:tcPr>
            <w:tcW w:w="767"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w:t>
            </w:r>
          </w:p>
        </w:tc>
        <w:tc>
          <w:tcPr>
            <w:tcW w:w="920"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7</w:t>
            </w:r>
          </w:p>
        </w:tc>
        <w:tc>
          <w:tcPr>
            <w:tcW w:w="1184"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5</w:t>
            </w:r>
          </w:p>
        </w:tc>
      </w:tr>
      <w:tr w:rsidR="00080665" w:rsidRPr="00BA4F73" w:rsidTr="00080665">
        <w:trPr>
          <w:trHeight w:val="615"/>
        </w:trPr>
        <w:tc>
          <w:tcPr>
            <w:tcW w:w="1127" w:type="pct"/>
            <w:vMerge/>
            <w:tcBorders>
              <w:top w:val="nil"/>
              <w:left w:val="single" w:sz="8" w:space="0" w:color="auto"/>
              <w:bottom w:val="single" w:sz="8" w:space="0" w:color="000000"/>
              <w:right w:val="single" w:sz="8" w:space="0" w:color="auto"/>
            </w:tcBorders>
            <w:vAlign w:val="center"/>
            <w:hideMark/>
          </w:tcPr>
          <w:p w:rsidR="00080665" w:rsidRPr="00BA4F73" w:rsidRDefault="00080665" w:rsidP="00080665">
            <w:pPr>
              <w:spacing w:after="0" w:line="240" w:lineRule="auto"/>
              <w:rPr>
                <w:rFonts w:eastAsia="Times New Roman" w:cs="Times New Roman"/>
                <w:color w:val="000000" w:themeColor="text1"/>
                <w:lang w:eastAsia="en-GB"/>
              </w:rPr>
            </w:pPr>
          </w:p>
        </w:tc>
        <w:tc>
          <w:tcPr>
            <w:tcW w:w="1002"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Social Worker/ Care Manager</w:t>
            </w:r>
          </w:p>
        </w:tc>
        <w:tc>
          <w:tcPr>
            <w:tcW w:w="767"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w:t>
            </w:r>
          </w:p>
        </w:tc>
        <w:tc>
          <w:tcPr>
            <w:tcW w:w="920"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60</w:t>
            </w:r>
          </w:p>
        </w:tc>
        <w:tc>
          <w:tcPr>
            <w:tcW w:w="1184"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56</w:t>
            </w:r>
          </w:p>
        </w:tc>
      </w:tr>
      <w:tr w:rsidR="00080665" w:rsidRPr="00BA4F73" w:rsidTr="00080665">
        <w:trPr>
          <w:trHeight w:val="615"/>
        </w:trPr>
        <w:tc>
          <w:tcPr>
            <w:tcW w:w="1127" w:type="pct"/>
            <w:vMerge/>
            <w:tcBorders>
              <w:top w:val="nil"/>
              <w:left w:val="single" w:sz="8" w:space="0" w:color="auto"/>
              <w:bottom w:val="single" w:sz="8" w:space="0" w:color="000000"/>
              <w:right w:val="single" w:sz="8" w:space="0" w:color="auto"/>
            </w:tcBorders>
            <w:vAlign w:val="center"/>
            <w:hideMark/>
          </w:tcPr>
          <w:p w:rsidR="00080665" w:rsidRPr="00BA4F73" w:rsidRDefault="00080665" w:rsidP="00080665">
            <w:pPr>
              <w:spacing w:after="0" w:line="240" w:lineRule="auto"/>
              <w:rPr>
                <w:rFonts w:eastAsia="Times New Roman" w:cs="Times New Roman"/>
                <w:color w:val="000000" w:themeColor="text1"/>
                <w:lang w:eastAsia="en-GB"/>
              </w:rPr>
            </w:pPr>
          </w:p>
        </w:tc>
        <w:tc>
          <w:tcPr>
            <w:tcW w:w="1002"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Self-Directed Care Staff</w:t>
            </w:r>
          </w:p>
        </w:tc>
        <w:tc>
          <w:tcPr>
            <w:tcW w:w="767"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w:t>
            </w:r>
          </w:p>
        </w:tc>
        <w:tc>
          <w:tcPr>
            <w:tcW w:w="920"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3</w:t>
            </w:r>
          </w:p>
        </w:tc>
        <w:tc>
          <w:tcPr>
            <w:tcW w:w="1184"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2</w:t>
            </w:r>
          </w:p>
        </w:tc>
      </w:tr>
      <w:tr w:rsidR="00080665" w:rsidRPr="00BA4F73" w:rsidTr="00080665">
        <w:trPr>
          <w:trHeight w:val="315"/>
        </w:trPr>
        <w:tc>
          <w:tcPr>
            <w:tcW w:w="1127" w:type="pct"/>
            <w:vMerge/>
            <w:tcBorders>
              <w:top w:val="nil"/>
              <w:left w:val="single" w:sz="8" w:space="0" w:color="auto"/>
              <w:bottom w:val="single" w:sz="8" w:space="0" w:color="000000"/>
              <w:right w:val="single" w:sz="8" w:space="0" w:color="auto"/>
            </w:tcBorders>
            <w:vAlign w:val="center"/>
            <w:hideMark/>
          </w:tcPr>
          <w:p w:rsidR="00080665" w:rsidRPr="00BA4F73" w:rsidRDefault="00080665" w:rsidP="00080665">
            <w:pPr>
              <w:spacing w:after="0" w:line="240" w:lineRule="auto"/>
              <w:rPr>
                <w:rFonts w:eastAsia="Times New Roman" w:cs="Times New Roman"/>
                <w:color w:val="000000" w:themeColor="text1"/>
                <w:lang w:eastAsia="en-GB"/>
              </w:rPr>
            </w:pPr>
          </w:p>
        </w:tc>
        <w:tc>
          <w:tcPr>
            <w:tcW w:w="1002"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Other</w:t>
            </w:r>
          </w:p>
        </w:tc>
        <w:tc>
          <w:tcPr>
            <w:tcW w:w="767"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w:t>
            </w:r>
          </w:p>
        </w:tc>
        <w:tc>
          <w:tcPr>
            <w:tcW w:w="920"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31</w:t>
            </w:r>
          </w:p>
        </w:tc>
        <w:tc>
          <w:tcPr>
            <w:tcW w:w="1184"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35</w:t>
            </w:r>
          </w:p>
        </w:tc>
      </w:tr>
      <w:tr w:rsidR="00080665" w:rsidRPr="00BA4F73" w:rsidTr="00080665">
        <w:trPr>
          <w:trHeight w:val="315"/>
        </w:trPr>
        <w:tc>
          <w:tcPr>
            <w:tcW w:w="1127" w:type="pct"/>
            <w:vMerge w:val="restart"/>
            <w:tcBorders>
              <w:top w:val="nil"/>
              <w:left w:val="single" w:sz="8" w:space="0" w:color="auto"/>
              <w:bottom w:val="single" w:sz="8" w:space="0" w:color="000000"/>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Health Staff</w:t>
            </w:r>
          </w:p>
        </w:tc>
        <w:tc>
          <w:tcPr>
            <w:tcW w:w="1002"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b/>
                <w:bCs/>
                <w:color w:val="000000" w:themeColor="text1"/>
                <w:lang w:eastAsia="en-GB"/>
              </w:rPr>
            </w:pPr>
            <w:r w:rsidRPr="00BA4F73">
              <w:rPr>
                <w:rFonts w:eastAsia="Times New Roman" w:cs="Times New Roman"/>
                <w:b/>
                <w:bCs/>
                <w:color w:val="000000" w:themeColor="text1"/>
                <w:lang w:eastAsia="en-GB"/>
              </w:rPr>
              <w:t>Health Staff - Total</w:t>
            </w:r>
          </w:p>
        </w:tc>
        <w:tc>
          <w:tcPr>
            <w:tcW w:w="767"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b/>
                <w:bCs/>
                <w:color w:val="000000" w:themeColor="text1"/>
                <w:lang w:eastAsia="en-GB"/>
              </w:rPr>
            </w:pPr>
            <w:r w:rsidRPr="00BA4F73">
              <w:rPr>
                <w:rFonts w:eastAsia="Times New Roman" w:cs="Times New Roman"/>
                <w:b/>
                <w:bCs/>
                <w:color w:val="000000" w:themeColor="text1"/>
                <w:lang w:eastAsia="en-GB"/>
              </w:rPr>
              <w:t>108</w:t>
            </w:r>
          </w:p>
        </w:tc>
        <w:tc>
          <w:tcPr>
            <w:tcW w:w="920"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b/>
                <w:bCs/>
                <w:color w:val="000000" w:themeColor="text1"/>
                <w:lang w:eastAsia="en-GB"/>
              </w:rPr>
            </w:pPr>
            <w:r w:rsidRPr="00BA4F73">
              <w:rPr>
                <w:rFonts w:eastAsia="Times New Roman" w:cs="Times New Roman"/>
                <w:b/>
                <w:bCs/>
                <w:color w:val="000000" w:themeColor="text1"/>
                <w:lang w:eastAsia="en-GB"/>
              </w:rPr>
              <w:t>116</w:t>
            </w:r>
          </w:p>
        </w:tc>
        <w:tc>
          <w:tcPr>
            <w:tcW w:w="1184"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b/>
                <w:bCs/>
                <w:color w:val="000000" w:themeColor="text1"/>
                <w:lang w:eastAsia="en-GB"/>
              </w:rPr>
            </w:pPr>
            <w:r w:rsidRPr="00BA4F73">
              <w:rPr>
                <w:rFonts w:eastAsia="Times New Roman" w:cs="Times New Roman"/>
                <w:b/>
                <w:bCs/>
                <w:color w:val="000000" w:themeColor="text1"/>
                <w:lang w:eastAsia="en-GB"/>
              </w:rPr>
              <w:t>144</w:t>
            </w:r>
          </w:p>
        </w:tc>
      </w:tr>
      <w:tr w:rsidR="00080665" w:rsidRPr="00BA4F73" w:rsidTr="00080665">
        <w:trPr>
          <w:trHeight w:val="615"/>
        </w:trPr>
        <w:tc>
          <w:tcPr>
            <w:tcW w:w="1127" w:type="pct"/>
            <w:vMerge/>
            <w:tcBorders>
              <w:top w:val="nil"/>
              <w:left w:val="single" w:sz="8" w:space="0" w:color="auto"/>
              <w:bottom w:val="single" w:sz="8" w:space="0" w:color="000000"/>
              <w:right w:val="single" w:sz="8" w:space="0" w:color="auto"/>
            </w:tcBorders>
            <w:vAlign w:val="center"/>
            <w:hideMark/>
          </w:tcPr>
          <w:p w:rsidR="00080665" w:rsidRPr="00BA4F73" w:rsidRDefault="00080665" w:rsidP="00080665">
            <w:pPr>
              <w:spacing w:after="0" w:line="240" w:lineRule="auto"/>
              <w:rPr>
                <w:rFonts w:eastAsia="Times New Roman" w:cs="Times New Roman"/>
                <w:color w:val="000000" w:themeColor="text1"/>
                <w:lang w:eastAsia="en-GB"/>
              </w:rPr>
            </w:pPr>
          </w:p>
        </w:tc>
        <w:tc>
          <w:tcPr>
            <w:tcW w:w="1002"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Primary/ Community Health Staff</w:t>
            </w:r>
          </w:p>
        </w:tc>
        <w:tc>
          <w:tcPr>
            <w:tcW w:w="767"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w:t>
            </w:r>
          </w:p>
        </w:tc>
        <w:tc>
          <w:tcPr>
            <w:tcW w:w="920"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51</w:t>
            </w:r>
          </w:p>
        </w:tc>
        <w:tc>
          <w:tcPr>
            <w:tcW w:w="1184"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66</w:t>
            </w:r>
          </w:p>
        </w:tc>
      </w:tr>
      <w:tr w:rsidR="00080665" w:rsidRPr="00BA4F73" w:rsidTr="00080665">
        <w:trPr>
          <w:trHeight w:val="315"/>
        </w:trPr>
        <w:tc>
          <w:tcPr>
            <w:tcW w:w="1127" w:type="pct"/>
            <w:vMerge/>
            <w:tcBorders>
              <w:top w:val="nil"/>
              <w:left w:val="single" w:sz="8" w:space="0" w:color="auto"/>
              <w:bottom w:val="single" w:sz="8" w:space="0" w:color="000000"/>
              <w:right w:val="single" w:sz="8" w:space="0" w:color="auto"/>
            </w:tcBorders>
            <w:vAlign w:val="center"/>
            <w:hideMark/>
          </w:tcPr>
          <w:p w:rsidR="00080665" w:rsidRPr="00BA4F73" w:rsidRDefault="00080665" w:rsidP="00080665">
            <w:pPr>
              <w:spacing w:after="0" w:line="240" w:lineRule="auto"/>
              <w:rPr>
                <w:rFonts w:eastAsia="Times New Roman" w:cs="Times New Roman"/>
                <w:color w:val="000000" w:themeColor="text1"/>
                <w:lang w:eastAsia="en-GB"/>
              </w:rPr>
            </w:pPr>
          </w:p>
        </w:tc>
        <w:tc>
          <w:tcPr>
            <w:tcW w:w="1002"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Secondary Health Staff</w:t>
            </w:r>
          </w:p>
        </w:tc>
        <w:tc>
          <w:tcPr>
            <w:tcW w:w="767"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w:t>
            </w:r>
          </w:p>
        </w:tc>
        <w:tc>
          <w:tcPr>
            <w:tcW w:w="920"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31</w:t>
            </w:r>
          </w:p>
        </w:tc>
        <w:tc>
          <w:tcPr>
            <w:tcW w:w="1184"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47</w:t>
            </w:r>
          </w:p>
        </w:tc>
      </w:tr>
      <w:tr w:rsidR="00080665" w:rsidRPr="00BA4F73" w:rsidTr="00080665">
        <w:trPr>
          <w:trHeight w:val="315"/>
        </w:trPr>
        <w:tc>
          <w:tcPr>
            <w:tcW w:w="1127" w:type="pct"/>
            <w:vMerge/>
            <w:tcBorders>
              <w:top w:val="nil"/>
              <w:left w:val="single" w:sz="8" w:space="0" w:color="auto"/>
              <w:bottom w:val="single" w:sz="8" w:space="0" w:color="000000"/>
              <w:right w:val="single" w:sz="8" w:space="0" w:color="auto"/>
            </w:tcBorders>
            <w:vAlign w:val="center"/>
            <w:hideMark/>
          </w:tcPr>
          <w:p w:rsidR="00080665" w:rsidRPr="00BA4F73" w:rsidRDefault="00080665" w:rsidP="00080665">
            <w:pPr>
              <w:spacing w:after="0" w:line="240" w:lineRule="auto"/>
              <w:rPr>
                <w:rFonts w:eastAsia="Times New Roman" w:cs="Times New Roman"/>
                <w:color w:val="000000" w:themeColor="text1"/>
                <w:lang w:eastAsia="en-GB"/>
              </w:rPr>
            </w:pPr>
          </w:p>
        </w:tc>
        <w:tc>
          <w:tcPr>
            <w:tcW w:w="1002"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Mental Health Staff</w:t>
            </w:r>
          </w:p>
        </w:tc>
        <w:tc>
          <w:tcPr>
            <w:tcW w:w="767"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w:t>
            </w:r>
          </w:p>
        </w:tc>
        <w:tc>
          <w:tcPr>
            <w:tcW w:w="920"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34</w:t>
            </w:r>
          </w:p>
        </w:tc>
        <w:tc>
          <w:tcPr>
            <w:tcW w:w="1184"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31</w:t>
            </w:r>
          </w:p>
        </w:tc>
      </w:tr>
      <w:tr w:rsidR="00080665" w:rsidRPr="00BA4F73" w:rsidTr="00080665">
        <w:trPr>
          <w:trHeight w:val="615"/>
        </w:trPr>
        <w:tc>
          <w:tcPr>
            <w:tcW w:w="1127" w:type="pct"/>
            <w:vMerge w:val="restart"/>
            <w:tcBorders>
              <w:top w:val="nil"/>
              <w:left w:val="single" w:sz="8" w:space="0" w:color="auto"/>
              <w:bottom w:val="single" w:sz="8" w:space="0" w:color="000000"/>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Other sources of referral</w:t>
            </w:r>
          </w:p>
        </w:tc>
        <w:tc>
          <w:tcPr>
            <w:tcW w:w="1002"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b/>
                <w:bCs/>
                <w:color w:val="000000" w:themeColor="text1"/>
                <w:lang w:eastAsia="en-GB"/>
              </w:rPr>
            </w:pPr>
            <w:r w:rsidRPr="00BA4F73">
              <w:rPr>
                <w:rFonts w:eastAsia="Times New Roman" w:cs="Times New Roman"/>
                <w:b/>
                <w:bCs/>
                <w:color w:val="000000" w:themeColor="text1"/>
                <w:lang w:eastAsia="en-GB"/>
              </w:rPr>
              <w:t>Other Sources of Referral - Total</w:t>
            </w:r>
          </w:p>
        </w:tc>
        <w:tc>
          <w:tcPr>
            <w:tcW w:w="767"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b/>
                <w:bCs/>
                <w:color w:val="000000" w:themeColor="text1"/>
                <w:lang w:eastAsia="en-GB"/>
              </w:rPr>
            </w:pPr>
            <w:r w:rsidRPr="00BA4F73">
              <w:rPr>
                <w:rFonts w:eastAsia="Times New Roman" w:cs="Times New Roman"/>
                <w:b/>
                <w:bCs/>
                <w:color w:val="000000" w:themeColor="text1"/>
                <w:lang w:eastAsia="en-GB"/>
              </w:rPr>
              <w:t>198</w:t>
            </w:r>
          </w:p>
        </w:tc>
        <w:tc>
          <w:tcPr>
            <w:tcW w:w="920"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b/>
                <w:bCs/>
                <w:color w:val="000000" w:themeColor="text1"/>
                <w:lang w:eastAsia="en-GB"/>
              </w:rPr>
            </w:pPr>
            <w:r w:rsidRPr="00BA4F73">
              <w:rPr>
                <w:rFonts w:eastAsia="Times New Roman" w:cs="Times New Roman"/>
                <w:b/>
                <w:bCs/>
                <w:color w:val="000000" w:themeColor="text1"/>
                <w:lang w:eastAsia="en-GB"/>
              </w:rPr>
              <w:t>226</w:t>
            </w:r>
          </w:p>
        </w:tc>
        <w:tc>
          <w:tcPr>
            <w:tcW w:w="1184"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b/>
                <w:bCs/>
                <w:color w:val="000000" w:themeColor="text1"/>
                <w:lang w:eastAsia="en-GB"/>
              </w:rPr>
            </w:pPr>
            <w:r w:rsidRPr="00BA4F73">
              <w:rPr>
                <w:rFonts w:eastAsia="Times New Roman" w:cs="Times New Roman"/>
                <w:b/>
                <w:bCs/>
                <w:color w:val="000000" w:themeColor="text1"/>
                <w:lang w:eastAsia="en-GB"/>
              </w:rPr>
              <w:t>214</w:t>
            </w:r>
          </w:p>
        </w:tc>
      </w:tr>
      <w:tr w:rsidR="00080665" w:rsidRPr="00BA4F73" w:rsidTr="00080665">
        <w:trPr>
          <w:trHeight w:val="315"/>
        </w:trPr>
        <w:tc>
          <w:tcPr>
            <w:tcW w:w="1127" w:type="pct"/>
            <w:vMerge/>
            <w:tcBorders>
              <w:top w:val="nil"/>
              <w:left w:val="single" w:sz="8" w:space="0" w:color="auto"/>
              <w:bottom w:val="single" w:sz="8" w:space="0" w:color="000000"/>
              <w:right w:val="single" w:sz="8" w:space="0" w:color="auto"/>
            </w:tcBorders>
            <w:vAlign w:val="center"/>
            <w:hideMark/>
          </w:tcPr>
          <w:p w:rsidR="00080665" w:rsidRPr="00BA4F73" w:rsidRDefault="00080665" w:rsidP="00080665">
            <w:pPr>
              <w:spacing w:after="0" w:line="240" w:lineRule="auto"/>
              <w:rPr>
                <w:rFonts w:eastAsia="Times New Roman" w:cs="Times New Roman"/>
                <w:color w:val="000000" w:themeColor="text1"/>
                <w:lang w:eastAsia="en-GB"/>
              </w:rPr>
            </w:pPr>
          </w:p>
        </w:tc>
        <w:tc>
          <w:tcPr>
            <w:tcW w:w="1002"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Self-Referral</w:t>
            </w:r>
          </w:p>
        </w:tc>
        <w:tc>
          <w:tcPr>
            <w:tcW w:w="767"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50</w:t>
            </w:r>
          </w:p>
        </w:tc>
        <w:tc>
          <w:tcPr>
            <w:tcW w:w="920"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32</w:t>
            </w:r>
          </w:p>
        </w:tc>
        <w:tc>
          <w:tcPr>
            <w:tcW w:w="1184"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21</w:t>
            </w:r>
          </w:p>
        </w:tc>
      </w:tr>
      <w:tr w:rsidR="00080665" w:rsidRPr="00BA4F73" w:rsidTr="00080665">
        <w:trPr>
          <w:trHeight w:val="315"/>
        </w:trPr>
        <w:tc>
          <w:tcPr>
            <w:tcW w:w="1127" w:type="pct"/>
            <w:vMerge/>
            <w:tcBorders>
              <w:top w:val="nil"/>
              <w:left w:val="single" w:sz="8" w:space="0" w:color="auto"/>
              <w:bottom w:val="single" w:sz="8" w:space="0" w:color="000000"/>
              <w:right w:val="single" w:sz="8" w:space="0" w:color="auto"/>
            </w:tcBorders>
            <w:vAlign w:val="center"/>
            <w:hideMark/>
          </w:tcPr>
          <w:p w:rsidR="00080665" w:rsidRPr="00BA4F73" w:rsidRDefault="00080665" w:rsidP="00080665">
            <w:pPr>
              <w:spacing w:after="0" w:line="240" w:lineRule="auto"/>
              <w:rPr>
                <w:rFonts w:eastAsia="Times New Roman" w:cs="Times New Roman"/>
                <w:color w:val="000000" w:themeColor="text1"/>
                <w:lang w:eastAsia="en-GB"/>
              </w:rPr>
            </w:pPr>
          </w:p>
        </w:tc>
        <w:tc>
          <w:tcPr>
            <w:tcW w:w="1002"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Family member</w:t>
            </w:r>
          </w:p>
        </w:tc>
        <w:tc>
          <w:tcPr>
            <w:tcW w:w="767"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73</w:t>
            </w:r>
          </w:p>
        </w:tc>
        <w:tc>
          <w:tcPr>
            <w:tcW w:w="920"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84</w:t>
            </w:r>
          </w:p>
        </w:tc>
        <w:tc>
          <w:tcPr>
            <w:tcW w:w="1184"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89</w:t>
            </w:r>
          </w:p>
        </w:tc>
      </w:tr>
      <w:tr w:rsidR="00080665" w:rsidRPr="00BA4F73" w:rsidTr="00080665">
        <w:trPr>
          <w:trHeight w:val="315"/>
        </w:trPr>
        <w:tc>
          <w:tcPr>
            <w:tcW w:w="1127" w:type="pct"/>
            <w:vMerge/>
            <w:tcBorders>
              <w:top w:val="nil"/>
              <w:left w:val="single" w:sz="8" w:space="0" w:color="auto"/>
              <w:bottom w:val="single" w:sz="8" w:space="0" w:color="000000"/>
              <w:right w:val="single" w:sz="8" w:space="0" w:color="auto"/>
            </w:tcBorders>
            <w:vAlign w:val="center"/>
            <w:hideMark/>
          </w:tcPr>
          <w:p w:rsidR="00080665" w:rsidRPr="00BA4F73" w:rsidRDefault="00080665" w:rsidP="00080665">
            <w:pPr>
              <w:spacing w:after="0" w:line="240" w:lineRule="auto"/>
              <w:rPr>
                <w:rFonts w:eastAsia="Times New Roman" w:cs="Times New Roman"/>
                <w:color w:val="000000" w:themeColor="text1"/>
                <w:lang w:eastAsia="en-GB"/>
              </w:rPr>
            </w:pPr>
          </w:p>
        </w:tc>
        <w:tc>
          <w:tcPr>
            <w:tcW w:w="1002"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Friend/ Neighbour</w:t>
            </w:r>
          </w:p>
        </w:tc>
        <w:tc>
          <w:tcPr>
            <w:tcW w:w="767"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9</w:t>
            </w:r>
          </w:p>
        </w:tc>
        <w:tc>
          <w:tcPr>
            <w:tcW w:w="920"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8</w:t>
            </w:r>
          </w:p>
        </w:tc>
        <w:tc>
          <w:tcPr>
            <w:tcW w:w="1184"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9</w:t>
            </w:r>
          </w:p>
        </w:tc>
      </w:tr>
      <w:tr w:rsidR="00080665" w:rsidRPr="00BA4F73" w:rsidTr="00080665">
        <w:trPr>
          <w:trHeight w:val="315"/>
        </w:trPr>
        <w:tc>
          <w:tcPr>
            <w:tcW w:w="1127" w:type="pct"/>
            <w:vMerge/>
            <w:tcBorders>
              <w:top w:val="nil"/>
              <w:left w:val="single" w:sz="8" w:space="0" w:color="auto"/>
              <w:bottom w:val="single" w:sz="8" w:space="0" w:color="000000"/>
              <w:right w:val="single" w:sz="8" w:space="0" w:color="auto"/>
            </w:tcBorders>
            <w:vAlign w:val="center"/>
            <w:hideMark/>
          </w:tcPr>
          <w:p w:rsidR="00080665" w:rsidRPr="00BA4F73" w:rsidRDefault="00080665" w:rsidP="00080665">
            <w:pPr>
              <w:spacing w:after="0" w:line="240" w:lineRule="auto"/>
              <w:rPr>
                <w:rFonts w:eastAsia="Times New Roman" w:cs="Times New Roman"/>
                <w:color w:val="000000" w:themeColor="text1"/>
                <w:lang w:eastAsia="en-GB"/>
              </w:rPr>
            </w:pPr>
          </w:p>
        </w:tc>
        <w:tc>
          <w:tcPr>
            <w:tcW w:w="1002"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Other service user</w:t>
            </w:r>
          </w:p>
        </w:tc>
        <w:tc>
          <w:tcPr>
            <w:tcW w:w="767"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3</w:t>
            </w:r>
          </w:p>
        </w:tc>
        <w:tc>
          <w:tcPr>
            <w:tcW w:w="920"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3</w:t>
            </w:r>
          </w:p>
        </w:tc>
        <w:tc>
          <w:tcPr>
            <w:tcW w:w="1184"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1</w:t>
            </w:r>
          </w:p>
        </w:tc>
      </w:tr>
      <w:tr w:rsidR="00080665" w:rsidRPr="00BA4F73" w:rsidTr="00080665">
        <w:trPr>
          <w:trHeight w:val="615"/>
        </w:trPr>
        <w:tc>
          <w:tcPr>
            <w:tcW w:w="1127" w:type="pct"/>
            <w:vMerge/>
            <w:tcBorders>
              <w:top w:val="nil"/>
              <w:left w:val="single" w:sz="8" w:space="0" w:color="auto"/>
              <w:bottom w:val="single" w:sz="8" w:space="0" w:color="000000"/>
              <w:right w:val="single" w:sz="8" w:space="0" w:color="auto"/>
            </w:tcBorders>
            <w:vAlign w:val="center"/>
            <w:hideMark/>
          </w:tcPr>
          <w:p w:rsidR="00080665" w:rsidRPr="00BA4F73" w:rsidRDefault="00080665" w:rsidP="00080665">
            <w:pPr>
              <w:spacing w:after="0" w:line="240" w:lineRule="auto"/>
              <w:rPr>
                <w:rFonts w:eastAsia="Times New Roman" w:cs="Times New Roman"/>
                <w:color w:val="000000" w:themeColor="text1"/>
                <w:lang w:eastAsia="en-GB"/>
              </w:rPr>
            </w:pPr>
          </w:p>
        </w:tc>
        <w:tc>
          <w:tcPr>
            <w:tcW w:w="1002"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Care Quality Commission</w:t>
            </w:r>
          </w:p>
        </w:tc>
        <w:tc>
          <w:tcPr>
            <w:tcW w:w="767"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4</w:t>
            </w:r>
          </w:p>
        </w:tc>
        <w:tc>
          <w:tcPr>
            <w:tcW w:w="920"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2</w:t>
            </w:r>
          </w:p>
        </w:tc>
        <w:tc>
          <w:tcPr>
            <w:tcW w:w="1184"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2</w:t>
            </w:r>
          </w:p>
        </w:tc>
      </w:tr>
      <w:tr w:rsidR="00080665" w:rsidRPr="00BA4F73" w:rsidTr="00080665">
        <w:trPr>
          <w:trHeight w:val="315"/>
        </w:trPr>
        <w:tc>
          <w:tcPr>
            <w:tcW w:w="1127" w:type="pct"/>
            <w:vMerge/>
            <w:tcBorders>
              <w:top w:val="nil"/>
              <w:left w:val="single" w:sz="8" w:space="0" w:color="auto"/>
              <w:bottom w:val="single" w:sz="8" w:space="0" w:color="000000"/>
              <w:right w:val="single" w:sz="8" w:space="0" w:color="auto"/>
            </w:tcBorders>
            <w:vAlign w:val="center"/>
            <w:hideMark/>
          </w:tcPr>
          <w:p w:rsidR="00080665" w:rsidRPr="00BA4F73" w:rsidRDefault="00080665" w:rsidP="00080665">
            <w:pPr>
              <w:spacing w:after="0" w:line="240" w:lineRule="auto"/>
              <w:rPr>
                <w:rFonts w:eastAsia="Times New Roman" w:cs="Times New Roman"/>
                <w:color w:val="000000" w:themeColor="text1"/>
                <w:lang w:eastAsia="en-GB"/>
              </w:rPr>
            </w:pPr>
          </w:p>
        </w:tc>
        <w:tc>
          <w:tcPr>
            <w:tcW w:w="1002"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Housing</w:t>
            </w:r>
          </w:p>
        </w:tc>
        <w:tc>
          <w:tcPr>
            <w:tcW w:w="767"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28</w:t>
            </w:r>
          </w:p>
        </w:tc>
        <w:tc>
          <w:tcPr>
            <w:tcW w:w="920"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12</w:t>
            </w:r>
          </w:p>
        </w:tc>
        <w:tc>
          <w:tcPr>
            <w:tcW w:w="1184"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15</w:t>
            </w:r>
          </w:p>
        </w:tc>
      </w:tr>
      <w:tr w:rsidR="00080665" w:rsidRPr="00BA4F73" w:rsidTr="00080665">
        <w:trPr>
          <w:trHeight w:val="915"/>
        </w:trPr>
        <w:tc>
          <w:tcPr>
            <w:tcW w:w="1127" w:type="pct"/>
            <w:vMerge/>
            <w:tcBorders>
              <w:top w:val="nil"/>
              <w:left w:val="single" w:sz="8" w:space="0" w:color="auto"/>
              <w:bottom w:val="single" w:sz="8" w:space="0" w:color="000000"/>
              <w:right w:val="single" w:sz="8" w:space="0" w:color="auto"/>
            </w:tcBorders>
            <w:vAlign w:val="center"/>
            <w:hideMark/>
          </w:tcPr>
          <w:p w:rsidR="00080665" w:rsidRPr="00BA4F73" w:rsidRDefault="00080665" w:rsidP="00080665">
            <w:pPr>
              <w:spacing w:after="0" w:line="240" w:lineRule="auto"/>
              <w:rPr>
                <w:rFonts w:eastAsia="Times New Roman" w:cs="Times New Roman"/>
                <w:color w:val="000000" w:themeColor="text1"/>
                <w:lang w:eastAsia="en-GB"/>
              </w:rPr>
            </w:pPr>
          </w:p>
        </w:tc>
        <w:tc>
          <w:tcPr>
            <w:tcW w:w="1002"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Education/ Training/ Workplace Establishment</w:t>
            </w:r>
          </w:p>
        </w:tc>
        <w:tc>
          <w:tcPr>
            <w:tcW w:w="767"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2</w:t>
            </w:r>
          </w:p>
        </w:tc>
        <w:tc>
          <w:tcPr>
            <w:tcW w:w="920"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2</w:t>
            </w:r>
          </w:p>
        </w:tc>
        <w:tc>
          <w:tcPr>
            <w:tcW w:w="1184"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0</w:t>
            </w:r>
          </w:p>
        </w:tc>
      </w:tr>
      <w:tr w:rsidR="00080665" w:rsidRPr="00BA4F73" w:rsidTr="00080665">
        <w:trPr>
          <w:trHeight w:val="315"/>
        </w:trPr>
        <w:tc>
          <w:tcPr>
            <w:tcW w:w="1127" w:type="pct"/>
            <w:vMerge/>
            <w:tcBorders>
              <w:top w:val="nil"/>
              <w:left w:val="single" w:sz="8" w:space="0" w:color="auto"/>
              <w:bottom w:val="single" w:sz="8" w:space="0" w:color="000000"/>
              <w:right w:val="single" w:sz="8" w:space="0" w:color="auto"/>
            </w:tcBorders>
            <w:vAlign w:val="center"/>
            <w:hideMark/>
          </w:tcPr>
          <w:p w:rsidR="00080665" w:rsidRPr="00BA4F73" w:rsidRDefault="00080665" w:rsidP="00080665">
            <w:pPr>
              <w:spacing w:after="0" w:line="240" w:lineRule="auto"/>
              <w:rPr>
                <w:rFonts w:eastAsia="Times New Roman" w:cs="Times New Roman"/>
                <w:color w:val="000000" w:themeColor="text1"/>
                <w:lang w:eastAsia="en-GB"/>
              </w:rPr>
            </w:pPr>
          </w:p>
        </w:tc>
        <w:tc>
          <w:tcPr>
            <w:tcW w:w="1002"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Police</w:t>
            </w:r>
          </w:p>
        </w:tc>
        <w:tc>
          <w:tcPr>
            <w:tcW w:w="767"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12</w:t>
            </w:r>
          </w:p>
        </w:tc>
        <w:tc>
          <w:tcPr>
            <w:tcW w:w="920"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17</w:t>
            </w:r>
          </w:p>
        </w:tc>
        <w:tc>
          <w:tcPr>
            <w:tcW w:w="1184"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39</w:t>
            </w:r>
          </w:p>
        </w:tc>
      </w:tr>
      <w:tr w:rsidR="00080665" w:rsidRPr="00BA4F73" w:rsidTr="00080665">
        <w:trPr>
          <w:trHeight w:val="315"/>
        </w:trPr>
        <w:tc>
          <w:tcPr>
            <w:tcW w:w="1127" w:type="pct"/>
            <w:vMerge/>
            <w:tcBorders>
              <w:top w:val="nil"/>
              <w:left w:val="single" w:sz="8" w:space="0" w:color="auto"/>
              <w:bottom w:val="single" w:sz="8" w:space="0" w:color="000000"/>
              <w:right w:val="single" w:sz="8" w:space="0" w:color="auto"/>
            </w:tcBorders>
            <w:vAlign w:val="center"/>
            <w:hideMark/>
          </w:tcPr>
          <w:p w:rsidR="00080665" w:rsidRPr="00BA4F73" w:rsidRDefault="00080665" w:rsidP="00080665">
            <w:pPr>
              <w:spacing w:after="0" w:line="240" w:lineRule="auto"/>
              <w:rPr>
                <w:rFonts w:eastAsia="Times New Roman" w:cs="Times New Roman"/>
                <w:color w:val="000000" w:themeColor="text1"/>
                <w:lang w:eastAsia="en-GB"/>
              </w:rPr>
            </w:pPr>
          </w:p>
        </w:tc>
        <w:tc>
          <w:tcPr>
            <w:tcW w:w="1002"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Other</w:t>
            </w:r>
          </w:p>
        </w:tc>
        <w:tc>
          <w:tcPr>
            <w:tcW w:w="767"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17</w:t>
            </w:r>
          </w:p>
        </w:tc>
        <w:tc>
          <w:tcPr>
            <w:tcW w:w="920"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66</w:t>
            </w:r>
          </w:p>
        </w:tc>
        <w:tc>
          <w:tcPr>
            <w:tcW w:w="1184"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38</w:t>
            </w:r>
          </w:p>
        </w:tc>
      </w:tr>
      <w:tr w:rsidR="00080665" w:rsidRPr="00BA4F73" w:rsidTr="00080665">
        <w:trPr>
          <w:trHeight w:val="450"/>
        </w:trPr>
        <w:tc>
          <w:tcPr>
            <w:tcW w:w="1127" w:type="pct"/>
            <w:tcBorders>
              <w:top w:val="nil"/>
              <w:left w:val="single" w:sz="8" w:space="0" w:color="auto"/>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b/>
                <w:bCs/>
                <w:color w:val="000000" w:themeColor="text1"/>
                <w:lang w:eastAsia="en-GB"/>
              </w:rPr>
            </w:pPr>
            <w:r w:rsidRPr="00BA4F73">
              <w:rPr>
                <w:rFonts w:eastAsia="Times New Roman" w:cs="Times New Roman"/>
                <w:b/>
                <w:bCs/>
                <w:color w:val="000000" w:themeColor="text1"/>
                <w:lang w:eastAsia="en-GB"/>
              </w:rPr>
              <w:t xml:space="preserve"> </w:t>
            </w:r>
          </w:p>
        </w:tc>
        <w:tc>
          <w:tcPr>
            <w:tcW w:w="1002"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b/>
                <w:bCs/>
                <w:color w:val="000000" w:themeColor="text1"/>
                <w:lang w:eastAsia="en-GB"/>
              </w:rPr>
            </w:pPr>
            <w:r w:rsidRPr="00BA4F73">
              <w:rPr>
                <w:rFonts w:eastAsia="Times New Roman" w:cs="Times New Roman"/>
                <w:b/>
                <w:bCs/>
                <w:color w:val="000000" w:themeColor="text1"/>
                <w:lang w:eastAsia="en-GB"/>
              </w:rPr>
              <w:t>Total</w:t>
            </w:r>
          </w:p>
        </w:tc>
        <w:tc>
          <w:tcPr>
            <w:tcW w:w="767"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b/>
                <w:bCs/>
                <w:color w:val="000000" w:themeColor="text1"/>
                <w:lang w:eastAsia="en-GB"/>
              </w:rPr>
            </w:pPr>
            <w:r w:rsidRPr="00BA4F73">
              <w:rPr>
                <w:rFonts w:eastAsia="Times New Roman" w:cs="Times New Roman"/>
                <w:b/>
                <w:bCs/>
                <w:color w:val="000000" w:themeColor="text1"/>
                <w:lang w:eastAsia="en-GB"/>
              </w:rPr>
              <w:t>491</w:t>
            </w:r>
          </w:p>
        </w:tc>
        <w:tc>
          <w:tcPr>
            <w:tcW w:w="920"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b/>
                <w:bCs/>
                <w:color w:val="000000" w:themeColor="text1"/>
                <w:lang w:eastAsia="en-GB"/>
              </w:rPr>
            </w:pPr>
            <w:r w:rsidRPr="00BA4F73">
              <w:rPr>
                <w:rFonts w:eastAsia="Times New Roman" w:cs="Times New Roman"/>
                <w:b/>
                <w:bCs/>
                <w:color w:val="000000" w:themeColor="text1"/>
                <w:lang w:eastAsia="en-GB"/>
              </w:rPr>
              <w:t>527</w:t>
            </w:r>
          </w:p>
        </w:tc>
        <w:tc>
          <w:tcPr>
            <w:tcW w:w="1184"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b/>
                <w:bCs/>
                <w:color w:val="000000" w:themeColor="text1"/>
                <w:lang w:eastAsia="en-GB"/>
              </w:rPr>
            </w:pPr>
            <w:r w:rsidRPr="00BA4F73">
              <w:rPr>
                <w:rFonts w:eastAsia="Times New Roman" w:cs="Times New Roman"/>
                <w:b/>
                <w:bCs/>
                <w:color w:val="000000" w:themeColor="text1"/>
                <w:lang w:eastAsia="en-GB"/>
              </w:rPr>
              <w:t>538</w:t>
            </w:r>
          </w:p>
        </w:tc>
      </w:tr>
    </w:tbl>
    <w:p w:rsidR="00080665" w:rsidRPr="00BA4F73" w:rsidRDefault="00080665" w:rsidP="00602DBC">
      <w:pPr>
        <w:rPr>
          <w:color w:val="000000" w:themeColor="text1"/>
        </w:rPr>
      </w:pPr>
    </w:p>
    <w:p w:rsidR="00794C0C" w:rsidRPr="00BA4F73" w:rsidRDefault="00794C0C" w:rsidP="00602DBC">
      <w:pPr>
        <w:rPr>
          <w:color w:val="000000" w:themeColor="text1"/>
        </w:rPr>
      </w:pPr>
    </w:p>
    <w:p w:rsidR="00602DBC" w:rsidRPr="00BA4F73" w:rsidRDefault="00602DBC" w:rsidP="00602DBC">
      <w:pPr>
        <w:rPr>
          <w:color w:val="000000" w:themeColor="text1"/>
        </w:rPr>
      </w:pPr>
    </w:p>
    <w:p w:rsidR="00F23777" w:rsidRPr="00BA4F73" w:rsidRDefault="00186055" w:rsidP="00F23777">
      <w:pPr>
        <w:pStyle w:val="Heading2"/>
        <w:rPr>
          <w:rFonts w:asciiTheme="minorHAnsi" w:hAnsiTheme="minorHAnsi" w:cs="Arial"/>
          <w:color w:val="000000" w:themeColor="text1"/>
          <w:szCs w:val="24"/>
          <w:u w:val="single"/>
        </w:rPr>
      </w:pPr>
      <w:r w:rsidRPr="00BA4F73">
        <w:rPr>
          <w:rFonts w:asciiTheme="minorHAnsi" w:hAnsiTheme="minorHAnsi" w:cs="Arial"/>
          <w:color w:val="000000" w:themeColor="text1"/>
          <w:szCs w:val="24"/>
          <w:u w:val="single"/>
        </w:rPr>
        <w:t xml:space="preserve">Section 3 - </w:t>
      </w:r>
      <w:r w:rsidR="00F23777" w:rsidRPr="00BA4F73">
        <w:rPr>
          <w:rFonts w:asciiTheme="minorHAnsi" w:hAnsiTheme="minorHAnsi" w:cs="Arial"/>
          <w:color w:val="000000" w:themeColor="text1"/>
          <w:szCs w:val="24"/>
          <w:u w:val="single"/>
        </w:rPr>
        <w:t>Individuals with safeguarding enquiries</w:t>
      </w:r>
    </w:p>
    <w:p w:rsidR="00377AEA" w:rsidRPr="00BA4F73" w:rsidRDefault="00F23777" w:rsidP="00377AEA">
      <w:pPr>
        <w:pStyle w:val="Heading3"/>
        <w:rPr>
          <w:rFonts w:asciiTheme="minorHAnsi" w:hAnsiTheme="minorHAnsi" w:cs="Arial"/>
          <w:color w:val="000000" w:themeColor="text1"/>
          <w:sz w:val="24"/>
          <w:szCs w:val="24"/>
        </w:rPr>
      </w:pPr>
      <w:r w:rsidRPr="00BA4F73">
        <w:rPr>
          <w:rFonts w:asciiTheme="minorHAnsi" w:hAnsiTheme="minorHAnsi" w:cs="Arial"/>
          <w:color w:val="000000" w:themeColor="text1"/>
          <w:sz w:val="24"/>
          <w:szCs w:val="24"/>
        </w:rPr>
        <w:t>Age</w:t>
      </w:r>
      <w:r w:rsidR="00377AEA" w:rsidRPr="00BA4F73">
        <w:rPr>
          <w:rFonts w:asciiTheme="minorHAnsi" w:hAnsiTheme="minorHAnsi" w:cs="Arial"/>
          <w:color w:val="000000" w:themeColor="text1"/>
          <w:sz w:val="24"/>
          <w:szCs w:val="24"/>
        </w:rPr>
        <w:t xml:space="preserve"> group and gender</w:t>
      </w:r>
    </w:p>
    <w:p w:rsidR="00794C0C" w:rsidRPr="00BA4F73" w:rsidRDefault="00A43A7B" w:rsidP="003937E7">
      <w:pPr>
        <w:rPr>
          <w:rFonts w:cs="Times New Roman"/>
          <w:color w:val="000000" w:themeColor="text1"/>
          <w:szCs w:val="24"/>
        </w:rPr>
      </w:pPr>
      <w:r w:rsidRPr="00BA4F73">
        <w:rPr>
          <w:rFonts w:cs="Times New Roman"/>
          <w:color w:val="000000" w:themeColor="text1"/>
          <w:szCs w:val="24"/>
        </w:rPr>
        <w:t>Table</w:t>
      </w:r>
      <w:r w:rsidR="00E2318F" w:rsidRPr="00BA4F73">
        <w:rPr>
          <w:rFonts w:cs="Times New Roman"/>
          <w:color w:val="000000" w:themeColor="text1"/>
          <w:szCs w:val="24"/>
        </w:rPr>
        <w:t>s</w:t>
      </w:r>
      <w:r w:rsidR="001C7DCF" w:rsidRPr="00BA4F73">
        <w:rPr>
          <w:rFonts w:cs="Times New Roman"/>
          <w:color w:val="000000" w:themeColor="text1"/>
          <w:szCs w:val="24"/>
        </w:rPr>
        <w:t xml:space="preserve"> </w:t>
      </w:r>
      <w:r w:rsidR="003937E7" w:rsidRPr="00BA4F73">
        <w:rPr>
          <w:rFonts w:cs="Times New Roman"/>
          <w:color w:val="000000" w:themeColor="text1"/>
          <w:szCs w:val="24"/>
        </w:rPr>
        <w:t>3, 4 and 5</w:t>
      </w:r>
      <w:r w:rsidR="003937E7" w:rsidRPr="00BA4F73">
        <w:rPr>
          <w:rFonts w:cs="Times New Roman"/>
          <w:color w:val="000000" w:themeColor="text1"/>
        </w:rPr>
        <w:t xml:space="preserve"> </w:t>
      </w:r>
      <w:r w:rsidR="00E2318F" w:rsidRPr="00BA4F73">
        <w:rPr>
          <w:rFonts w:cs="Times New Roman"/>
          <w:color w:val="000000" w:themeColor="text1"/>
          <w:szCs w:val="24"/>
        </w:rPr>
        <w:t>display</w:t>
      </w:r>
      <w:r w:rsidR="00F021FE" w:rsidRPr="00BA4F73">
        <w:rPr>
          <w:rFonts w:cs="Times New Roman"/>
          <w:color w:val="000000" w:themeColor="text1"/>
          <w:szCs w:val="24"/>
        </w:rPr>
        <w:t xml:space="preserve"> </w:t>
      </w:r>
      <w:r w:rsidRPr="00BA4F73">
        <w:rPr>
          <w:rFonts w:cs="Times New Roman"/>
          <w:color w:val="000000" w:themeColor="text1"/>
          <w:szCs w:val="24"/>
        </w:rPr>
        <w:t xml:space="preserve">the </w:t>
      </w:r>
      <w:r w:rsidR="00E2318F" w:rsidRPr="00BA4F73">
        <w:rPr>
          <w:rFonts w:cs="Times New Roman"/>
          <w:color w:val="000000" w:themeColor="text1"/>
          <w:szCs w:val="24"/>
        </w:rPr>
        <w:t>breakdown by</w:t>
      </w:r>
      <w:r w:rsidRPr="00BA4F73">
        <w:rPr>
          <w:rFonts w:cs="Times New Roman"/>
          <w:color w:val="000000" w:themeColor="text1"/>
          <w:szCs w:val="24"/>
        </w:rPr>
        <w:t xml:space="preserve"> </w:t>
      </w:r>
      <w:r w:rsidR="00E2318F" w:rsidRPr="00BA4F73">
        <w:rPr>
          <w:rFonts w:cs="Times New Roman"/>
          <w:color w:val="000000" w:themeColor="text1"/>
          <w:szCs w:val="24"/>
        </w:rPr>
        <w:t>age group</w:t>
      </w:r>
      <w:r w:rsidR="00F021FE" w:rsidRPr="00BA4F73">
        <w:rPr>
          <w:rFonts w:cs="Times New Roman"/>
          <w:color w:val="000000" w:themeColor="text1"/>
          <w:szCs w:val="24"/>
        </w:rPr>
        <w:t xml:space="preserve"> </w:t>
      </w:r>
      <w:r w:rsidR="00E2318F" w:rsidRPr="00BA4F73">
        <w:rPr>
          <w:rFonts w:cs="Times New Roman"/>
          <w:color w:val="000000" w:themeColor="text1"/>
          <w:szCs w:val="24"/>
        </w:rPr>
        <w:t xml:space="preserve">and gender </w:t>
      </w:r>
      <w:r w:rsidR="00F021FE" w:rsidRPr="00BA4F73">
        <w:rPr>
          <w:rFonts w:cs="Times New Roman"/>
          <w:color w:val="000000" w:themeColor="text1"/>
          <w:szCs w:val="24"/>
        </w:rPr>
        <w:t xml:space="preserve">for individuals </w:t>
      </w:r>
      <w:r w:rsidR="00B64383" w:rsidRPr="00BA4F73">
        <w:rPr>
          <w:rFonts w:cs="Times New Roman"/>
          <w:color w:val="000000" w:themeColor="text1"/>
          <w:szCs w:val="24"/>
        </w:rPr>
        <w:t>who had a safeguarding enquiry</w:t>
      </w:r>
      <w:r w:rsidR="00F021FE" w:rsidRPr="00BA4F73">
        <w:rPr>
          <w:rFonts w:cs="Times New Roman"/>
          <w:color w:val="000000" w:themeColor="text1"/>
          <w:szCs w:val="24"/>
        </w:rPr>
        <w:t xml:space="preserve"> in the </w:t>
      </w:r>
      <w:r w:rsidRPr="00BA4F73">
        <w:rPr>
          <w:rFonts w:cs="Times New Roman"/>
          <w:color w:val="000000" w:themeColor="text1"/>
          <w:szCs w:val="24"/>
        </w:rPr>
        <w:t>last</w:t>
      </w:r>
      <w:r w:rsidR="00F021FE" w:rsidRPr="00BA4F73">
        <w:rPr>
          <w:rFonts w:cs="Times New Roman"/>
          <w:color w:val="000000" w:themeColor="text1"/>
          <w:szCs w:val="24"/>
        </w:rPr>
        <w:t xml:space="preserve"> </w:t>
      </w:r>
      <w:r w:rsidR="003937E7" w:rsidRPr="00BA4F73">
        <w:rPr>
          <w:rFonts w:cs="Times New Roman"/>
          <w:color w:val="000000" w:themeColor="text1"/>
        </w:rPr>
        <w:t xml:space="preserve">3 </w:t>
      </w:r>
      <w:r w:rsidR="00F021FE" w:rsidRPr="00BA4F73">
        <w:rPr>
          <w:rFonts w:cs="Times New Roman"/>
          <w:color w:val="000000" w:themeColor="text1"/>
          <w:szCs w:val="24"/>
        </w:rPr>
        <w:t xml:space="preserve">years. </w:t>
      </w:r>
      <w:r w:rsidR="00E57C52" w:rsidRPr="00BA4F73">
        <w:rPr>
          <w:rFonts w:cs="Times New Roman"/>
          <w:color w:val="000000" w:themeColor="text1"/>
          <w:szCs w:val="24"/>
        </w:rPr>
        <w:t>The majority of enquiries conti</w:t>
      </w:r>
      <w:r w:rsidR="003937E7" w:rsidRPr="00BA4F73">
        <w:rPr>
          <w:rFonts w:cs="Times New Roman"/>
          <w:color w:val="000000" w:themeColor="text1"/>
          <w:szCs w:val="24"/>
        </w:rPr>
        <w:t xml:space="preserve">nue to relate to </w:t>
      </w:r>
      <w:r w:rsidR="00E57C52" w:rsidRPr="00BA4F73">
        <w:rPr>
          <w:rFonts w:cs="Times New Roman"/>
          <w:color w:val="000000" w:themeColor="text1"/>
          <w:szCs w:val="24"/>
        </w:rPr>
        <w:t>t</w:t>
      </w:r>
      <w:r w:rsidR="00F021FE" w:rsidRPr="00BA4F73">
        <w:rPr>
          <w:rFonts w:cs="Times New Roman"/>
          <w:color w:val="000000" w:themeColor="text1"/>
          <w:szCs w:val="24"/>
        </w:rPr>
        <w:t>he 65 and</w:t>
      </w:r>
      <w:r w:rsidR="00DA2DAE" w:rsidRPr="00BA4F73">
        <w:rPr>
          <w:rFonts w:cs="Times New Roman"/>
          <w:color w:val="000000" w:themeColor="text1"/>
          <w:szCs w:val="24"/>
        </w:rPr>
        <w:t xml:space="preserve"> over age group </w:t>
      </w:r>
      <w:r w:rsidR="003937E7" w:rsidRPr="00BA4F73">
        <w:rPr>
          <w:rFonts w:cs="Times New Roman"/>
          <w:color w:val="000000" w:themeColor="text1"/>
          <w:szCs w:val="24"/>
        </w:rPr>
        <w:t xml:space="preserve">which </w:t>
      </w:r>
      <w:r w:rsidR="00DA2DAE" w:rsidRPr="00BA4F73">
        <w:rPr>
          <w:rFonts w:cs="Times New Roman"/>
          <w:color w:val="000000" w:themeColor="text1"/>
          <w:szCs w:val="24"/>
        </w:rPr>
        <w:t xml:space="preserve">accounted for </w:t>
      </w:r>
      <w:r w:rsidR="003937E7" w:rsidRPr="00BA4F73">
        <w:rPr>
          <w:rFonts w:cs="Times New Roman"/>
          <w:color w:val="000000" w:themeColor="text1"/>
        </w:rPr>
        <w:t>57</w:t>
      </w:r>
      <w:r w:rsidR="00F021FE" w:rsidRPr="00BA4F73">
        <w:rPr>
          <w:rFonts w:cs="Times New Roman"/>
          <w:color w:val="000000" w:themeColor="text1"/>
          <w:szCs w:val="24"/>
        </w:rPr>
        <w:t>% of enquiries</w:t>
      </w:r>
      <w:r w:rsidR="00E57C52" w:rsidRPr="00BA4F73">
        <w:rPr>
          <w:rFonts w:cs="Times New Roman"/>
          <w:color w:val="000000" w:themeColor="text1"/>
          <w:szCs w:val="24"/>
        </w:rPr>
        <w:t xml:space="preserve"> in 2015/16</w:t>
      </w:r>
      <w:r w:rsidR="00F021FE" w:rsidRPr="00BA4F73">
        <w:rPr>
          <w:rFonts w:cs="Times New Roman"/>
          <w:color w:val="000000" w:themeColor="text1"/>
          <w:szCs w:val="24"/>
        </w:rPr>
        <w:t>.</w:t>
      </w:r>
      <w:r w:rsidR="00E2318F" w:rsidRPr="00BA4F73">
        <w:rPr>
          <w:rFonts w:cs="Times New Roman"/>
          <w:color w:val="000000" w:themeColor="text1"/>
          <w:szCs w:val="24"/>
        </w:rPr>
        <w:t xml:space="preserve"> </w:t>
      </w:r>
      <w:r w:rsidR="003937E7" w:rsidRPr="00BA4F73">
        <w:rPr>
          <w:rFonts w:cs="Times New Roman"/>
          <w:color w:val="000000" w:themeColor="text1"/>
          <w:szCs w:val="24"/>
        </w:rPr>
        <w:t>Between the ages of 65 and 94 the older the individual becomes the more enqu</w:t>
      </w:r>
      <w:r w:rsidR="00494708" w:rsidRPr="00BA4F73">
        <w:rPr>
          <w:rFonts w:cs="Times New Roman"/>
          <w:color w:val="000000" w:themeColor="text1"/>
          <w:szCs w:val="24"/>
        </w:rPr>
        <w:t>iries are raised. The 18-64 a</w:t>
      </w:r>
      <w:r w:rsidR="00D9449E" w:rsidRPr="00BA4F73">
        <w:rPr>
          <w:rFonts w:cs="Times New Roman"/>
          <w:color w:val="000000" w:themeColor="text1"/>
          <w:szCs w:val="24"/>
        </w:rPr>
        <w:t>ge</w:t>
      </w:r>
      <w:r w:rsidR="00494708" w:rsidRPr="00BA4F73">
        <w:rPr>
          <w:rFonts w:cs="Times New Roman"/>
          <w:color w:val="000000" w:themeColor="text1"/>
          <w:szCs w:val="24"/>
        </w:rPr>
        <w:t xml:space="preserve"> cohort </w:t>
      </w:r>
      <w:r w:rsidR="003937E7" w:rsidRPr="00BA4F73">
        <w:rPr>
          <w:rFonts w:cs="Times New Roman"/>
          <w:color w:val="000000" w:themeColor="text1"/>
          <w:szCs w:val="24"/>
        </w:rPr>
        <w:t>has seen a fall o</w:t>
      </w:r>
      <w:r w:rsidR="00D9449E" w:rsidRPr="00BA4F73">
        <w:rPr>
          <w:rFonts w:cs="Times New Roman"/>
          <w:color w:val="000000" w:themeColor="text1"/>
          <w:szCs w:val="24"/>
        </w:rPr>
        <w:t>f 9% proportionately since 2013/</w:t>
      </w:r>
      <w:r w:rsidR="003937E7" w:rsidRPr="00BA4F73">
        <w:rPr>
          <w:rFonts w:cs="Times New Roman"/>
          <w:color w:val="000000" w:themeColor="text1"/>
          <w:szCs w:val="24"/>
        </w:rPr>
        <w:t>14 whereas the other age groups have stayed fairly consistent over the past year</w:t>
      </w:r>
      <w:r w:rsidR="00E2318F" w:rsidRPr="00BA4F73">
        <w:rPr>
          <w:rFonts w:cs="Times New Roman"/>
          <w:color w:val="000000" w:themeColor="text1"/>
          <w:szCs w:val="24"/>
        </w:rPr>
        <w:t>.</w:t>
      </w:r>
    </w:p>
    <w:p w:rsidR="005D7BF1" w:rsidRPr="00BA4F73" w:rsidRDefault="00080665" w:rsidP="005D7BF1">
      <w:pPr>
        <w:pStyle w:val="Caption"/>
        <w:keepNext/>
        <w:rPr>
          <w:rFonts w:cs="Arial"/>
          <w:color w:val="000000" w:themeColor="text1"/>
          <w:sz w:val="22"/>
          <w:szCs w:val="22"/>
        </w:rPr>
      </w:pPr>
      <w:r w:rsidRPr="00BA4F73">
        <w:rPr>
          <w:rFonts w:cs="Arial"/>
          <w:color w:val="000000" w:themeColor="text1"/>
          <w:sz w:val="22"/>
          <w:szCs w:val="22"/>
        </w:rPr>
        <w:t xml:space="preserve">Table 3 </w:t>
      </w:r>
      <w:r w:rsidR="00794C0C" w:rsidRPr="00BA4F73">
        <w:rPr>
          <w:rFonts w:cs="Arial"/>
          <w:color w:val="000000" w:themeColor="text1"/>
          <w:sz w:val="22"/>
          <w:szCs w:val="22"/>
        </w:rPr>
        <w:t>– Age group of individuals with safeguarding enquiries, 2014-16</w:t>
      </w:r>
    </w:p>
    <w:tbl>
      <w:tblPr>
        <w:tblW w:w="5000" w:type="pct"/>
        <w:tblLook w:val="04A0" w:firstRow="1" w:lastRow="0" w:firstColumn="1" w:lastColumn="0" w:noHBand="0" w:noVBand="1"/>
      </w:tblPr>
      <w:tblGrid>
        <w:gridCol w:w="1664"/>
        <w:gridCol w:w="1137"/>
        <w:gridCol w:w="1275"/>
        <w:gridCol w:w="1277"/>
        <w:gridCol w:w="1420"/>
        <w:gridCol w:w="1133"/>
        <w:gridCol w:w="1336"/>
      </w:tblGrid>
      <w:tr w:rsidR="003227AB" w:rsidRPr="00BA4F73" w:rsidTr="003227AB">
        <w:trPr>
          <w:trHeight w:val="300"/>
        </w:trPr>
        <w:tc>
          <w:tcPr>
            <w:tcW w:w="90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Age band</w:t>
            </w:r>
          </w:p>
        </w:tc>
        <w:tc>
          <w:tcPr>
            <w:tcW w:w="615" w:type="pct"/>
            <w:tcBorders>
              <w:top w:val="single" w:sz="4" w:space="0" w:color="auto"/>
              <w:left w:val="nil"/>
              <w:bottom w:val="single" w:sz="4" w:space="0" w:color="auto"/>
              <w:right w:val="single" w:sz="4" w:space="0" w:color="auto"/>
            </w:tcBorders>
            <w:shd w:val="clear" w:color="auto" w:fill="auto"/>
            <w:vAlign w:val="center"/>
            <w:hideMark/>
          </w:tcPr>
          <w:p w:rsidR="003227AB" w:rsidRPr="00BA4F73" w:rsidRDefault="00D9449E"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2013/</w:t>
            </w:r>
            <w:r w:rsidR="003227AB" w:rsidRPr="00BA4F73">
              <w:rPr>
                <w:rFonts w:ascii="Calibri" w:eastAsia="Times New Roman" w:hAnsi="Calibri" w:cs="Times New Roman"/>
                <w:color w:val="000000" w:themeColor="text1"/>
                <w:lang w:eastAsia="en-GB"/>
              </w:rPr>
              <w:t>14</w:t>
            </w:r>
          </w:p>
        </w:tc>
        <w:tc>
          <w:tcPr>
            <w:tcW w:w="690" w:type="pct"/>
            <w:tcBorders>
              <w:top w:val="single" w:sz="4" w:space="0" w:color="auto"/>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i/>
                <w:iCs/>
                <w:color w:val="000000" w:themeColor="text1"/>
                <w:lang w:eastAsia="en-GB"/>
              </w:rPr>
            </w:pPr>
            <w:r w:rsidRPr="00BA4F73">
              <w:rPr>
                <w:rFonts w:ascii="Calibri" w:eastAsia="Times New Roman" w:hAnsi="Calibri" w:cs="Times New Roman"/>
                <w:i/>
                <w:iCs/>
                <w:color w:val="000000" w:themeColor="text1"/>
                <w:lang w:eastAsia="en-GB"/>
              </w:rPr>
              <w:t>% of total</w:t>
            </w:r>
          </w:p>
        </w:tc>
        <w:tc>
          <w:tcPr>
            <w:tcW w:w="691" w:type="pct"/>
            <w:tcBorders>
              <w:top w:val="single" w:sz="4" w:space="0" w:color="auto"/>
              <w:left w:val="nil"/>
              <w:bottom w:val="single" w:sz="4" w:space="0" w:color="auto"/>
              <w:right w:val="single" w:sz="4" w:space="0" w:color="auto"/>
            </w:tcBorders>
            <w:shd w:val="clear" w:color="auto" w:fill="auto"/>
            <w:noWrap/>
            <w:vAlign w:val="center"/>
            <w:hideMark/>
          </w:tcPr>
          <w:p w:rsidR="003227AB" w:rsidRPr="00BA4F73" w:rsidRDefault="00D9449E"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2014/</w:t>
            </w:r>
            <w:r w:rsidR="003227AB" w:rsidRPr="00BA4F73">
              <w:rPr>
                <w:rFonts w:ascii="Calibri" w:eastAsia="Times New Roman" w:hAnsi="Calibri" w:cs="Times New Roman"/>
                <w:color w:val="000000" w:themeColor="text1"/>
                <w:lang w:eastAsia="en-GB"/>
              </w:rPr>
              <w:t>15</w:t>
            </w:r>
          </w:p>
        </w:tc>
        <w:tc>
          <w:tcPr>
            <w:tcW w:w="768" w:type="pct"/>
            <w:tcBorders>
              <w:top w:val="single" w:sz="4" w:space="0" w:color="auto"/>
              <w:left w:val="nil"/>
              <w:bottom w:val="single" w:sz="4" w:space="0" w:color="auto"/>
              <w:right w:val="single" w:sz="4" w:space="0" w:color="auto"/>
            </w:tcBorders>
            <w:shd w:val="clear" w:color="auto" w:fill="auto"/>
            <w:noWrap/>
            <w:vAlign w:val="center"/>
            <w:hideMark/>
          </w:tcPr>
          <w:p w:rsidR="003227AB" w:rsidRPr="00BA4F73" w:rsidRDefault="003227AB" w:rsidP="003227AB">
            <w:pPr>
              <w:spacing w:after="0" w:line="240" w:lineRule="auto"/>
              <w:jc w:val="center"/>
              <w:rPr>
                <w:rFonts w:ascii="Calibri" w:eastAsia="Times New Roman" w:hAnsi="Calibri" w:cs="Times New Roman"/>
                <w:i/>
                <w:color w:val="000000" w:themeColor="text1"/>
                <w:lang w:eastAsia="en-GB"/>
              </w:rPr>
            </w:pPr>
            <w:r w:rsidRPr="00BA4F73">
              <w:rPr>
                <w:rFonts w:ascii="Calibri" w:eastAsia="Times New Roman" w:hAnsi="Calibri" w:cs="Times New Roman"/>
                <w:i/>
                <w:color w:val="000000" w:themeColor="text1"/>
                <w:lang w:eastAsia="en-GB"/>
              </w:rPr>
              <w:t>% of total</w:t>
            </w:r>
          </w:p>
        </w:tc>
        <w:tc>
          <w:tcPr>
            <w:tcW w:w="613" w:type="pct"/>
            <w:tcBorders>
              <w:top w:val="single" w:sz="4" w:space="0" w:color="auto"/>
              <w:left w:val="nil"/>
              <w:bottom w:val="single" w:sz="4" w:space="0" w:color="auto"/>
              <w:right w:val="single" w:sz="4" w:space="0" w:color="auto"/>
            </w:tcBorders>
            <w:shd w:val="clear" w:color="auto" w:fill="auto"/>
            <w:vAlign w:val="center"/>
            <w:hideMark/>
          </w:tcPr>
          <w:p w:rsidR="003227AB" w:rsidRPr="00BA4F73" w:rsidRDefault="00D9449E"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2015/</w:t>
            </w:r>
            <w:r w:rsidR="003227AB" w:rsidRPr="00BA4F73">
              <w:rPr>
                <w:rFonts w:ascii="Calibri" w:eastAsia="Times New Roman" w:hAnsi="Calibri" w:cs="Times New Roman"/>
                <w:color w:val="000000" w:themeColor="text1"/>
                <w:lang w:eastAsia="en-GB"/>
              </w:rPr>
              <w:t>16</w:t>
            </w:r>
          </w:p>
        </w:tc>
        <w:tc>
          <w:tcPr>
            <w:tcW w:w="723" w:type="pct"/>
            <w:tcBorders>
              <w:top w:val="single" w:sz="4" w:space="0" w:color="auto"/>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i/>
                <w:color w:val="000000" w:themeColor="text1"/>
                <w:lang w:eastAsia="en-GB"/>
              </w:rPr>
            </w:pPr>
            <w:r w:rsidRPr="00BA4F73">
              <w:rPr>
                <w:rFonts w:ascii="Calibri" w:eastAsia="Times New Roman" w:hAnsi="Calibri" w:cs="Times New Roman"/>
                <w:i/>
                <w:color w:val="000000" w:themeColor="text1"/>
                <w:lang w:eastAsia="en-GB"/>
              </w:rPr>
              <w:t>% of total</w:t>
            </w:r>
          </w:p>
        </w:tc>
      </w:tr>
      <w:tr w:rsidR="003227AB" w:rsidRPr="00BA4F73" w:rsidTr="003227AB">
        <w:trPr>
          <w:trHeight w:val="300"/>
        </w:trPr>
        <w:tc>
          <w:tcPr>
            <w:tcW w:w="900" w:type="pct"/>
            <w:tcBorders>
              <w:top w:val="nil"/>
              <w:left w:val="single" w:sz="4" w:space="0" w:color="auto"/>
              <w:bottom w:val="single" w:sz="4" w:space="0" w:color="auto"/>
              <w:right w:val="single" w:sz="4" w:space="0" w:color="auto"/>
            </w:tcBorders>
            <w:shd w:val="clear" w:color="auto" w:fill="auto"/>
            <w:noWrap/>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18-64</w:t>
            </w:r>
          </w:p>
        </w:tc>
        <w:tc>
          <w:tcPr>
            <w:tcW w:w="615"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210</w:t>
            </w:r>
          </w:p>
        </w:tc>
        <w:tc>
          <w:tcPr>
            <w:tcW w:w="69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51%</w:t>
            </w:r>
          </w:p>
        </w:tc>
        <w:tc>
          <w:tcPr>
            <w:tcW w:w="691" w:type="pct"/>
            <w:tcBorders>
              <w:top w:val="nil"/>
              <w:left w:val="nil"/>
              <w:bottom w:val="single" w:sz="4" w:space="0" w:color="auto"/>
              <w:right w:val="single" w:sz="4" w:space="0" w:color="auto"/>
            </w:tcBorders>
            <w:shd w:val="clear" w:color="auto" w:fill="auto"/>
            <w:noWrap/>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197</w:t>
            </w:r>
          </w:p>
        </w:tc>
        <w:tc>
          <w:tcPr>
            <w:tcW w:w="768" w:type="pct"/>
            <w:tcBorders>
              <w:top w:val="nil"/>
              <w:left w:val="nil"/>
              <w:bottom w:val="single" w:sz="4" w:space="0" w:color="auto"/>
              <w:right w:val="single" w:sz="4" w:space="0" w:color="auto"/>
            </w:tcBorders>
            <w:shd w:val="clear" w:color="auto" w:fill="auto"/>
            <w:noWrap/>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41%</w:t>
            </w:r>
          </w:p>
        </w:tc>
        <w:tc>
          <w:tcPr>
            <w:tcW w:w="613"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216</w:t>
            </w:r>
          </w:p>
        </w:tc>
        <w:tc>
          <w:tcPr>
            <w:tcW w:w="723"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42%</w:t>
            </w:r>
          </w:p>
        </w:tc>
      </w:tr>
      <w:tr w:rsidR="003227AB" w:rsidRPr="00BA4F73" w:rsidTr="003227AB">
        <w:trPr>
          <w:trHeight w:val="300"/>
        </w:trPr>
        <w:tc>
          <w:tcPr>
            <w:tcW w:w="900" w:type="pct"/>
            <w:tcBorders>
              <w:top w:val="nil"/>
              <w:left w:val="single" w:sz="4" w:space="0" w:color="auto"/>
              <w:bottom w:val="single" w:sz="4" w:space="0" w:color="auto"/>
              <w:right w:val="single" w:sz="4" w:space="0" w:color="auto"/>
            </w:tcBorders>
            <w:shd w:val="clear" w:color="auto" w:fill="auto"/>
            <w:noWrap/>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65-74</w:t>
            </w:r>
          </w:p>
        </w:tc>
        <w:tc>
          <w:tcPr>
            <w:tcW w:w="615"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38</w:t>
            </w:r>
          </w:p>
        </w:tc>
        <w:tc>
          <w:tcPr>
            <w:tcW w:w="69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9%</w:t>
            </w:r>
          </w:p>
        </w:tc>
        <w:tc>
          <w:tcPr>
            <w:tcW w:w="691" w:type="pct"/>
            <w:tcBorders>
              <w:top w:val="nil"/>
              <w:left w:val="nil"/>
              <w:bottom w:val="single" w:sz="4" w:space="0" w:color="auto"/>
              <w:right w:val="single" w:sz="4" w:space="0" w:color="auto"/>
            </w:tcBorders>
            <w:shd w:val="clear" w:color="auto" w:fill="auto"/>
            <w:noWrap/>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55</w:t>
            </w:r>
          </w:p>
        </w:tc>
        <w:tc>
          <w:tcPr>
            <w:tcW w:w="768" w:type="pct"/>
            <w:tcBorders>
              <w:top w:val="nil"/>
              <w:left w:val="nil"/>
              <w:bottom w:val="single" w:sz="4" w:space="0" w:color="auto"/>
              <w:right w:val="single" w:sz="4" w:space="0" w:color="auto"/>
            </w:tcBorders>
            <w:shd w:val="clear" w:color="auto" w:fill="auto"/>
            <w:noWrap/>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12%</w:t>
            </w:r>
          </w:p>
        </w:tc>
        <w:tc>
          <w:tcPr>
            <w:tcW w:w="613"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66</w:t>
            </w:r>
          </w:p>
        </w:tc>
        <w:tc>
          <w:tcPr>
            <w:tcW w:w="723"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13%</w:t>
            </w:r>
          </w:p>
        </w:tc>
      </w:tr>
      <w:tr w:rsidR="003227AB" w:rsidRPr="00BA4F73" w:rsidTr="003227AB">
        <w:trPr>
          <w:trHeight w:val="300"/>
        </w:trPr>
        <w:tc>
          <w:tcPr>
            <w:tcW w:w="900" w:type="pct"/>
            <w:tcBorders>
              <w:top w:val="nil"/>
              <w:left w:val="single" w:sz="4" w:space="0" w:color="auto"/>
              <w:bottom w:val="single" w:sz="4" w:space="0" w:color="auto"/>
              <w:right w:val="single" w:sz="4" w:space="0" w:color="auto"/>
            </w:tcBorders>
            <w:shd w:val="clear" w:color="auto" w:fill="auto"/>
            <w:noWrap/>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75-84</w:t>
            </w:r>
          </w:p>
        </w:tc>
        <w:tc>
          <w:tcPr>
            <w:tcW w:w="615"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75</w:t>
            </w:r>
          </w:p>
        </w:tc>
        <w:tc>
          <w:tcPr>
            <w:tcW w:w="69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18%</w:t>
            </w:r>
          </w:p>
        </w:tc>
        <w:tc>
          <w:tcPr>
            <w:tcW w:w="691" w:type="pct"/>
            <w:tcBorders>
              <w:top w:val="nil"/>
              <w:left w:val="nil"/>
              <w:bottom w:val="single" w:sz="4" w:space="0" w:color="auto"/>
              <w:right w:val="single" w:sz="4" w:space="0" w:color="auto"/>
            </w:tcBorders>
            <w:shd w:val="clear" w:color="auto" w:fill="auto"/>
            <w:noWrap/>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103</w:t>
            </w:r>
          </w:p>
        </w:tc>
        <w:tc>
          <w:tcPr>
            <w:tcW w:w="768" w:type="pct"/>
            <w:tcBorders>
              <w:top w:val="nil"/>
              <w:left w:val="nil"/>
              <w:bottom w:val="single" w:sz="4" w:space="0" w:color="auto"/>
              <w:right w:val="single" w:sz="4" w:space="0" w:color="auto"/>
            </w:tcBorders>
            <w:shd w:val="clear" w:color="auto" w:fill="auto"/>
            <w:noWrap/>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22%</w:t>
            </w:r>
          </w:p>
        </w:tc>
        <w:tc>
          <w:tcPr>
            <w:tcW w:w="613"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97</w:t>
            </w:r>
          </w:p>
        </w:tc>
        <w:tc>
          <w:tcPr>
            <w:tcW w:w="723"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19%</w:t>
            </w:r>
          </w:p>
        </w:tc>
      </w:tr>
      <w:tr w:rsidR="003227AB" w:rsidRPr="00BA4F73" w:rsidTr="003227AB">
        <w:trPr>
          <w:trHeight w:val="300"/>
        </w:trPr>
        <w:tc>
          <w:tcPr>
            <w:tcW w:w="900" w:type="pct"/>
            <w:tcBorders>
              <w:top w:val="nil"/>
              <w:left w:val="single" w:sz="4" w:space="0" w:color="auto"/>
              <w:bottom w:val="single" w:sz="4" w:space="0" w:color="auto"/>
              <w:right w:val="single" w:sz="4" w:space="0" w:color="auto"/>
            </w:tcBorders>
            <w:shd w:val="clear" w:color="auto" w:fill="auto"/>
            <w:noWrap/>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85-94</w:t>
            </w:r>
          </w:p>
        </w:tc>
        <w:tc>
          <w:tcPr>
            <w:tcW w:w="615"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78</w:t>
            </w:r>
          </w:p>
        </w:tc>
        <w:tc>
          <w:tcPr>
            <w:tcW w:w="69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19%</w:t>
            </w:r>
          </w:p>
        </w:tc>
        <w:tc>
          <w:tcPr>
            <w:tcW w:w="691" w:type="pct"/>
            <w:tcBorders>
              <w:top w:val="nil"/>
              <w:left w:val="nil"/>
              <w:bottom w:val="single" w:sz="4" w:space="0" w:color="auto"/>
              <w:right w:val="single" w:sz="4" w:space="0" w:color="auto"/>
            </w:tcBorders>
            <w:shd w:val="clear" w:color="auto" w:fill="auto"/>
            <w:noWrap/>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106</w:t>
            </w:r>
          </w:p>
        </w:tc>
        <w:tc>
          <w:tcPr>
            <w:tcW w:w="768" w:type="pct"/>
            <w:tcBorders>
              <w:top w:val="nil"/>
              <w:left w:val="nil"/>
              <w:bottom w:val="single" w:sz="4" w:space="0" w:color="auto"/>
              <w:right w:val="single" w:sz="4" w:space="0" w:color="auto"/>
            </w:tcBorders>
            <w:shd w:val="clear" w:color="auto" w:fill="auto"/>
            <w:noWrap/>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22%</w:t>
            </w:r>
          </w:p>
        </w:tc>
        <w:tc>
          <w:tcPr>
            <w:tcW w:w="613"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108</w:t>
            </w:r>
          </w:p>
        </w:tc>
        <w:tc>
          <w:tcPr>
            <w:tcW w:w="723"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21%</w:t>
            </w:r>
          </w:p>
        </w:tc>
      </w:tr>
      <w:tr w:rsidR="003227AB" w:rsidRPr="00BA4F73" w:rsidTr="003227AB">
        <w:trPr>
          <w:trHeight w:val="300"/>
        </w:trPr>
        <w:tc>
          <w:tcPr>
            <w:tcW w:w="900" w:type="pct"/>
            <w:tcBorders>
              <w:top w:val="nil"/>
              <w:left w:val="single" w:sz="4" w:space="0" w:color="auto"/>
              <w:bottom w:val="single" w:sz="4" w:space="0" w:color="auto"/>
              <w:right w:val="single" w:sz="4" w:space="0" w:color="auto"/>
            </w:tcBorders>
            <w:shd w:val="clear" w:color="auto" w:fill="auto"/>
            <w:noWrap/>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95+</w:t>
            </w:r>
          </w:p>
        </w:tc>
        <w:tc>
          <w:tcPr>
            <w:tcW w:w="615"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9</w:t>
            </w:r>
          </w:p>
        </w:tc>
        <w:tc>
          <w:tcPr>
            <w:tcW w:w="69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w:t>
            </w:r>
          </w:p>
        </w:tc>
        <w:tc>
          <w:tcPr>
            <w:tcW w:w="691" w:type="pct"/>
            <w:tcBorders>
              <w:top w:val="nil"/>
              <w:left w:val="nil"/>
              <w:bottom w:val="single" w:sz="4" w:space="0" w:color="auto"/>
              <w:right w:val="single" w:sz="4" w:space="0" w:color="auto"/>
            </w:tcBorders>
            <w:shd w:val="clear" w:color="auto" w:fill="auto"/>
            <w:noWrap/>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10</w:t>
            </w:r>
          </w:p>
        </w:tc>
        <w:tc>
          <w:tcPr>
            <w:tcW w:w="768" w:type="pct"/>
            <w:tcBorders>
              <w:top w:val="nil"/>
              <w:left w:val="nil"/>
              <w:bottom w:val="single" w:sz="4" w:space="0" w:color="auto"/>
              <w:right w:val="single" w:sz="4" w:space="0" w:color="auto"/>
            </w:tcBorders>
            <w:shd w:val="clear" w:color="auto" w:fill="auto"/>
            <w:noWrap/>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w:t>
            </w:r>
          </w:p>
        </w:tc>
        <w:tc>
          <w:tcPr>
            <w:tcW w:w="613"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21</w:t>
            </w:r>
          </w:p>
        </w:tc>
        <w:tc>
          <w:tcPr>
            <w:tcW w:w="723"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4%</w:t>
            </w:r>
          </w:p>
        </w:tc>
      </w:tr>
      <w:tr w:rsidR="003227AB" w:rsidRPr="00BA4F73" w:rsidTr="003227AB">
        <w:trPr>
          <w:trHeight w:val="300"/>
        </w:trPr>
        <w:tc>
          <w:tcPr>
            <w:tcW w:w="900" w:type="pct"/>
            <w:tcBorders>
              <w:top w:val="nil"/>
              <w:left w:val="single" w:sz="4" w:space="0" w:color="auto"/>
              <w:bottom w:val="single" w:sz="4" w:space="0" w:color="auto"/>
              <w:right w:val="single" w:sz="4" w:space="0" w:color="auto"/>
            </w:tcBorders>
            <w:shd w:val="clear" w:color="auto" w:fill="auto"/>
            <w:noWrap/>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Age unknown</w:t>
            </w:r>
          </w:p>
        </w:tc>
        <w:tc>
          <w:tcPr>
            <w:tcW w:w="615"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0</w:t>
            </w:r>
          </w:p>
        </w:tc>
        <w:tc>
          <w:tcPr>
            <w:tcW w:w="69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0%</w:t>
            </w:r>
          </w:p>
        </w:tc>
        <w:tc>
          <w:tcPr>
            <w:tcW w:w="691" w:type="pct"/>
            <w:tcBorders>
              <w:top w:val="nil"/>
              <w:left w:val="nil"/>
              <w:bottom w:val="single" w:sz="4" w:space="0" w:color="auto"/>
              <w:right w:val="single" w:sz="4" w:space="0" w:color="auto"/>
            </w:tcBorders>
            <w:shd w:val="clear" w:color="auto" w:fill="auto"/>
            <w:noWrap/>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4</w:t>
            </w:r>
          </w:p>
        </w:tc>
        <w:tc>
          <w:tcPr>
            <w:tcW w:w="768" w:type="pct"/>
            <w:tcBorders>
              <w:top w:val="nil"/>
              <w:left w:val="nil"/>
              <w:bottom w:val="single" w:sz="4" w:space="0" w:color="auto"/>
              <w:right w:val="single" w:sz="4" w:space="0" w:color="auto"/>
            </w:tcBorders>
            <w:shd w:val="clear" w:color="auto" w:fill="auto"/>
            <w:noWrap/>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w:t>
            </w:r>
          </w:p>
        </w:tc>
        <w:tc>
          <w:tcPr>
            <w:tcW w:w="613"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3</w:t>
            </w:r>
          </w:p>
        </w:tc>
        <w:tc>
          <w:tcPr>
            <w:tcW w:w="723"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w:t>
            </w:r>
          </w:p>
        </w:tc>
      </w:tr>
      <w:tr w:rsidR="003227AB" w:rsidRPr="00BA4F73" w:rsidTr="003227AB">
        <w:trPr>
          <w:trHeight w:val="300"/>
        </w:trPr>
        <w:tc>
          <w:tcPr>
            <w:tcW w:w="900" w:type="pct"/>
            <w:tcBorders>
              <w:top w:val="nil"/>
              <w:left w:val="single" w:sz="4" w:space="0" w:color="auto"/>
              <w:bottom w:val="single" w:sz="4" w:space="0" w:color="auto"/>
              <w:right w:val="single" w:sz="4" w:space="0" w:color="auto"/>
            </w:tcBorders>
            <w:shd w:val="clear" w:color="auto" w:fill="auto"/>
            <w:noWrap/>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Grand total</w:t>
            </w:r>
          </w:p>
        </w:tc>
        <w:tc>
          <w:tcPr>
            <w:tcW w:w="615"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410</w:t>
            </w:r>
          </w:p>
        </w:tc>
        <w:tc>
          <w:tcPr>
            <w:tcW w:w="69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 </w:t>
            </w:r>
          </w:p>
        </w:tc>
        <w:tc>
          <w:tcPr>
            <w:tcW w:w="691" w:type="pct"/>
            <w:tcBorders>
              <w:top w:val="nil"/>
              <w:left w:val="nil"/>
              <w:bottom w:val="single" w:sz="4" w:space="0" w:color="auto"/>
              <w:right w:val="single" w:sz="4" w:space="0" w:color="auto"/>
            </w:tcBorders>
            <w:shd w:val="clear" w:color="auto" w:fill="auto"/>
            <w:noWrap/>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475</w:t>
            </w:r>
          </w:p>
        </w:tc>
        <w:tc>
          <w:tcPr>
            <w:tcW w:w="768" w:type="pct"/>
            <w:tcBorders>
              <w:top w:val="nil"/>
              <w:left w:val="nil"/>
              <w:bottom w:val="single" w:sz="4" w:space="0" w:color="auto"/>
              <w:right w:val="single" w:sz="4" w:space="0" w:color="auto"/>
            </w:tcBorders>
            <w:shd w:val="clear" w:color="auto" w:fill="auto"/>
            <w:noWrap/>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 </w:t>
            </w:r>
          </w:p>
        </w:tc>
        <w:tc>
          <w:tcPr>
            <w:tcW w:w="613"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511</w:t>
            </w:r>
          </w:p>
        </w:tc>
        <w:tc>
          <w:tcPr>
            <w:tcW w:w="723"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 </w:t>
            </w:r>
          </w:p>
        </w:tc>
      </w:tr>
    </w:tbl>
    <w:p w:rsidR="001A4EE8" w:rsidRPr="00BA4F73" w:rsidRDefault="001A4EE8" w:rsidP="001A4EE8">
      <w:pPr>
        <w:pStyle w:val="NoSpacing"/>
        <w:rPr>
          <w:color w:val="000000" w:themeColor="text1"/>
        </w:rPr>
      </w:pPr>
    </w:p>
    <w:p w:rsidR="00794C0C" w:rsidRPr="00BA4F73" w:rsidRDefault="00794C0C" w:rsidP="001A4EE8">
      <w:pPr>
        <w:pStyle w:val="NoSpacing"/>
        <w:rPr>
          <w:color w:val="000000" w:themeColor="text1"/>
        </w:rPr>
      </w:pPr>
    </w:p>
    <w:p w:rsidR="003937E7" w:rsidRPr="00BA4F73" w:rsidRDefault="003937E7" w:rsidP="001A4EE8">
      <w:pPr>
        <w:pStyle w:val="NoSpacing"/>
        <w:rPr>
          <w:color w:val="000000" w:themeColor="text1"/>
        </w:rPr>
      </w:pPr>
      <w:r w:rsidRPr="00BA4F73">
        <w:rPr>
          <w:color w:val="000000" w:themeColor="text1"/>
        </w:rPr>
        <w:t>In terms of the gender breakdown there are more Females with enquiries than Males</w:t>
      </w:r>
      <w:r w:rsidR="00494708" w:rsidRPr="00BA4F73">
        <w:rPr>
          <w:color w:val="000000" w:themeColor="text1"/>
        </w:rPr>
        <w:t xml:space="preserve"> (59% compared to 41% for 2015/16) and the gap between the two is getting larger year on year i.e.</w:t>
      </w:r>
      <w:r w:rsidR="00D9449E" w:rsidRPr="00BA4F73">
        <w:rPr>
          <w:color w:val="000000" w:themeColor="text1"/>
        </w:rPr>
        <w:t xml:space="preserve"> it was 10% in 2013/</w:t>
      </w:r>
      <w:r w:rsidR="00494708" w:rsidRPr="00BA4F73">
        <w:rPr>
          <w:color w:val="000000" w:themeColor="text1"/>
        </w:rPr>
        <w:t xml:space="preserve">14 and rose to 12% in </w:t>
      </w:r>
      <w:r w:rsidR="00D9449E" w:rsidRPr="00BA4F73">
        <w:rPr>
          <w:color w:val="000000" w:themeColor="text1"/>
        </w:rPr>
        <w:t>2014/15. By 2015/</w:t>
      </w:r>
      <w:r w:rsidR="00494708" w:rsidRPr="00BA4F73">
        <w:rPr>
          <w:color w:val="000000" w:themeColor="text1"/>
        </w:rPr>
        <w:t>16 this gap had risen to 18%.</w:t>
      </w:r>
    </w:p>
    <w:p w:rsidR="003227AB" w:rsidRPr="00BA4F73" w:rsidRDefault="003227AB" w:rsidP="001A4EE8">
      <w:pPr>
        <w:pStyle w:val="NoSpacing"/>
        <w:rPr>
          <w:color w:val="000000" w:themeColor="text1"/>
        </w:rPr>
      </w:pPr>
    </w:p>
    <w:p w:rsidR="006B16C8" w:rsidRPr="00BA4F73" w:rsidRDefault="003227AB" w:rsidP="006B16C8">
      <w:pPr>
        <w:pStyle w:val="Caption"/>
        <w:keepNext/>
        <w:rPr>
          <w:rFonts w:cs="Arial"/>
          <w:color w:val="000000" w:themeColor="text1"/>
          <w:sz w:val="22"/>
          <w:szCs w:val="22"/>
        </w:rPr>
      </w:pPr>
      <w:r w:rsidRPr="00BA4F73">
        <w:rPr>
          <w:rFonts w:cs="Arial"/>
          <w:color w:val="000000" w:themeColor="text1"/>
          <w:sz w:val="22"/>
          <w:szCs w:val="22"/>
        </w:rPr>
        <w:t>Table 4</w:t>
      </w:r>
      <w:r w:rsidR="006B16C8" w:rsidRPr="00BA4F73">
        <w:rPr>
          <w:rFonts w:cs="Arial"/>
          <w:color w:val="000000" w:themeColor="text1"/>
          <w:sz w:val="22"/>
          <w:szCs w:val="22"/>
        </w:rPr>
        <w:t xml:space="preserve"> – Gender of individuals with safeguarding enquiries, 2014-16</w:t>
      </w:r>
    </w:p>
    <w:tbl>
      <w:tblPr>
        <w:tblW w:w="5000" w:type="pct"/>
        <w:tblLook w:val="04A0" w:firstRow="1" w:lastRow="0" w:firstColumn="1" w:lastColumn="0" w:noHBand="0" w:noVBand="1"/>
      </w:tblPr>
      <w:tblGrid>
        <w:gridCol w:w="1319"/>
        <w:gridCol w:w="1319"/>
        <w:gridCol w:w="1320"/>
        <w:gridCol w:w="1322"/>
        <w:gridCol w:w="1320"/>
        <w:gridCol w:w="1320"/>
        <w:gridCol w:w="1322"/>
      </w:tblGrid>
      <w:tr w:rsidR="003227AB" w:rsidRPr="00BA4F73" w:rsidTr="003227AB">
        <w:trPr>
          <w:trHeight w:val="300"/>
        </w:trPr>
        <w:tc>
          <w:tcPr>
            <w:tcW w:w="7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Gender</w:t>
            </w:r>
          </w:p>
        </w:tc>
        <w:tc>
          <w:tcPr>
            <w:tcW w:w="714" w:type="pct"/>
            <w:tcBorders>
              <w:top w:val="single" w:sz="4" w:space="0" w:color="auto"/>
              <w:left w:val="nil"/>
              <w:bottom w:val="single" w:sz="4" w:space="0" w:color="auto"/>
              <w:right w:val="single" w:sz="4" w:space="0" w:color="auto"/>
            </w:tcBorders>
            <w:shd w:val="clear" w:color="auto" w:fill="auto"/>
            <w:vAlign w:val="center"/>
            <w:hideMark/>
          </w:tcPr>
          <w:p w:rsidR="003227AB" w:rsidRPr="00BA4F73" w:rsidRDefault="00D9449E"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2013/</w:t>
            </w:r>
            <w:r w:rsidR="003227AB" w:rsidRPr="00BA4F73">
              <w:rPr>
                <w:rFonts w:ascii="Calibri" w:eastAsia="Times New Roman" w:hAnsi="Calibri" w:cs="Times New Roman"/>
                <w:color w:val="000000" w:themeColor="text1"/>
                <w:lang w:eastAsia="en-GB"/>
              </w:rPr>
              <w:t>14</w:t>
            </w:r>
          </w:p>
        </w:tc>
        <w:tc>
          <w:tcPr>
            <w:tcW w:w="714" w:type="pct"/>
            <w:tcBorders>
              <w:top w:val="single" w:sz="4" w:space="0" w:color="auto"/>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i/>
                <w:iCs/>
                <w:color w:val="000000" w:themeColor="text1"/>
                <w:lang w:eastAsia="en-GB"/>
              </w:rPr>
            </w:pPr>
            <w:r w:rsidRPr="00BA4F73">
              <w:rPr>
                <w:rFonts w:ascii="Calibri" w:eastAsia="Times New Roman" w:hAnsi="Calibri" w:cs="Times New Roman"/>
                <w:i/>
                <w:iCs/>
                <w:color w:val="000000" w:themeColor="text1"/>
                <w:lang w:eastAsia="en-GB"/>
              </w:rPr>
              <w:t>% of total</w:t>
            </w:r>
          </w:p>
        </w:tc>
        <w:tc>
          <w:tcPr>
            <w:tcW w:w="715" w:type="pct"/>
            <w:tcBorders>
              <w:top w:val="single" w:sz="4" w:space="0" w:color="auto"/>
              <w:left w:val="nil"/>
              <w:bottom w:val="single" w:sz="4" w:space="0" w:color="auto"/>
              <w:right w:val="single" w:sz="4" w:space="0" w:color="auto"/>
            </w:tcBorders>
            <w:shd w:val="clear" w:color="auto" w:fill="auto"/>
            <w:noWrap/>
            <w:vAlign w:val="center"/>
            <w:hideMark/>
          </w:tcPr>
          <w:p w:rsidR="003227AB" w:rsidRPr="00BA4F73" w:rsidRDefault="00D9449E"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2014/</w:t>
            </w:r>
            <w:r w:rsidR="003227AB" w:rsidRPr="00BA4F73">
              <w:rPr>
                <w:rFonts w:ascii="Calibri" w:eastAsia="Times New Roman" w:hAnsi="Calibri" w:cs="Times New Roman"/>
                <w:color w:val="000000" w:themeColor="text1"/>
                <w:lang w:eastAsia="en-GB"/>
              </w:rPr>
              <w:t>15</w:t>
            </w:r>
          </w:p>
        </w:tc>
        <w:tc>
          <w:tcPr>
            <w:tcW w:w="714" w:type="pct"/>
            <w:tcBorders>
              <w:top w:val="single" w:sz="4" w:space="0" w:color="auto"/>
              <w:left w:val="nil"/>
              <w:bottom w:val="single" w:sz="4" w:space="0" w:color="auto"/>
              <w:right w:val="single" w:sz="4" w:space="0" w:color="auto"/>
            </w:tcBorders>
            <w:shd w:val="clear" w:color="auto" w:fill="auto"/>
            <w:noWrap/>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 of total</w:t>
            </w:r>
          </w:p>
        </w:tc>
        <w:tc>
          <w:tcPr>
            <w:tcW w:w="714" w:type="pct"/>
            <w:tcBorders>
              <w:top w:val="single" w:sz="4" w:space="0" w:color="auto"/>
              <w:left w:val="nil"/>
              <w:bottom w:val="single" w:sz="4" w:space="0" w:color="auto"/>
              <w:right w:val="single" w:sz="4" w:space="0" w:color="auto"/>
            </w:tcBorders>
            <w:shd w:val="clear" w:color="auto" w:fill="auto"/>
            <w:vAlign w:val="center"/>
            <w:hideMark/>
          </w:tcPr>
          <w:p w:rsidR="003227AB" w:rsidRPr="00BA4F73" w:rsidRDefault="00D9449E"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2015/</w:t>
            </w:r>
            <w:r w:rsidR="003227AB" w:rsidRPr="00BA4F73">
              <w:rPr>
                <w:rFonts w:ascii="Calibri" w:eastAsia="Times New Roman" w:hAnsi="Calibri" w:cs="Times New Roman"/>
                <w:color w:val="000000" w:themeColor="text1"/>
                <w:lang w:eastAsia="en-GB"/>
              </w:rPr>
              <w:t>16</w:t>
            </w:r>
          </w:p>
        </w:tc>
        <w:tc>
          <w:tcPr>
            <w:tcW w:w="715" w:type="pct"/>
            <w:tcBorders>
              <w:top w:val="single" w:sz="4" w:space="0" w:color="auto"/>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 of total</w:t>
            </w:r>
          </w:p>
        </w:tc>
      </w:tr>
      <w:tr w:rsidR="003227AB" w:rsidRPr="00BA4F73" w:rsidTr="003227AB">
        <w:trPr>
          <w:trHeight w:val="300"/>
        </w:trPr>
        <w:tc>
          <w:tcPr>
            <w:tcW w:w="714" w:type="pct"/>
            <w:tcBorders>
              <w:top w:val="nil"/>
              <w:left w:val="single" w:sz="4" w:space="0" w:color="auto"/>
              <w:bottom w:val="single" w:sz="4" w:space="0" w:color="auto"/>
              <w:right w:val="single" w:sz="4" w:space="0" w:color="auto"/>
            </w:tcBorders>
            <w:shd w:val="clear" w:color="auto" w:fill="auto"/>
            <w:noWrap/>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Male</w:t>
            </w:r>
          </w:p>
        </w:tc>
        <w:tc>
          <w:tcPr>
            <w:tcW w:w="714"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183</w:t>
            </w:r>
          </w:p>
        </w:tc>
        <w:tc>
          <w:tcPr>
            <w:tcW w:w="714"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45%</w:t>
            </w:r>
          </w:p>
        </w:tc>
        <w:tc>
          <w:tcPr>
            <w:tcW w:w="715"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209</w:t>
            </w:r>
          </w:p>
        </w:tc>
        <w:tc>
          <w:tcPr>
            <w:tcW w:w="714"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44%</w:t>
            </w:r>
          </w:p>
        </w:tc>
        <w:tc>
          <w:tcPr>
            <w:tcW w:w="714"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208</w:t>
            </w:r>
          </w:p>
        </w:tc>
        <w:tc>
          <w:tcPr>
            <w:tcW w:w="715"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41%</w:t>
            </w:r>
          </w:p>
        </w:tc>
      </w:tr>
      <w:tr w:rsidR="003227AB" w:rsidRPr="00BA4F73" w:rsidTr="003227AB">
        <w:trPr>
          <w:trHeight w:val="300"/>
        </w:trPr>
        <w:tc>
          <w:tcPr>
            <w:tcW w:w="714" w:type="pct"/>
            <w:tcBorders>
              <w:top w:val="nil"/>
              <w:left w:val="single" w:sz="4" w:space="0" w:color="auto"/>
              <w:bottom w:val="single" w:sz="4" w:space="0" w:color="auto"/>
              <w:right w:val="single" w:sz="4" w:space="0" w:color="auto"/>
            </w:tcBorders>
            <w:shd w:val="clear" w:color="auto" w:fill="auto"/>
            <w:noWrap/>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Female</w:t>
            </w:r>
          </w:p>
        </w:tc>
        <w:tc>
          <w:tcPr>
            <w:tcW w:w="714"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227</w:t>
            </w:r>
          </w:p>
        </w:tc>
        <w:tc>
          <w:tcPr>
            <w:tcW w:w="714"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55%</w:t>
            </w:r>
          </w:p>
        </w:tc>
        <w:tc>
          <w:tcPr>
            <w:tcW w:w="715"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266</w:t>
            </w:r>
          </w:p>
        </w:tc>
        <w:tc>
          <w:tcPr>
            <w:tcW w:w="714"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56%</w:t>
            </w:r>
          </w:p>
        </w:tc>
        <w:tc>
          <w:tcPr>
            <w:tcW w:w="714"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303</w:t>
            </w:r>
          </w:p>
        </w:tc>
        <w:tc>
          <w:tcPr>
            <w:tcW w:w="715"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59%</w:t>
            </w:r>
          </w:p>
        </w:tc>
      </w:tr>
      <w:tr w:rsidR="003227AB" w:rsidRPr="00BA4F73" w:rsidTr="003227AB">
        <w:trPr>
          <w:trHeight w:val="300"/>
        </w:trPr>
        <w:tc>
          <w:tcPr>
            <w:tcW w:w="714" w:type="pct"/>
            <w:tcBorders>
              <w:top w:val="nil"/>
              <w:left w:val="single" w:sz="4" w:space="0" w:color="auto"/>
              <w:bottom w:val="single" w:sz="4" w:space="0" w:color="auto"/>
              <w:right w:val="single" w:sz="4" w:space="0" w:color="auto"/>
            </w:tcBorders>
            <w:shd w:val="clear" w:color="auto" w:fill="auto"/>
            <w:noWrap/>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Total</w:t>
            </w:r>
          </w:p>
        </w:tc>
        <w:tc>
          <w:tcPr>
            <w:tcW w:w="714"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410</w:t>
            </w:r>
          </w:p>
        </w:tc>
        <w:tc>
          <w:tcPr>
            <w:tcW w:w="714"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100%</w:t>
            </w:r>
          </w:p>
        </w:tc>
        <w:tc>
          <w:tcPr>
            <w:tcW w:w="715"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475</w:t>
            </w:r>
          </w:p>
        </w:tc>
        <w:tc>
          <w:tcPr>
            <w:tcW w:w="714"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100%</w:t>
            </w:r>
          </w:p>
        </w:tc>
        <w:tc>
          <w:tcPr>
            <w:tcW w:w="714"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511</w:t>
            </w:r>
          </w:p>
        </w:tc>
        <w:tc>
          <w:tcPr>
            <w:tcW w:w="715"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100%</w:t>
            </w:r>
          </w:p>
        </w:tc>
      </w:tr>
    </w:tbl>
    <w:p w:rsidR="006B16C8" w:rsidRPr="00BA4F73" w:rsidRDefault="006B16C8" w:rsidP="001A4EE8">
      <w:pPr>
        <w:pStyle w:val="NoSpacing"/>
        <w:rPr>
          <w:color w:val="000000" w:themeColor="text1"/>
        </w:rPr>
      </w:pPr>
    </w:p>
    <w:p w:rsidR="003227AB" w:rsidRPr="00BA4F73" w:rsidRDefault="003227AB" w:rsidP="001A4EE8">
      <w:pPr>
        <w:pStyle w:val="NoSpacing"/>
        <w:rPr>
          <w:color w:val="000000" w:themeColor="text1"/>
        </w:rPr>
      </w:pPr>
    </w:p>
    <w:p w:rsidR="00494708" w:rsidRPr="00BA4F73" w:rsidRDefault="00494708" w:rsidP="001A4EE8">
      <w:pPr>
        <w:pStyle w:val="NoSpacing"/>
        <w:rPr>
          <w:color w:val="000000" w:themeColor="text1"/>
        </w:rPr>
      </w:pPr>
      <w:r w:rsidRPr="00BA4F73">
        <w:rPr>
          <w:color w:val="000000" w:themeColor="text1"/>
        </w:rPr>
        <w:t>When looking at the t</w:t>
      </w:r>
      <w:r w:rsidR="00D9449E" w:rsidRPr="00BA4F73">
        <w:rPr>
          <w:color w:val="000000" w:themeColor="text1"/>
        </w:rPr>
        <w:t>wo categories together for 2015/</w:t>
      </w:r>
      <w:r w:rsidRPr="00BA4F73">
        <w:rPr>
          <w:color w:val="000000" w:themeColor="text1"/>
        </w:rPr>
        <w:t>16 the number of females with enquiries is larger in almost every age group but is especially high comparatively in the 85-94 one (Females - 26.7% and Males - 13%). For Males the figures peak in the 75-84 age group and then fall whereas for Females the p</w:t>
      </w:r>
      <w:r w:rsidR="00D9449E" w:rsidRPr="00BA4F73">
        <w:rPr>
          <w:color w:val="000000" w:themeColor="text1"/>
        </w:rPr>
        <w:t>eak is at the 95+ stage where it then</w:t>
      </w:r>
      <w:r w:rsidRPr="00BA4F73">
        <w:rPr>
          <w:color w:val="000000" w:themeColor="text1"/>
        </w:rPr>
        <w:t xml:space="preserve"> drops.</w:t>
      </w:r>
    </w:p>
    <w:p w:rsidR="006B16C8" w:rsidRPr="00BA4F73" w:rsidRDefault="006B16C8" w:rsidP="001A4EE8">
      <w:pPr>
        <w:pStyle w:val="NoSpacing"/>
        <w:rPr>
          <w:color w:val="000000" w:themeColor="text1"/>
        </w:rPr>
      </w:pPr>
    </w:p>
    <w:p w:rsidR="001A2C73" w:rsidRPr="00BA4F73" w:rsidRDefault="00794C0C" w:rsidP="001A2C73">
      <w:pPr>
        <w:pStyle w:val="Caption"/>
        <w:keepNext/>
        <w:rPr>
          <w:rFonts w:cs="Arial"/>
          <w:color w:val="000000" w:themeColor="text1"/>
          <w:sz w:val="22"/>
          <w:szCs w:val="22"/>
        </w:rPr>
      </w:pPr>
      <w:r w:rsidRPr="00BA4F73">
        <w:rPr>
          <w:rFonts w:cs="Arial"/>
          <w:color w:val="000000" w:themeColor="text1"/>
          <w:sz w:val="22"/>
          <w:szCs w:val="22"/>
        </w:rPr>
        <w:t>Table</w:t>
      </w:r>
      <w:r w:rsidR="003227AB" w:rsidRPr="00BA4F73">
        <w:rPr>
          <w:rFonts w:cs="Arial"/>
          <w:color w:val="000000" w:themeColor="text1"/>
          <w:sz w:val="22"/>
          <w:szCs w:val="22"/>
        </w:rPr>
        <w:t xml:space="preserve"> 5</w:t>
      </w:r>
      <w:r w:rsidRPr="00BA4F73">
        <w:rPr>
          <w:rFonts w:cs="Arial"/>
          <w:color w:val="000000" w:themeColor="text1"/>
          <w:sz w:val="22"/>
          <w:szCs w:val="22"/>
        </w:rPr>
        <w:t xml:space="preserve"> – Age group and gender of individuals wi</w:t>
      </w:r>
      <w:r w:rsidR="00D9449E" w:rsidRPr="00BA4F73">
        <w:rPr>
          <w:rFonts w:cs="Arial"/>
          <w:color w:val="000000" w:themeColor="text1"/>
          <w:sz w:val="22"/>
          <w:szCs w:val="22"/>
        </w:rPr>
        <w:t>th safeguarding enquiries, 2015/</w:t>
      </w:r>
      <w:r w:rsidRPr="00BA4F73">
        <w:rPr>
          <w:rFonts w:cs="Arial"/>
          <w:color w:val="000000" w:themeColor="text1"/>
          <w:sz w:val="22"/>
          <w:szCs w:val="22"/>
        </w:rPr>
        <w:t>16</w:t>
      </w:r>
    </w:p>
    <w:tbl>
      <w:tblPr>
        <w:tblW w:w="5000" w:type="pct"/>
        <w:tblLook w:val="04A0" w:firstRow="1" w:lastRow="0" w:firstColumn="1" w:lastColumn="0" w:noHBand="0" w:noVBand="1"/>
      </w:tblPr>
      <w:tblGrid>
        <w:gridCol w:w="1849"/>
        <w:gridCol w:w="1849"/>
        <w:gridCol w:w="1848"/>
        <w:gridCol w:w="1848"/>
        <w:gridCol w:w="1848"/>
      </w:tblGrid>
      <w:tr w:rsidR="003227AB" w:rsidRPr="00BA4F73" w:rsidTr="003227AB">
        <w:trPr>
          <w:trHeight w:val="300"/>
        </w:trPr>
        <w:tc>
          <w:tcPr>
            <w:tcW w:w="100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Age group</w:t>
            </w:r>
          </w:p>
        </w:tc>
        <w:tc>
          <w:tcPr>
            <w:tcW w:w="1000" w:type="pct"/>
            <w:tcBorders>
              <w:top w:val="single" w:sz="4" w:space="0" w:color="auto"/>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Female</w:t>
            </w:r>
          </w:p>
        </w:tc>
        <w:tc>
          <w:tcPr>
            <w:tcW w:w="1000" w:type="pct"/>
            <w:tcBorders>
              <w:top w:val="single" w:sz="4" w:space="0" w:color="auto"/>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Female %</w:t>
            </w:r>
          </w:p>
        </w:tc>
        <w:tc>
          <w:tcPr>
            <w:tcW w:w="1000" w:type="pct"/>
            <w:tcBorders>
              <w:top w:val="single" w:sz="4" w:space="0" w:color="auto"/>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Male</w:t>
            </w:r>
          </w:p>
        </w:tc>
        <w:tc>
          <w:tcPr>
            <w:tcW w:w="1000" w:type="pct"/>
            <w:tcBorders>
              <w:top w:val="single" w:sz="4" w:space="0" w:color="auto"/>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Male %</w:t>
            </w:r>
          </w:p>
        </w:tc>
      </w:tr>
      <w:tr w:rsidR="003227AB" w:rsidRPr="00BA4F73" w:rsidTr="003227AB">
        <w:trPr>
          <w:trHeight w:val="300"/>
        </w:trPr>
        <w:tc>
          <w:tcPr>
            <w:tcW w:w="1000" w:type="pct"/>
            <w:tcBorders>
              <w:top w:val="nil"/>
              <w:left w:val="single" w:sz="4" w:space="0" w:color="auto"/>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18-64</w:t>
            </w:r>
          </w:p>
        </w:tc>
        <w:tc>
          <w:tcPr>
            <w:tcW w:w="100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119</w:t>
            </w:r>
          </w:p>
        </w:tc>
        <w:tc>
          <w:tcPr>
            <w:tcW w:w="100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39.3%</w:t>
            </w:r>
          </w:p>
        </w:tc>
        <w:tc>
          <w:tcPr>
            <w:tcW w:w="100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97</w:t>
            </w:r>
          </w:p>
        </w:tc>
        <w:tc>
          <w:tcPr>
            <w:tcW w:w="100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46.6%</w:t>
            </w:r>
          </w:p>
        </w:tc>
      </w:tr>
      <w:tr w:rsidR="003227AB" w:rsidRPr="00BA4F73" w:rsidTr="003227AB">
        <w:trPr>
          <w:trHeight w:val="300"/>
        </w:trPr>
        <w:tc>
          <w:tcPr>
            <w:tcW w:w="1000" w:type="pct"/>
            <w:tcBorders>
              <w:top w:val="nil"/>
              <w:left w:val="single" w:sz="4" w:space="0" w:color="auto"/>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65-74</w:t>
            </w:r>
          </w:p>
        </w:tc>
        <w:tc>
          <w:tcPr>
            <w:tcW w:w="100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34</w:t>
            </w:r>
          </w:p>
        </w:tc>
        <w:tc>
          <w:tcPr>
            <w:tcW w:w="100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11.2%</w:t>
            </w:r>
          </w:p>
        </w:tc>
        <w:tc>
          <w:tcPr>
            <w:tcW w:w="100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32</w:t>
            </w:r>
          </w:p>
        </w:tc>
        <w:tc>
          <w:tcPr>
            <w:tcW w:w="100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15.4%</w:t>
            </w:r>
          </w:p>
        </w:tc>
      </w:tr>
      <w:tr w:rsidR="003227AB" w:rsidRPr="00BA4F73" w:rsidTr="003227AB">
        <w:trPr>
          <w:trHeight w:val="300"/>
        </w:trPr>
        <w:tc>
          <w:tcPr>
            <w:tcW w:w="1000" w:type="pct"/>
            <w:tcBorders>
              <w:top w:val="nil"/>
              <w:left w:val="single" w:sz="4" w:space="0" w:color="auto"/>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75-84</w:t>
            </w:r>
          </w:p>
        </w:tc>
        <w:tc>
          <w:tcPr>
            <w:tcW w:w="100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48</w:t>
            </w:r>
          </w:p>
        </w:tc>
        <w:tc>
          <w:tcPr>
            <w:tcW w:w="100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15.8%</w:t>
            </w:r>
          </w:p>
        </w:tc>
        <w:tc>
          <w:tcPr>
            <w:tcW w:w="100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49</w:t>
            </w:r>
          </w:p>
        </w:tc>
        <w:tc>
          <w:tcPr>
            <w:tcW w:w="100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23.6%</w:t>
            </w:r>
          </w:p>
        </w:tc>
      </w:tr>
      <w:tr w:rsidR="003227AB" w:rsidRPr="00BA4F73" w:rsidTr="003227AB">
        <w:trPr>
          <w:trHeight w:val="300"/>
        </w:trPr>
        <w:tc>
          <w:tcPr>
            <w:tcW w:w="1000" w:type="pct"/>
            <w:tcBorders>
              <w:top w:val="nil"/>
              <w:left w:val="single" w:sz="4" w:space="0" w:color="auto"/>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85-94</w:t>
            </w:r>
          </w:p>
        </w:tc>
        <w:tc>
          <w:tcPr>
            <w:tcW w:w="100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81</w:t>
            </w:r>
          </w:p>
        </w:tc>
        <w:tc>
          <w:tcPr>
            <w:tcW w:w="100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26.7%</w:t>
            </w:r>
          </w:p>
        </w:tc>
        <w:tc>
          <w:tcPr>
            <w:tcW w:w="100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27</w:t>
            </w:r>
          </w:p>
        </w:tc>
        <w:tc>
          <w:tcPr>
            <w:tcW w:w="100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13.0%</w:t>
            </w:r>
          </w:p>
        </w:tc>
      </w:tr>
      <w:tr w:rsidR="003227AB" w:rsidRPr="00BA4F73" w:rsidTr="003227AB">
        <w:trPr>
          <w:trHeight w:val="300"/>
        </w:trPr>
        <w:tc>
          <w:tcPr>
            <w:tcW w:w="1000" w:type="pct"/>
            <w:tcBorders>
              <w:top w:val="nil"/>
              <w:left w:val="single" w:sz="4" w:space="0" w:color="auto"/>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95+</w:t>
            </w:r>
          </w:p>
        </w:tc>
        <w:tc>
          <w:tcPr>
            <w:tcW w:w="100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18</w:t>
            </w:r>
          </w:p>
        </w:tc>
        <w:tc>
          <w:tcPr>
            <w:tcW w:w="100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5.9%</w:t>
            </w:r>
          </w:p>
        </w:tc>
        <w:tc>
          <w:tcPr>
            <w:tcW w:w="100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3</w:t>
            </w:r>
          </w:p>
        </w:tc>
        <w:tc>
          <w:tcPr>
            <w:tcW w:w="100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1.4%</w:t>
            </w:r>
          </w:p>
        </w:tc>
      </w:tr>
      <w:tr w:rsidR="003227AB" w:rsidRPr="00BA4F73" w:rsidTr="003227AB">
        <w:trPr>
          <w:trHeight w:val="300"/>
        </w:trPr>
        <w:tc>
          <w:tcPr>
            <w:tcW w:w="1000" w:type="pct"/>
            <w:tcBorders>
              <w:top w:val="nil"/>
              <w:left w:val="single" w:sz="4" w:space="0" w:color="auto"/>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Unknown</w:t>
            </w:r>
          </w:p>
        </w:tc>
        <w:tc>
          <w:tcPr>
            <w:tcW w:w="100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3</w:t>
            </w:r>
          </w:p>
        </w:tc>
        <w:tc>
          <w:tcPr>
            <w:tcW w:w="100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1.0%</w:t>
            </w:r>
          </w:p>
        </w:tc>
        <w:tc>
          <w:tcPr>
            <w:tcW w:w="100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0</w:t>
            </w:r>
          </w:p>
        </w:tc>
        <w:tc>
          <w:tcPr>
            <w:tcW w:w="100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0.0%</w:t>
            </w:r>
          </w:p>
        </w:tc>
      </w:tr>
      <w:tr w:rsidR="003227AB" w:rsidRPr="00BA4F73" w:rsidTr="003227AB">
        <w:trPr>
          <w:trHeight w:val="300"/>
        </w:trPr>
        <w:tc>
          <w:tcPr>
            <w:tcW w:w="1000" w:type="pct"/>
            <w:tcBorders>
              <w:top w:val="nil"/>
              <w:left w:val="single" w:sz="4" w:space="0" w:color="auto"/>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Total</w:t>
            </w:r>
          </w:p>
        </w:tc>
        <w:tc>
          <w:tcPr>
            <w:tcW w:w="100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303</w:t>
            </w:r>
          </w:p>
        </w:tc>
        <w:tc>
          <w:tcPr>
            <w:tcW w:w="100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100.0%</w:t>
            </w:r>
          </w:p>
        </w:tc>
        <w:tc>
          <w:tcPr>
            <w:tcW w:w="100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208</w:t>
            </w:r>
          </w:p>
        </w:tc>
        <w:tc>
          <w:tcPr>
            <w:tcW w:w="100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100.0%</w:t>
            </w:r>
          </w:p>
        </w:tc>
      </w:tr>
      <w:tr w:rsidR="003227AB" w:rsidRPr="00BA4F73" w:rsidTr="003227AB">
        <w:trPr>
          <w:trHeight w:val="300"/>
        </w:trPr>
        <w:tc>
          <w:tcPr>
            <w:tcW w:w="1000" w:type="pct"/>
            <w:tcBorders>
              <w:top w:val="nil"/>
              <w:left w:val="single" w:sz="4" w:space="0" w:color="auto"/>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 </w:t>
            </w:r>
          </w:p>
        </w:tc>
        <w:tc>
          <w:tcPr>
            <w:tcW w:w="100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b/>
                <w:bCs/>
                <w:color w:val="000000" w:themeColor="text1"/>
                <w:lang w:eastAsia="en-GB"/>
              </w:rPr>
            </w:pPr>
            <w:r w:rsidRPr="00BA4F73">
              <w:rPr>
                <w:rFonts w:ascii="Calibri" w:eastAsia="Times New Roman" w:hAnsi="Calibri" w:cs="Times New Roman"/>
                <w:b/>
                <w:bCs/>
                <w:color w:val="000000" w:themeColor="text1"/>
                <w:lang w:eastAsia="en-GB"/>
              </w:rPr>
              <w:t>59%</w:t>
            </w:r>
          </w:p>
        </w:tc>
        <w:tc>
          <w:tcPr>
            <w:tcW w:w="100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b/>
                <w:bCs/>
                <w:color w:val="000000" w:themeColor="text1"/>
                <w:lang w:eastAsia="en-GB"/>
              </w:rPr>
            </w:pPr>
            <w:r w:rsidRPr="00BA4F73">
              <w:rPr>
                <w:rFonts w:ascii="Calibri" w:eastAsia="Times New Roman" w:hAnsi="Calibri" w:cs="Times New Roman"/>
                <w:b/>
                <w:bCs/>
                <w:color w:val="000000" w:themeColor="text1"/>
                <w:lang w:eastAsia="en-GB"/>
              </w:rPr>
              <w:t> </w:t>
            </w:r>
          </w:p>
        </w:tc>
        <w:tc>
          <w:tcPr>
            <w:tcW w:w="100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b/>
                <w:bCs/>
                <w:color w:val="000000" w:themeColor="text1"/>
                <w:lang w:eastAsia="en-GB"/>
              </w:rPr>
            </w:pPr>
            <w:r w:rsidRPr="00BA4F73">
              <w:rPr>
                <w:rFonts w:ascii="Calibri" w:eastAsia="Times New Roman" w:hAnsi="Calibri" w:cs="Times New Roman"/>
                <w:b/>
                <w:bCs/>
                <w:color w:val="000000" w:themeColor="text1"/>
                <w:lang w:eastAsia="en-GB"/>
              </w:rPr>
              <w:t>41%</w:t>
            </w:r>
          </w:p>
        </w:tc>
        <w:tc>
          <w:tcPr>
            <w:tcW w:w="100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b/>
                <w:bCs/>
                <w:color w:val="000000" w:themeColor="text1"/>
                <w:lang w:eastAsia="en-GB"/>
              </w:rPr>
            </w:pPr>
            <w:r w:rsidRPr="00BA4F73">
              <w:rPr>
                <w:rFonts w:ascii="Calibri" w:eastAsia="Times New Roman" w:hAnsi="Calibri" w:cs="Times New Roman"/>
                <w:b/>
                <w:bCs/>
                <w:color w:val="000000" w:themeColor="text1"/>
                <w:lang w:eastAsia="en-GB"/>
              </w:rPr>
              <w:t> </w:t>
            </w:r>
          </w:p>
        </w:tc>
      </w:tr>
    </w:tbl>
    <w:p w:rsidR="00494708" w:rsidRPr="00BA4F73" w:rsidRDefault="00494708" w:rsidP="005F7DEE">
      <w:pPr>
        <w:rPr>
          <w:rFonts w:cs="Times New Roman"/>
          <w:color w:val="000000" w:themeColor="text1"/>
          <w:sz w:val="24"/>
          <w:szCs w:val="24"/>
        </w:rPr>
      </w:pPr>
    </w:p>
    <w:p w:rsidR="00494708" w:rsidRPr="00BA4F73" w:rsidRDefault="00494708" w:rsidP="005F7DEE">
      <w:pPr>
        <w:rPr>
          <w:rFonts w:cs="Times New Roman"/>
          <w:color w:val="000000" w:themeColor="text1"/>
          <w:sz w:val="24"/>
          <w:szCs w:val="24"/>
        </w:rPr>
      </w:pPr>
    </w:p>
    <w:p w:rsidR="0004087E" w:rsidRPr="00BA4F73" w:rsidRDefault="005D7BF1" w:rsidP="005F7DEE">
      <w:pPr>
        <w:rPr>
          <w:rFonts w:cs="Times New Roman"/>
          <w:color w:val="000000" w:themeColor="text1"/>
          <w:sz w:val="24"/>
          <w:szCs w:val="24"/>
        </w:rPr>
      </w:pPr>
      <w:r w:rsidRPr="00BA4F73">
        <w:rPr>
          <w:rFonts w:cs="Times New Roman"/>
          <w:color w:val="000000" w:themeColor="text1"/>
          <w:sz w:val="24"/>
          <w:szCs w:val="24"/>
        </w:rPr>
        <w:tab/>
      </w:r>
      <w:r w:rsidRPr="00BA4F73">
        <w:rPr>
          <w:rFonts w:cs="Times New Roman"/>
          <w:color w:val="000000" w:themeColor="text1"/>
          <w:sz w:val="24"/>
          <w:szCs w:val="24"/>
        </w:rPr>
        <w:tab/>
      </w:r>
      <w:r w:rsidRPr="00BA4F73">
        <w:rPr>
          <w:rFonts w:cs="Times New Roman"/>
          <w:color w:val="000000" w:themeColor="text1"/>
          <w:sz w:val="24"/>
          <w:szCs w:val="24"/>
        </w:rPr>
        <w:tab/>
      </w:r>
      <w:r w:rsidRPr="00BA4F73">
        <w:rPr>
          <w:rFonts w:cs="Times New Roman"/>
          <w:color w:val="000000" w:themeColor="text1"/>
          <w:sz w:val="24"/>
          <w:szCs w:val="24"/>
        </w:rPr>
        <w:tab/>
      </w:r>
      <w:r w:rsidRPr="00BA4F73">
        <w:rPr>
          <w:rFonts w:cs="Times New Roman"/>
          <w:color w:val="000000" w:themeColor="text1"/>
          <w:sz w:val="24"/>
          <w:szCs w:val="24"/>
        </w:rPr>
        <w:tab/>
      </w:r>
    </w:p>
    <w:p w:rsidR="001A4EE8" w:rsidRPr="00BA4F73" w:rsidRDefault="0033151E" w:rsidP="001A4EE8">
      <w:pPr>
        <w:pStyle w:val="Heading3"/>
        <w:rPr>
          <w:rFonts w:asciiTheme="minorHAnsi" w:hAnsiTheme="minorHAnsi" w:cs="Arial"/>
          <w:color w:val="000000" w:themeColor="text1"/>
          <w:sz w:val="24"/>
          <w:szCs w:val="24"/>
        </w:rPr>
      </w:pPr>
      <w:r w:rsidRPr="00BA4F73">
        <w:rPr>
          <w:rFonts w:asciiTheme="minorHAnsi" w:hAnsiTheme="minorHAnsi" w:cs="Arial"/>
          <w:color w:val="000000" w:themeColor="text1"/>
          <w:sz w:val="24"/>
          <w:szCs w:val="24"/>
        </w:rPr>
        <w:t>Ethnicity</w:t>
      </w:r>
    </w:p>
    <w:p w:rsidR="00794C0C" w:rsidRPr="00BA4F73" w:rsidRDefault="00D9449E" w:rsidP="000E5F87">
      <w:pPr>
        <w:rPr>
          <w:rFonts w:cs="Times New Roman"/>
          <w:color w:val="000000" w:themeColor="text1"/>
          <w:szCs w:val="24"/>
        </w:rPr>
      </w:pPr>
      <w:r w:rsidRPr="00BA4F73">
        <w:rPr>
          <w:rFonts w:cs="Times New Roman"/>
          <w:color w:val="000000" w:themeColor="text1"/>
        </w:rPr>
        <w:t>83</w:t>
      </w:r>
      <w:r w:rsidR="001A4EE8" w:rsidRPr="00BA4F73">
        <w:rPr>
          <w:rFonts w:cs="Times New Roman"/>
          <w:color w:val="000000" w:themeColor="text1"/>
          <w:szCs w:val="24"/>
        </w:rPr>
        <w:t xml:space="preserve">% of individuals involved in s42 enquiries </w:t>
      </w:r>
      <w:r w:rsidRPr="00BA4F73">
        <w:rPr>
          <w:rFonts w:cs="Times New Roman"/>
          <w:color w:val="000000" w:themeColor="text1"/>
          <w:szCs w:val="24"/>
        </w:rPr>
        <w:t xml:space="preserve">for 2015/16 </w:t>
      </w:r>
      <w:r w:rsidR="001A4EE8" w:rsidRPr="00BA4F73">
        <w:rPr>
          <w:rFonts w:cs="Times New Roman"/>
          <w:color w:val="000000" w:themeColor="text1"/>
          <w:szCs w:val="24"/>
        </w:rPr>
        <w:t>we</w:t>
      </w:r>
      <w:r w:rsidRPr="00BA4F73">
        <w:rPr>
          <w:rFonts w:cs="Times New Roman"/>
          <w:color w:val="000000" w:themeColor="text1"/>
          <w:szCs w:val="24"/>
        </w:rPr>
        <w:t>re of a White ethnicity with the next biggest groups being Black or Black British (6%) and Asian or Asian British (5%).</w:t>
      </w:r>
    </w:p>
    <w:p w:rsidR="00915D39" w:rsidRPr="00BA4F73" w:rsidRDefault="00915D39" w:rsidP="000E5F87">
      <w:pPr>
        <w:rPr>
          <w:rFonts w:cs="Times New Roman"/>
          <w:b/>
          <w:color w:val="000000" w:themeColor="text1"/>
        </w:rPr>
      </w:pPr>
    </w:p>
    <w:p w:rsidR="00794C0C" w:rsidRPr="00BA4F73" w:rsidRDefault="00884A8B" w:rsidP="000E5F87">
      <w:pPr>
        <w:rPr>
          <w:rFonts w:cs="Times New Roman"/>
          <w:b/>
          <w:color w:val="000000" w:themeColor="text1"/>
        </w:rPr>
      </w:pPr>
      <w:r w:rsidRPr="00BA4F73">
        <w:rPr>
          <w:rFonts w:cs="Times New Roman"/>
          <w:b/>
          <w:color w:val="000000" w:themeColor="text1"/>
        </w:rPr>
        <w:t xml:space="preserve">Figure </w:t>
      </w:r>
      <w:r w:rsidR="003227AB" w:rsidRPr="00BA4F73">
        <w:rPr>
          <w:rFonts w:cs="Times New Roman"/>
          <w:b/>
          <w:color w:val="000000" w:themeColor="text1"/>
        </w:rPr>
        <w:t xml:space="preserve">2 </w:t>
      </w:r>
      <w:r w:rsidR="00794C0C" w:rsidRPr="00BA4F73">
        <w:rPr>
          <w:rFonts w:cs="Times New Roman"/>
          <w:b/>
          <w:color w:val="000000" w:themeColor="text1"/>
        </w:rPr>
        <w:t>– Ethnicity of individuals involved in enquiries</w:t>
      </w:r>
      <w:r w:rsidR="00D9449E" w:rsidRPr="00BA4F73">
        <w:rPr>
          <w:rFonts w:cs="Times New Roman"/>
          <w:b/>
          <w:color w:val="000000" w:themeColor="text1"/>
        </w:rPr>
        <w:t xml:space="preserve"> for 2015/16</w:t>
      </w:r>
    </w:p>
    <w:p w:rsidR="00E5129A" w:rsidRPr="00BA4F73" w:rsidRDefault="003227AB" w:rsidP="000E5F87">
      <w:pPr>
        <w:rPr>
          <w:rFonts w:cs="Times New Roman"/>
          <w:noProof/>
          <w:color w:val="000000" w:themeColor="text1"/>
          <w:sz w:val="24"/>
          <w:szCs w:val="24"/>
          <w:lang w:eastAsia="en-GB"/>
        </w:rPr>
      </w:pPr>
      <w:r w:rsidRPr="00BA4F73">
        <w:rPr>
          <w:noProof/>
          <w:color w:val="000000" w:themeColor="text1"/>
          <w:lang w:eastAsia="en-GB"/>
        </w:rPr>
        <w:drawing>
          <wp:inline distT="0" distB="0" distL="0" distR="0" wp14:anchorId="183B6E91" wp14:editId="3B0D6281">
            <wp:extent cx="4495800" cy="2886075"/>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90C03" w:rsidRPr="00BA4F73" w:rsidRDefault="00F90C03" w:rsidP="000E5F87">
      <w:pPr>
        <w:rPr>
          <w:rFonts w:cs="Times New Roman"/>
          <w:noProof/>
          <w:color w:val="000000" w:themeColor="text1"/>
          <w:sz w:val="24"/>
          <w:szCs w:val="24"/>
          <w:lang w:eastAsia="en-GB"/>
        </w:rPr>
      </w:pPr>
    </w:p>
    <w:p w:rsidR="00E5129A" w:rsidRPr="00BA4F73" w:rsidRDefault="00D9449E" w:rsidP="000E5F87">
      <w:pPr>
        <w:rPr>
          <w:rFonts w:eastAsia="Times New Roman" w:cs="Times New Roman"/>
          <w:color w:val="000000" w:themeColor="text1"/>
          <w:szCs w:val="24"/>
          <w:lang w:eastAsia="en-GB"/>
        </w:rPr>
      </w:pPr>
      <w:r w:rsidRPr="00BA4F73">
        <w:rPr>
          <w:rFonts w:cs="Times New Roman"/>
          <w:color w:val="000000" w:themeColor="text1"/>
          <w:szCs w:val="24"/>
        </w:rPr>
        <w:t xml:space="preserve">Table 6 </w:t>
      </w:r>
      <w:r w:rsidR="001A4EE8" w:rsidRPr="00BA4F73">
        <w:rPr>
          <w:rFonts w:cs="Times New Roman"/>
          <w:color w:val="000000" w:themeColor="text1"/>
          <w:szCs w:val="24"/>
        </w:rPr>
        <w:t>shows the ethnicity split for th</w:t>
      </w:r>
      <w:r w:rsidR="00602DBC" w:rsidRPr="00BA4F73">
        <w:rPr>
          <w:rFonts w:cs="Times New Roman"/>
          <w:color w:val="000000" w:themeColor="text1"/>
          <w:szCs w:val="24"/>
        </w:rPr>
        <w:t>e whole population of Reading</w:t>
      </w:r>
      <w:r w:rsidRPr="00BA4F73">
        <w:rPr>
          <w:rFonts w:cs="Times New Roman"/>
          <w:color w:val="000000" w:themeColor="text1"/>
          <w:szCs w:val="24"/>
        </w:rPr>
        <w:t xml:space="preserve"> based on the </w:t>
      </w:r>
      <w:r w:rsidR="001A4EE8" w:rsidRPr="00BA4F73">
        <w:rPr>
          <w:rFonts w:cs="Times New Roman"/>
          <w:color w:val="000000" w:themeColor="text1"/>
          <w:szCs w:val="24"/>
        </w:rPr>
        <w:t xml:space="preserve">ONS Census 2011 data. </w:t>
      </w:r>
      <w:r w:rsidR="00602DBC" w:rsidRPr="00BA4F73">
        <w:rPr>
          <w:rFonts w:cs="Times New Roman"/>
          <w:color w:val="000000" w:themeColor="text1"/>
          <w:szCs w:val="24"/>
        </w:rPr>
        <w:t>Any E</w:t>
      </w:r>
      <w:r w:rsidR="00832503" w:rsidRPr="00BA4F73">
        <w:rPr>
          <w:rFonts w:eastAsia="Times New Roman" w:cs="Times New Roman"/>
          <w:color w:val="000000" w:themeColor="text1"/>
          <w:szCs w:val="24"/>
          <w:lang w:eastAsia="en-GB"/>
        </w:rPr>
        <w:t>nquiries where ethnicity was not obtained/stated have been excluded from this table.</w:t>
      </w:r>
    </w:p>
    <w:p w:rsidR="00915D39" w:rsidRPr="00BA4F73" w:rsidRDefault="00915D39" w:rsidP="001A2C73">
      <w:pPr>
        <w:pStyle w:val="Caption"/>
        <w:keepNext/>
        <w:rPr>
          <w:rFonts w:cs="Arial"/>
          <w:color w:val="000000" w:themeColor="text1"/>
          <w:sz w:val="22"/>
          <w:szCs w:val="22"/>
        </w:rPr>
      </w:pPr>
    </w:p>
    <w:p w:rsidR="001A2C73" w:rsidRPr="00BA4F73" w:rsidRDefault="00884A8B" w:rsidP="001A2C73">
      <w:pPr>
        <w:pStyle w:val="Caption"/>
        <w:keepNext/>
        <w:rPr>
          <w:rFonts w:cs="Arial"/>
          <w:color w:val="000000" w:themeColor="text1"/>
          <w:sz w:val="22"/>
          <w:szCs w:val="22"/>
        </w:rPr>
      </w:pPr>
      <w:r w:rsidRPr="00BA4F73">
        <w:rPr>
          <w:rFonts w:cs="Arial"/>
          <w:color w:val="000000" w:themeColor="text1"/>
          <w:sz w:val="22"/>
          <w:szCs w:val="22"/>
        </w:rPr>
        <w:t xml:space="preserve">Table </w:t>
      </w:r>
      <w:r w:rsidR="00F90C03" w:rsidRPr="00BA4F73">
        <w:rPr>
          <w:rFonts w:cs="Arial"/>
          <w:color w:val="000000" w:themeColor="text1"/>
          <w:sz w:val="22"/>
          <w:szCs w:val="22"/>
        </w:rPr>
        <w:t xml:space="preserve">6 </w:t>
      </w:r>
      <w:r w:rsidRPr="00BA4F73">
        <w:rPr>
          <w:rFonts w:cs="Arial"/>
          <w:color w:val="000000" w:themeColor="text1"/>
          <w:sz w:val="22"/>
          <w:szCs w:val="22"/>
        </w:rPr>
        <w:t>– Ethnicity of Reading population and safeguarding enquiries</w:t>
      </w:r>
    </w:p>
    <w:tbl>
      <w:tblPr>
        <w:tblW w:w="5000" w:type="pct"/>
        <w:tblLook w:val="04A0" w:firstRow="1" w:lastRow="0" w:firstColumn="1" w:lastColumn="0" w:noHBand="0" w:noVBand="1"/>
      </w:tblPr>
      <w:tblGrid>
        <w:gridCol w:w="3080"/>
        <w:gridCol w:w="3081"/>
        <w:gridCol w:w="3081"/>
      </w:tblGrid>
      <w:tr w:rsidR="00F90C03" w:rsidRPr="00BA4F73" w:rsidTr="00F90C03">
        <w:trPr>
          <w:trHeight w:val="615"/>
        </w:trPr>
        <w:tc>
          <w:tcPr>
            <w:tcW w:w="1666"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F90C03" w:rsidRPr="00BA4F73" w:rsidRDefault="00F90C03" w:rsidP="00F90C03">
            <w:pPr>
              <w:spacing w:after="0" w:line="240" w:lineRule="auto"/>
              <w:rPr>
                <w:rFonts w:ascii="Calibri" w:eastAsia="Times New Roman" w:hAnsi="Calibri" w:cs="Times New Roman"/>
                <w:b/>
                <w:bCs/>
                <w:color w:val="000000" w:themeColor="text1"/>
                <w:lang w:eastAsia="en-GB"/>
              </w:rPr>
            </w:pPr>
            <w:r w:rsidRPr="00BA4F73">
              <w:rPr>
                <w:rFonts w:ascii="Calibri" w:eastAsia="Times New Roman" w:hAnsi="Calibri" w:cs="Times New Roman"/>
                <w:b/>
                <w:bCs/>
                <w:color w:val="000000" w:themeColor="text1"/>
                <w:lang w:eastAsia="en-GB"/>
              </w:rPr>
              <w:t>Ethnic group</w:t>
            </w:r>
          </w:p>
        </w:tc>
        <w:tc>
          <w:tcPr>
            <w:tcW w:w="1667" w:type="pct"/>
            <w:tcBorders>
              <w:top w:val="single" w:sz="8" w:space="0" w:color="auto"/>
              <w:left w:val="nil"/>
              <w:bottom w:val="single" w:sz="8" w:space="0" w:color="auto"/>
              <w:right w:val="single" w:sz="8"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b/>
                <w:bCs/>
                <w:color w:val="000000" w:themeColor="text1"/>
                <w:lang w:eastAsia="en-GB"/>
              </w:rPr>
            </w:pPr>
            <w:r w:rsidRPr="00BA4F73">
              <w:rPr>
                <w:rFonts w:ascii="Calibri" w:eastAsia="Times New Roman" w:hAnsi="Calibri" w:cs="Times New Roman"/>
                <w:b/>
                <w:bCs/>
                <w:color w:val="000000" w:themeColor="text1"/>
                <w:lang w:eastAsia="en-GB"/>
              </w:rPr>
              <w:t>Percentage of whole population</w:t>
            </w:r>
          </w:p>
        </w:tc>
        <w:tc>
          <w:tcPr>
            <w:tcW w:w="1667" w:type="pct"/>
            <w:tcBorders>
              <w:top w:val="single" w:sz="8" w:space="0" w:color="auto"/>
              <w:left w:val="nil"/>
              <w:bottom w:val="single" w:sz="8" w:space="0" w:color="auto"/>
              <w:right w:val="single" w:sz="8"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b/>
                <w:bCs/>
                <w:color w:val="000000" w:themeColor="text1"/>
                <w:lang w:eastAsia="en-GB"/>
              </w:rPr>
            </w:pPr>
            <w:r w:rsidRPr="00BA4F73">
              <w:rPr>
                <w:rFonts w:ascii="Calibri" w:eastAsia="Times New Roman" w:hAnsi="Calibri" w:cs="Times New Roman"/>
                <w:b/>
                <w:bCs/>
                <w:color w:val="000000" w:themeColor="text1"/>
                <w:lang w:eastAsia="en-GB"/>
              </w:rPr>
              <w:t>Percentage of safeguarding enquiries</w:t>
            </w:r>
          </w:p>
        </w:tc>
      </w:tr>
      <w:tr w:rsidR="00F90C03" w:rsidRPr="00BA4F73" w:rsidTr="00F90C03">
        <w:trPr>
          <w:trHeight w:val="315"/>
        </w:trPr>
        <w:tc>
          <w:tcPr>
            <w:tcW w:w="1666" w:type="pct"/>
            <w:tcBorders>
              <w:top w:val="nil"/>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White</w:t>
            </w:r>
          </w:p>
        </w:tc>
        <w:tc>
          <w:tcPr>
            <w:tcW w:w="1667" w:type="pct"/>
            <w:tcBorders>
              <w:top w:val="nil"/>
              <w:left w:val="nil"/>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75.0%</w:t>
            </w:r>
          </w:p>
        </w:tc>
        <w:tc>
          <w:tcPr>
            <w:tcW w:w="1667" w:type="pct"/>
            <w:tcBorders>
              <w:top w:val="nil"/>
              <w:left w:val="nil"/>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87.0%</w:t>
            </w:r>
          </w:p>
        </w:tc>
      </w:tr>
      <w:tr w:rsidR="00F90C03" w:rsidRPr="00BA4F73" w:rsidTr="00F90C03">
        <w:trPr>
          <w:trHeight w:val="315"/>
        </w:trPr>
        <w:tc>
          <w:tcPr>
            <w:tcW w:w="1666" w:type="pct"/>
            <w:tcBorders>
              <w:top w:val="nil"/>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Mixed</w:t>
            </w:r>
          </w:p>
        </w:tc>
        <w:tc>
          <w:tcPr>
            <w:tcW w:w="1667" w:type="pct"/>
            <w:tcBorders>
              <w:top w:val="nil"/>
              <w:left w:val="nil"/>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4.0%</w:t>
            </w:r>
          </w:p>
        </w:tc>
        <w:tc>
          <w:tcPr>
            <w:tcW w:w="1667" w:type="pct"/>
            <w:tcBorders>
              <w:top w:val="nil"/>
              <w:left w:val="nil"/>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1.0%</w:t>
            </w:r>
          </w:p>
        </w:tc>
      </w:tr>
      <w:tr w:rsidR="00F90C03" w:rsidRPr="00BA4F73" w:rsidTr="00F90C03">
        <w:trPr>
          <w:trHeight w:val="315"/>
        </w:trPr>
        <w:tc>
          <w:tcPr>
            <w:tcW w:w="1666" w:type="pct"/>
            <w:tcBorders>
              <w:top w:val="nil"/>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Asian or Asian British</w:t>
            </w:r>
          </w:p>
        </w:tc>
        <w:tc>
          <w:tcPr>
            <w:tcW w:w="1667" w:type="pct"/>
            <w:tcBorders>
              <w:top w:val="nil"/>
              <w:left w:val="nil"/>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13.0%</w:t>
            </w:r>
          </w:p>
        </w:tc>
        <w:tc>
          <w:tcPr>
            <w:tcW w:w="1667" w:type="pct"/>
            <w:tcBorders>
              <w:top w:val="nil"/>
              <w:left w:val="nil"/>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5.5%</w:t>
            </w:r>
          </w:p>
        </w:tc>
      </w:tr>
      <w:tr w:rsidR="00F90C03" w:rsidRPr="00BA4F73" w:rsidTr="00F90C03">
        <w:trPr>
          <w:trHeight w:val="315"/>
        </w:trPr>
        <w:tc>
          <w:tcPr>
            <w:tcW w:w="1666" w:type="pct"/>
            <w:tcBorders>
              <w:top w:val="nil"/>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Black or Black British</w:t>
            </w:r>
          </w:p>
        </w:tc>
        <w:tc>
          <w:tcPr>
            <w:tcW w:w="1667" w:type="pct"/>
            <w:tcBorders>
              <w:top w:val="nil"/>
              <w:left w:val="nil"/>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7.0%</w:t>
            </w:r>
          </w:p>
        </w:tc>
        <w:tc>
          <w:tcPr>
            <w:tcW w:w="1667" w:type="pct"/>
            <w:tcBorders>
              <w:top w:val="nil"/>
              <w:left w:val="nil"/>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6.0%</w:t>
            </w:r>
          </w:p>
        </w:tc>
      </w:tr>
      <w:tr w:rsidR="00F90C03" w:rsidRPr="00BA4F73" w:rsidTr="00F90C03">
        <w:trPr>
          <w:trHeight w:val="315"/>
        </w:trPr>
        <w:tc>
          <w:tcPr>
            <w:tcW w:w="1666" w:type="pct"/>
            <w:tcBorders>
              <w:top w:val="nil"/>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Other ethnic group</w:t>
            </w:r>
          </w:p>
        </w:tc>
        <w:tc>
          <w:tcPr>
            <w:tcW w:w="1667" w:type="pct"/>
            <w:tcBorders>
              <w:top w:val="nil"/>
              <w:left w:val="nil"/>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1.0%</w:t>
            </w:r>
          </w:p>
        </w:tc>
        <w:tc>
          <w:tcPr>
            <w:tcW w:w="1667" w:type="pct"/>
            <w:tcBorders>
              <w:top w:val="nil"/>
              <w:left w:val="nil"/>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0.5%</w:t>
            </w:r>
          </w:p>
        </w:tc>
      </w:tr>
    </w:tbl>
    <w:p w:rsidR="00F90C03" w:rsidRPr="00BA4F73" w:rsidRDefault="00513B76" w:rsidP="000E5F87">
      <w:pPr>
        <w:rPr>
          <w:rFonts w:cs="Arial"/>
          <w:b/>
          <w:i/>
          <w:color w:val="000000" w:themeColor="text1"/>
          <w:sz w:val="20"/>
          <w:szCs w:val="20"/>
        </w:rPr>
      </w:pPr>
      <w:r w:rsidRPr="00BA4F73">
        <w:rPr>
          <w:rFonts w:cs="Arial"/>
          <w:b/>
          <w:i/>
          <w:color w:val="000000" w:themeColor="text1"/>
          <w:sz w:val="20"/>
          <w:szCs w:val="20"/>
        </w:rPr>
        <w:t>Source: ONS 2011 Census data</w:t>
      </w:r>
    </w:p>
    <w:p w:rsidR="00915D39" w:rsidRPr="00BA4F73" w:rsidRDefault="00915D39" w:rsidP="000E5F87">
      <w:pPr>
        <w:rPr>
          <w:rFonts w:cs="Times New Roman"/>
          <w:color w:val="000000" w:themeColor="text1"/>
          <w:szCs w:val="24"/>
        </w:rPr>
      </w:pPr>
    </w:p>
    <w:p w:rsidR="009B4695" w:rsidRPr="00BA4F73" w:rsidRDefault="008A5AC0" w:rsidP="000E5F87">
      <w:pPr>
        <w:rPr>
          <w:rFonts w:cs="Arial"/>
          <w:b/>
          <w:i/>
          <w:color w:val="000000" w:themeColor="text1"/>
          <w:sz w:val="20"/>
          <w:szCs w:val="20"/>
        </w:rPr>
      </w:pPr>
      <w:r w:rsidRPr="00BA4F73">
        <w:rPr>
          <w:rFonts w:cs="Times New Roman"/>
          <w:color w:val="000000" w:themeColor="text1"/>
          <w:szCs w:val="24"/>
        </w:rPr>
        <w:t xml:space="preserve">The numbers </w:t>
      </w:r>
      <w:r w:rsidR="00832503" w:rsidRPr="00BA4F73">
        <w:rPr>
          <w:rFonts w:cs="Times New Roman"/>
          <w:color w:val="000000" w:themeColor="text1"/>
          <w:szCs w:val="24"/>
        </w:rPr>
        <w:t>suggest</w:t>
      </w:r>
      <w:r w:rsidRPr="00BA4F73">
        <w:rPr>
          <w:rFonts w:cs="Times New Roman"/>
          <w:color w:val="000000" w:themeColor="text1"/>
          <w:szCs w:val="24"/>
        </w:rPr>
        <w:t xml:space="preserve"> i</w:t>
      </w:r>
      <w:r w:rsidR="00D9449E" w:rsidRPr="00BA4F73">
        <w:rPr>
          <w:rFonts w:cs="Times New Roman"/>
          <w:color w:val="000000" w:themeColor="text1"/>
          <w:szCs w:val="24"/>
        </w:rPr>
        <w:t>ndividuals with a W</w:t>
      </w:r>
      <w:r w:rsidR="009B4695" w:rsidRPr="00BA4F73">
        <w:rPr>
          <w:rFonts w:cs="Times New Roman"/>
          <w:color w:val="000000" w:themeColor="text1"/>
          <w:szCs w:val="24"/>
        </w:rPr>
        <w:t xml:space="preserve">hite ethnicity are more likely </w:t>
      </w:r>
      <w:r w:rsidR="00832503" w:rsidRPr="00BA4F73">
        <w:rPr>
          <w:rFonts w:cs="Times New Roman"/>
          <w:color w:val="000000" w:themeColor="text1"/>
          <w:szCs w:val="24"/>
        </w:rPr>
        <w:t>to be referred to safeguarding</w:t>
      </w:r>
      <w:r w:rsidR="00D9449E" w:rsidRPr="00BA4F73">
        <w:rPr>
          <w:rFonts w:cs="Times New Roman"/>
          <w:color w:val="000000" w:themeColor="text1"/>
          <w:szCs w:val="24"/>
        </w:rPr>
        <w:t xml:space="preserve"> and the proportion is much higher than for the whole population</w:t>
      </w:r>
      <w:r w:rsidRPr="00BA4F73">
        <w:rPr>
          <w:rFonts w:cs="Times New Roman"/>
          <w:color w:val="000000" w:themeColor="text1"/>
          <w:szCs w:val="24"/>
        </w:rPr>
        <w:t>.</w:t>
      </w:r>
      <w:r w:rsidR="00D9449E" w:rsidRPr="00BA4F73">
        <w:rPr>
          <w:rFonts w:cs="Times New Roman"/>
          <w:color w:val="000000" w:themeColor="text1"/>
          <w:szCs w:val="24"/>
        </w:rPr>
        <w:t xml:space="preserve"> It also shows that those individuals of an Asian or Asian British ethnicity are far less likely to be engaged in the process</w:t>
      </w:r>
      <w:r w:rsidR="00915D39" w:rsidRPr="00BA4F73">
        <w:rPr>
          <w:rFonts w:cs="Times New Roman"/>
          <w:color w:val="000000" w:themeColor="text1"/>
          <w:szCs w:val="24"/>
        </w:rPr>
        <w:t xml:space="preserve"> (13% in whole population whereas those involved in a safeguarding enquiry is only 5.5%).</w:t>
      </w:r>
    </w:p>
    <w:p w:rsidR="000A062F" w:rsidRPr="00BA4F73" w:rsidRDefault="00FD2C76" w:rsidP="002E7AB2">
      <w:pPr>
        <w:pStyle w:val="Heading3"/>
        <w:rPr>
          <w:rFonts w:asciiTheme="minorHAnsi" w:hAnsiTheme="minorHAnsi" w:cs="Arial"/>
          <w:color w:val="000000" w:themeColor="text1"/>
          <w:sz w:val="24"/>
          <w:szCs w:val="24"/>
        </w:rPr>
      </w:pPr>
      <w:r w:rsidRPr="00BA4F73">
        <w:rPr>
          <w:rFonts w:asciiTheme="minorHAnsi" w:hAnsiTheme="minorHAnsi" w:cs="Arial"/>
          <w:color w:val="000000" w:themeColor="text1"/>
          <w:sz w:val="24"/>
          <w:szCs w:val="24"/>
        </w:rPr>
        <w:t>Primary support reason</w:t>
      </w:r>
    </w:p>
    <w:p w:rsidR="00820880" w:rsidRPr="00BA4F73" w:rsidRDefault="00915D39" w:rsidP="004C38DD">
      <w:pPr>
        <w:spacing w:after="0" w:line="240" w:lineRule="auto"/>
        <w:rPr>
          <w:rFonts w:cs="Times New Roman"/>
          <w:color w:val="000000" w:themeColor="text1"/>
          <w:szCs w:val="24"/>
        </w:rPr>
      </w:pPr>
      <w:r w:rsidRPr="00BA4F73">
        <w:rPr>
          <w:rFonts w:cs="Times New Roman"/>
          <w:color w:val="000000" w:themeColor="text1"/>
          <w:szCs w:val="24"/>
        </w:rPr>
        <w:t xml:space="preserve">Table 7 </w:t>
      </w:r>
      <w:r w:rsidR="00B64383" w:rsidRPr="00BA4F73">
        <w:rPr>
          <w:rFonts w:cs="Times New Roman"/>
          <w:color w:val="000000" w:themeColor="text1"/>
          <w:szCs w:val="24"/>
        </w:rPr>
        <w:t xml:space="preserve">shows </w:t>
      </w:r>
      <w:r w:rsidR="00543891" w:rsidRPr="00BA4F73">
        <w:rPr>
          <w:rFonts w:cs="Times New Roman"/>
          <w:color w:val="000000" w:themeColor="text1"/>
          <w:szCs w:val="24"/>
        </w:rPr>
        <w:t xml:space="preserve">a </w:t>
      </w:r>
      <w:r w:rsidR="00B64383" w:rsidRPr="00BA4F73">
        <w:rPr>
          <w:rFonts w:cs="Times New Roman"/>
          <w:color w:val="000000" w:themeColor="text1"/>
          <w:szCs w:val="24"/>
        </w:rPr>
        <w:t xml:space="preserve">breakdown of individuals who had a safeguarding enquiry by </w:t>
      </w:r>
      <w:r w:rsidR="00543891" w:rsidRPr="00BA4F73">
        <w:rPr>
          <w:rFonts w:cs="Times New Roman"/>
          <w:color w:val="000000" w:themeColor="text1"/>
          <w:szCs w:val="24"/>
        </w:rPr>
        <w:t>P</w:t>
      </w:r>
      <w:r w:rsidR="00B64383" w:rsidRPr="00BA4F73">
        <w:rPr>
          <w:rFonts w:cs="Times New Roman"/>
          <w:color w:val="000000" w:themeColor="text1"/>
          <w:szCs w:val="24"/>
        </w:rPr>
        <w:t xml:space="preserve">rimary </w:t>
      </w:r>
      <w:r w:rsidR="00543891" w:rsidRPr="00BA4F73">
        <w:rPr>
          <w:rFonts w:cs="Times New Roman"/>
          <w:color w:val="000000" w:themeColor="text1"/>
          <w:szCs w:val="24"/>
        </w:rPr>
        <w:t>S</w:t>
      </w:r>
      <w:r w:rsidR="00B64383" w:rsidRPr="00BA4F73">
        <w:rPr>
          <w:rFonts w:cs="Times New Roman"/>
          <w:color w:val="000000" w:themeColor="text1"/>
          <w:szCs w:val="24"/>
        </w:rPr>
        <w:t xml:space="preserve">upport </w:t>
      </w:r>
      <w:r w:rsidR="00543891" w:rsidRPr="00BA4F73">
        <w:rPr>
          <w:rFonts w:cs="Times New Roman"/>
          <w:color w:val="000000" w:themeColor="text1"/>
          <w:szCs w:val="24"/>
        </w:rPr>
        <w:t>R</w:t>
      </w:r>
      <w:r w:rsidR="00B64383" w:rsidRPr="00BA4F73">
        <w:rPr>
          <w:rFonts w:cs="Times New Roman"/>
          <w:color w:val="000000" w:themeColor="text1"/>
          <w:szCs w:val="24"/>
        </w:rPr>
        <w:t>eason</w:t>
      </w:r>
      <w:r w:rsidR="00543891" w:rsidRPr="00BA4F73">
        <w:rPr>
          <w:rFonts w:cs="Times New Roman"/>
          <w:color w:val="000000" w:themeColor="text1"/>
          <w:szCs w:val="24"/>
        </w:rPr>
        <w:t xml:space="preserve"> (PSR)</w:t>
      </w:r>
      <w:r w:rsidR="00B64383" w:rsidRPr="00BA4F73">
        <w:rPr>
          <w:rFonts w:cs="Times New Roman"/>
          <w:color w:val="000000" w:themeColor="text1"/>
          <w:szCs w:val="24"/>
        </w:rPr>
        <w:t xml:space="preserve">. </w:t>
      </w:r>
      <w:r w:rsidR="00543891" w:rsidRPr="00BA4F73">
        <w:rPr>
          <w:rFonts w:cs="Times New Roman"/>
          <w:color w:val="000000" w:themeColor="text1"/>
          <w:szCs w:val="24"/>
        </w:rPr>
        <w:t>T</w:t>
      </w:r>
      <w:r w:rsidR="00B64383" w:rsidRPr="00BA4F73">
        <w:rPr>
          <w:rFonts w:cs="Times New Roman"/>
          <w:color w:val="000000" w:themeColor="text1"/>
          <w:szCs w:val="24"/>
        </w:rPr>
        <w:t xml:space="preserve">he majority of </w:t>
      </w:r>
      <w:r w:rsidR="00543891" w:rsidRPr="00BA4F73">
        <w:rPr>
          <w:rFonts w:cs="Times New Roman"/>
          <w:color w:val="000000" w:themeColor="text1"/>
          <w:szCs w:val="24"/>
        </w:rPr>
        <w:t xml:space="preserve">individuals </w:t>
      </w:r>
      <w:r w:rsidRPr="00BA4F73">
        <w:rPr>
          <w:rFonts w:cs="Times New Roman"/>
          <w:color w:val="000000" w:themeColor="text1"/>
          <w:szCs w:val="24"/>
        </w:rPr>
        <w:t xml:space="preserve">in 2015/16 </w:t>
      </w:r>
      <w:r w:rsidR="00543891" w:rsidRPr="00BA4F73">
        <w:rPr>
          <w:rFonts w:cs="Times New Roman"/>
          <w:color w:val="000000" w:themeColor="text1"/>
          <w:szCs w:val="24"/>
        </w:rPr>
        <w:t>had a</w:t>
      </w:r>
      <w:r w:rsidR="00B64383" w:rsidRPr="00BA4F73">
        <w:rPr>
          <w:rFonts w:cs="Times New Roman"/>
          <w:color w:val="000000" w:themeColor="text1"/>
          <w:szCs w:val="24"/>
        </w:rPr>
        <w:t xml:space="preserve"> </w:t>
      </w:r>
      <w:r w:rsidR="00543891" w:rsidRPr="00BA4F73">
        <w:rPr>
          <w:rFonts w:cs="Times New Roman"/>
          <w:color w:val="000000" w:themeColor="text1"/>
          <w:szCs w:val="24"/>
        </w:rPr>
        <w:t>PSR</w:t>
      </w:r>
      <w:r w:rsidR="00B64383" w:rsidRPr="00BA4F73">
        <w:rPr>
          <w:rFonts w:cs="Times New Roman"/>
          <w:color w:val="000000" w:themeColor="text1"/>
          <w:szCs w:val="24"/>
        </w:rPr>
        <w:t xml:space="preserve"> </w:t>
      </w:r>
      <w:r w:rsidR="00602DBC" w:rsidRPr="00BA4F73">
        <w:rPr>
          <w:rFonts w:cs="Times New Roman"/>
          <w:color w:val="000000" w:themeColor="text1"/>
          <w:szCs w:val="24"/>
        </w:rPr>
        <w:t>of Physical Support</w:t>
      </w:r>
      <w:r w:rsidRPr="00BA4F73">
        <w:rPr>
          <w:rFonts w:cs="Times New Roman"/>
          <w:color w:val="000000" w:themeColor="text1"/>
          <w:szCs w:val="24"/>
        </w:rPr>
        <w:t xml:space="preserve"> (51</w:t>
      </w:r>
      <w:r w:rsidR="00543891" w:rsidRPr="00BA4F73">
        <w:rPr>
          <w:rFonts w:cs="Times New Roman"/>
          <w:color w:val="000000" w:themeColor="text1"/>
          <w:szCs w:val="24"/>
        </w:rPr>
        <w:t>%</w:t>
      </w:r>
      <w:r w:rsidRPr="00BA4F73">
        <w:rPr>
          <w:rFonts w:cs="Times New Roman"/>
          <w:color w:val="000000" w:themeColor="text1"/>
          <w:szCs w:val="24"/>
        </w:rPr>
        <w:t xml:space="preserve">), which also </w:t>
      </w:r>
      <w:r w:rsidR="00602DBC" w:rsidRPr="00BA4F73">
        <w:rPr>
          <w:rFonts w:cs="Times New Roman"/>
          <w:color w:val="000000" w:themeColor="text1"/>
          <w:szCs w:val="24"/>
        </w:rPr>
        <w:t>represent</w:t>
      </w:r>
      <w:r w:rsidRPr="00BA4F73">
        <w:rPr>
          <w:rFonts w:cs="Times New Roman"/>
          <w:color w:val="000000" w:themeColor="text1"/>
          <w:szCs w:val="24"/>
        </w:rPr>
        <w:t xml:space="preserve">s </w:t>
      </w:r>
      <w:r w:rsidR="00602DBC" w:rsidRPr="00BA4F73">
        <w:rPr>
          <w:rFonts w:cs="Times New Roman"/>
          <w:color w:val="000000" w:themeColor="text1"/>
          <w:szCs w:val="24"/>
        </w:rPr>
        <w:t xml:space="preserve">a </w:t>
      </w:r>
      <w:r w:rsidRPr="00BA4F73">
        <w:rPr>
          <w:rFonts w:cs="Times New Roman"/>
          <w:color w:val="000000" w:themeColor="text1"/>
        </w:rPr>
        <w:t xml:space="preserve"> 10% increase </w:t>
      </w:r>
      <w:r w:rsidRPr="00BA4F73">
        <w:rPr>
          <w:rFonts w:cs="Times New Roman"/>
          <w:color w:val="000000" w:themeColor="text1"/>
          <w:szCs w:val="24"/>
        </w:rPr>
        <w:t>on the 2014/15 figure (was at 41%)</w:t>
      </w:r>
      <w:r w:rsidR="00B64383" w:rsidRPr="00BA4F73">
        <w:rPr>
          <w:rFonts w:cs="Times New Roman"/>
          <w:color w:val="000000" w:themeColor="text1"/>
          <w:szCs w:val="24"/>
        </w:rPr>
        <w:t xml:space="preserve">. </w:t>
      </w:r>
      <w:r w:rsidRPr="00BA4F73">
        <w:rPr>
          <w:rFonts w:cs="Times New Roman"/>
          <w:color w:val="000000" w:themeColor="text1"/>
          <w:szCs w:val="24"/>
        </w:rPr>
        <w:t>There was also a de</w:t>
      </w:r>
      <w:r w:rsidR="00543891" w:rsidRPr="00BA4F73">
        <w:rPr>
          <w:rFonts w:cs="Times New Roman"/>
          <w:color w:val="000000" w:themeColor="text1"/>
          <w:szCs w:val="24"/>
        </w:rPr>
        <w:t>crease in enquires where the i</w:t>
      </w:r>
      <w:r w:rsidRPr="00BA4F73">
        <w:rPr>
          <w:rFonts w:cs="Times New Roman"/>
          <w:color w:val="000000" w:themeColor="text1"/>
          <w:szCs w:val="24"/>
        </w:rPr>
        <w:t>ndividual has a PSR of Support with memory and cognition (from 18% to 9% proportionately).</w:t>
      </w:r>
    </w:p>
    <w:p w:rsidR="00820880" w:rsidRPr="00BA4F73" w:rsidRDefault="00820880" w:rsidP="004C38DD">
      <w:pPr>
        <w:spacing w:after="0" w:line="240" w:lineRule="auto"/>
        <w:rPr>
          <w:rFonts w:cs="Times New Roman"/>
          <w:color w:val="000000" w:themeColor="text1"/>
          <w:szCs w:val="24"/>
        </w:rPr>
      </w:pPr>
    </w:p>
    <w:p w:rsidR="00820880" w:rsidRPr="00BA4F73" w:rsidRDefault="00884A8B" w:rsidP="00820880">
      <w:pPr>
        <w:pStyle w:val="Caption"/>
        <w:keepNext/>
        <w:rPr>
          <w:rFonts w:cs="Arial"/>
          <w:b w:val="0"/>
          <w:color w:val="000000" w:themeColor="text1"/>
          <w:sz w:val="22"/>
          <w:szCs w:val="22"/>
        </w:rPr>
      </w:pPr>
      <w:r w:rsidRPr="00BA4F73">
        <w:rPr>
          <w:rFonts w:cs="Arial"/>
          <w:b w:val="0"/>
          <w:color w:val="000000" w:themeColor="text1"/>
          <w:sz w:val="22"/>
          <w:szCs w:val="22"/>
        </w:rPr>
        <w:t xml:space="preserve">Table </w:t>
      </w:r>
      <w:r w:rsidR="00F90C03" w:rsidRPr="00BA4F73">
        <w:rPr>
          <w:rFonts w:cs="Arial"/>
          <w:b w:val="0"/>
          <w:color w:val="000000" w:themeColor="text1"/>
          <w:sz w:val="22"/>
          <w:szCs w:val="22"/>
        </w:rPr>
        <w:t xml:space="preserve">7 </w:t>
      </w:r>
      <w:r w:rsidR="00820880" w:rsidRPr="00BA4F73">
        <w:rPr>
          <w:rFonts w:cs="Arial"/>
          <w:b w:val="0"/>
          <w:color w:val="000000" w:themeColor="text1"/>
          <w:sz w:val="22"/>
          <w:szCs w:val="22"/>
        </w:rPr>
        <w:t>– Primary</w:t>
      </w:r>
      <w:r w:rsidR="00543891" w:rsidRPr="00BA4F73">
        <w:rPr>
          <w:rFonts w:cs="Arial"/>
          <w:b w:val="0"/>
          <w:color w:val="000000" w:themeColor="text1"/>
          <w:sz w:val="22"/>
          <w:szCs w:val="22"/>
        </w:rPr>
        <w:t xml:space="preserve"> support reason for individuals </w:t>
      </w:r>
      <w:r w:rsidR="00820880" w:rsidRPr="00BA4F73">
        <w:rPr>
          <w:rFonts w:cs="Arial"/>
          <w:b w:val="0"/>
          <w:color w:val="000000" w:themeColor="text1"/>
          <w:sz w:val="22"/>
          <w:szCs w:val="22"/>
        </w:rPr>
        <w:t>with</w:t>
      </w:r>
      <w:r w:rsidR="00543891" w:rsidRPr="00BA4F73">
        <w:rPr>
          <w:rFonts w:cs="Arial"/>
          <w:b w:val="0"/>
          <w:color w:val="000000" w:themeColor="text1"/>
          <w:sz w:val="22"/>
          <w:szCs w:val="22"/>
        </w:rPr>
        <w:t xml:space="preserve"> a</w:t>
      </w:r>
      <w:r w:rsidR="00820880" w:rsidRPr="00BA4F73">
        <w:rPr>
          <w:rFonts w:cs="Arial"/>
          <w:b w:val="0"/>
          <w:color w:val="000000" w:themeColor="text1"/>
          <w:sz w:val="22"/>
          <w:szCs w:val="22"/>
        </w:rPr>
        <w:t xml:space="preserve"> safeguarding enquir</w:t>
      </w:r>
      <w:r w:rsidR="00543891" w:rsidRPr="00BA4F73">
        <w:rPr>
          <w:rFonts w:cs="Arial"/>
          <w:b w:val="0"/>
          <w:color w:val="000000" w:themeColor="text1"/>
          <w:sz w:val="22"/>
          <w:szCs w:val="22"/>
        </w:rPr>
        <w:t>y</w:t>
      </w:r>
    </w:p>
    <w:tbl>
      <w:tblPr>
        <w:tblW w:w="5000" w:type="pct"/>
        <w:tblLook w:val="04A0" w:firstRow="1" w:lastRow="0" w:firstColumn="1" w:lastColumn="0" w:noHBand="0" w:noVBand="1"/>
      </w:tblPr>
      <w:tblGrid>
        <w:gridCol w:w="3452"/>
        <w:gridCol w:w="1448"/>
        <w:gridCol w:w="1448"/>
        <w:gridCol w:w="1447"/>
        <w:gridCol w:w="1447"/>
      </w:tblGrid>
      <w:tr w:rsidR="00BA4F73" w:rsidRPr="00BA4F73" w:rsidTr="00F90C03">
        <w:trPr>
          <w:trHeight w:val="315"/>
        </w:trPr>
        <w:tc>
          <w:tcPr>
            <w:tcW w:w="1867"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bCs/>
                <w:color w:val="000000" w:themeColor="text1"/>
                <w:lang w:eastAsia="en-GB"/>
              </w:rPr>
            </w:pPr>
            <w:r w:rsidRPr="00BA4F73">
              <w:rPr>
                <w:rFonts w:ascii="Calibri" w:eastAsia="Times New Roman" w:hAnsi="Calibri" w:cs="Times New Roman"/>
                <w:bCs/>
                <w:color w:val="000000" w:themeColor="text1"/>
                <w:lang w:eastAsia="en-GB"/>
              </w:rPr>
              <w:t>Primary support reason</w:t>
            </w:r>
          </w:p>
        </w:tc>
        <w:tc>
          <w:tcPr>
            <w:tcW w:w="783" w:type="pct"/>
            <w:tcBorders>
              <w:top w:val="single" w:sz="8" w:space="0" w:color="auto"/>
              <w:left w:val="nil"/>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bCs/>
                <w:color w:val="000000" w:themeColor="text1"/>
                <w:lang w:eastAsia="en-GB"/>
              </w:rPr>
            </w:pPr>
            <w:r w:rsidRPr="00BA4F73">
              <w:rPr>
                <w:rFonts w:ascii="Calibri" w:eastAsia="Times New Roman" w:hAnsi="Calibri" w:cs="Times New Roman"/>
                <w:bCs/>
                <w:color w:val="000000" w:themeColor="text1"/>
                <w:lang w:eastAsia="en-GB"/>
              </w:rPr>
              <w:t>2014/15</w:t>
            </w:r>
          </w:p>
        </w:tc>
        <w:tc>
          <w:tcPr>
            <w:tcW w:w="783" w:type="pct"/>
            <w:tcBorders>
              <w:top w:val="single" w:sz="8" w:space="0" w:color="auto"/>
              <w:left w:val="nil"/>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bCs/>
                <w:color w:val="000000" w:themeColor="text1"/>
                <w:lang w:eastAsia="en-GB"/>
              </w:rPr>
            </w:pPr>
            <w:r w:rsidRPr="00BA4F73">
              <w:rPr>
                <w:rFonts w:ascii="Calibri" w:eastAsia="Times New Roman" w:hAnsi="Calibri" w:cs="Times New Roman"/>
                <w:bCs/>
                <w:color w:val="000000" w:themeColor="text1"/>
                <w:lang w:eastAsia="en-GB"/>
              </w:rPr>
              <w:t>% of total</w:t>
            </w:r>
          </w:p>
        </w:tc>
        <w:tc>
          <w:tcPr>
            <w:tcW w:w="783" w:type="pct"/>
            <w:tcBorders>
              <w:top w:val="single" w:sz="8" w:space="0" w:color="auto"/>
              <w:left w:val="nil"/>
              <w:bottom w:val="single" w:sz="8" w:space="0" w:color="auto"/>
              <w:right w:val="single" w:sz="8"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bCs/>
                <w:color w:val="000000" w:themeColor="text1"/>
                <w:lang w:eastAsia="en-GB"/>
              </w:rPr>
            </w:pPr>
            <w:r w:rsidRPr="00BA4F73">
              <w:rPr>
                <w:rFonts w:ascii="Calibri" w:eastAsia="Times New Roman" w:hAnsi="Calibri" w:cs="Times New Roman"/>
                <w:bCs/>
                <w:color w:val="000000" w:themeColor="text1"/>
                <w:lang w:eastAsia="en-GB"/>
              </w:rPr>
              <w:t>2015/16</w:t>
            </w:r>
          </w:p>
        </w:tc>
        <w:tc>
          <w:tcPr>
            <w:tcW w:w="783" w:type="pct"/>
            <w:tcBorders>
              <w:top w:val="single" w:sz="8" w:space="0" w:color="auto"/>
              <w:left w:val="nil"/>
              <w:bottom w:val="single" w:sz="8" w:space="0" w:color="auto"/>
              <w:right w:val="single" w:sz="8"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bCs/>
                <w:color w:val="000000" w:themeColor="text1"/>
                <w:lang w:eastAsia="en-GB"/>
              </w:rPr>
            </w:pPr>
            <w:r w:rsidRPr="00BA4F73">
              <w:rPr>
                <w:rFonts w:ascii="Calibri" w:eastAsia="Times New Roman" w:hAnsi="Calibri" w:cs="Times New Roman"/>
                <w:bCs/>
                <w:color w:val="000000" w:themeColor="text1"/>
                <w:lang w:eastAsia="en-GB"/>
              </w:rPr>
              <w:t>% of total</w:t>
            </w:r>
          </w:p>
        </w:tc>
      </w:tr>
      <w:tr w:rsidR="00BA4F73" w:rsidRPr="00BA4F73" w:rsidTr="00F90C03">
        <w:trPr>
          <w:trHeight w:val="315"/>
        </w:trPr>
        <w:tc>
          <w:tcPr>
            <w:tcW w:w="1867" w:type="pct"/>
            <w:tcBorders>
              <w:top w:val="nil"/>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Physical support</w:t>
            </w:r>
          </w:p>
        </w:tc>
        <w:tc>
          <w:tcPr>
            <w:tcW w:w="783" w:type="pct"/>
            <w:tcBorders>
              <w:top w:val="nil"/>
              <w:left w:val="nil"/>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193</w:t>
            </w:r>
          </w:p>
        </w:tc>
        <w:tc>
          <w:tcPr>
            <w:tcW w:w="783" w:type="pct"/>
            <w:tcBorders>
              <w:top w:val="nil"/>
              <w:left w:val="nil"/>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41%</w:t>
            </w:r>
          </w:p>
        </w:tc>
        <w:tc>
          <w:tcPr>
            <w:tcW w:w="783" w:type="pct"/>
            <w:tcBorders>
              <w:top w:val="nil"/>
              <w:left w:val="nil"/>
              <w:bottom w:val="single" w:sz="8" w:space="0" w:color="auto"/>
              <w:right w:val="single" w:sz="8"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262</w:t>
            </w:r>
          </w:p>
        </w:tc>
        <w:tc>
          <w:tcPr>
            <w:tcW w:w="783" w:type="pct"/>
            <w:tcBorders>
              <w:top w:val="nil"/>
              <w:left w:val="nil"/>
              <w:bottom w:val="single" w:sz="8" w:space="0" w:color="auto"/>
              <w:right w:val="single" w:sz="8"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51%</w:t>
            </w:r>
          </w:p>
        </w:tc>
      </w:tr>
      <w:tr w:rsidR="00BA4F73" w:rsidRPr="00BA4F73" w:rsidTr="00F90C03">
        <w:trPr>
          <w:trHeight w:val="315"/>
        </w:trPr>
        <w:tc>
          <w:tcPr>
            <w:tcW w:w="1867" w:type="pct"/>
            <w:tcBorders>
              <w:top w:val="nil"/>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Sensory support</w:t>
            </w:r>
          </w:p>
        </w:tc>
        <w:tc>
          <w:tcPr>
            <w:tcW w:w="783" w:type="pct"/>
            <w:tcBorders>
              <w:top w:val="nil"/>
              <w:left w:val="nil"/>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13</w:t>
            </w:r>
          </w:p>
        </w:tc>
        <w:tc>
          <w:tcPr>
            <w:tcW w:w="783" w:type="pct"/>
            <w:tcBorders>
              <w:top w:val="nil"/>
              <w:left w:val="nil"/>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3%</w:t>
            </w:r>
          </w:p>
        </w:tc>
        <w:tc>
          <w:tcPr>
            <w:tcW w:w="783" w:type="pct"/>
            <w:tcBorders>
              <w:top w:val="nil"/>
              <w:left w:val="nil"/>
              <w:bottom w:val="single" w:sz="8" w:space="0" w:color="auto"/>
              <w:right w:val="single" w:sz="8"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8</w:t>
            </w:r>
          </w:p>
        </w:tc>
        <w:tc>
          <w:tcPr>
            <w:tcW w:w="783" w:type="pct"/>
            <w:tcBorders>
              <w:top w:val="nil"/>
              <w:left w:val="nil"/>
              <w:bottom w:val="single" w:sz="8" w:space="0" w:color="auto"/>
              <w:right w:val="single" w:sz="8"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w:t>
            </w:r>
          </w:p>
        </w:tc>
      </w:tr>
      <w:tr w:rsidR="00BA4F73" w:rsidRPr="00BA4F73" w:rsidTr="00F90C03">
        <w:trPr>
          <w:trHeight w:val="315"/>
        </w:trPr>
        <w:tc>
          <w:tcPr>
            <w:tcW w:w="1867" w:type="pct"/>
            <w:tcBorders>
              <w:top w:val="nil"/>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Support with memory and cognition</w:t>
            </w:r>
          </w:p>
        </w:tc>
        <w:tc>
          <w:tcPr>
            <w:tcW w:w="783" w:type="pct"/>
            <w:tcBorders>
              <w:top w:val="nil"/>
              <w:left w:val="nil"/>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84</w:t>
            </w:r>
          </w:p>
        </w:tc>
        <w:tc>
          <w:tcPr>
            <w:tcW w:w="783" w:type="pct"/>
            <w:tcBorders>
              <w:top w:val="nil"/>
              <w:left w:val="nil"/>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18%</w:t>
            </w:r>
          </w:p>
        </w:tc>
        <w:tc>
          <w:tcPr>
            <w:tcW w:w="783" w:type="pct"/>
            <w:tcBorders>
              <w:top w:val="nil"/>
              <w:left w:val="nil"/>
              <w:bottom w:val="single" w:sz="8" w:space="0" w:color="auto"/>
              <w:right w:val="single" w:sz="8"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44</w:t>
            </w:r>
          </w:p>
        </w:tc>
        <w:tc>
          <w:tcPr>
            <w:tcW w:w="783" w:type="pct"/>
            <w:tcBorders>
              <w:top w:val="nil"/>
              <w:left w:val="nil"/>
              <w:bottom w:val="single" w:sz="8" w:space="0" w:color="auto"/>
              <w:right w:val="single" w:sz="8"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9%</w:t>
            </w:r>
          </w:p>
        </w:tc>
      </w:tr>
      <w:tr w:rsidR="00BA4F73" w:rsidRPr="00BA4F73" w:rsidTr="00F90C03">
        <w:trPr>
          <w:trHeight w:val="315"/>
        </w:trPr>
        <w:tc>
          <w:tcPr>
            <w:tcW w:w="1867" w:type="pct"/>
            <w:tcBorders>
              <w:top w:val="nil"/>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Learning disability support</w:t>
            </w:r>
          </w:p>
        </w:tc>
        <w:tc>
          <w:tcPr>
            <w:tcW w:w="783" w:type="pct"/>
            <w:tcBorders>
              <w:top w:val="nil"/>
              <w:left w:val="nil"/>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83</w:t>
            </w:r>
          </w:p>
        </w:tc>
        <w:tc>
          <w:tcPr>
            <w:tcW w:w="783" w:type="pct"/>
            <w:tcBorders>
              <w:top w:val="nil"/>
              <w:left w:val="nil"/>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17%</w:t>
            </w:r>
          </w:p>
        </w:tc>
        <w:tc>
          <w:tcPr>
            <w:tcW w:w="783" w:type="pct"/>
            <w:tcBorders>
              <w:top w:val="nil"/>
              <w:left w:val="nil"/>
              <w:bottom w:val="single" w:sz="8" w:space="0" w:color="auto"/>
              <w:right w:val="single" w:sz="8"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84</w:t>
            </w:r>
          </w:p>
        </w:tc>
        <w:tc>
          <w:tcPr>
            <w:tcW w:w="783" w:type="pct"/>
            <w:tcBorders>
              <w:top w:val="nil"/>
              <w:left w:val="nil"/>
              <w:bottom w:val="single" w:sz="8" w:space="0" w:color="auto"/>
              <w:right w:val="single" w:sz="8"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16%</w:t>
            </w:r>
          </w:p>
        </w:tc>
      </w:tr>
      <w:tr w:rsidR="00BA4F73" w:rsidRPr="00BA4F73" w:rsidTr="00F90C03">
        <w:trPr>
          <w:trHeight w:val="315"/>
        </w:trPr>
        <w:tc>
          <w:tcPr>
            <w:tcW w:w="1867" w:type="pct"/>
            <w:tcBorders>
              <w:top w:val="nil"/>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Mental health support</w:t>
            </w:r>
          </w:p>
        </w:tc>
        <w:tc>
          <w:tcPr>
            <w:tcW w:w="783" w:type="pct"/>
            <w:tcBorders>
              <w:top w:val="nil"/>
              <w:left w:val="nil"/>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70</w:t>
            </w:r>
          </w:p>
        </w:tc>
        <w:tc>
          <w:tcPr>
            <w:tcW w:w="783" w:type="pct"/>
            <w:tcBorders>
              <w:top w:val="nil"/>
              <w:left w:val="nil"/>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15%</w:t>
            </w:r>
          </w:p>
        </w:tc>
        <w:tc>
          <w:tcPr>
            <w:tcW w:w="783" w:type="pct"/>
            <w:tcBorders>
              <w:top w:val="nil"/>
              <w:left w:val="nil"/>
              <w:bottom w:val="single" w:sz="8" w:space="0" w:color="auto"/>
              <w:right w:val="single" w:sz="8"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83</w:t>
            </w:r>
          </w:p>
        </w:tc>
        <w:tc>
          <w:tcPr>
            <w:tcW w:w="783" w:type="pct"/>
            <w:tcBorders>
              <w:top w:val="nil"/>
              <w:left w:val="nil"/>
              <w:bottom w:val="single" w:sz="8" w:space="0" w:color="auto"/>
              <w:right w:val="single" w:sz="8"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16%</w:t>
            </w:r>
          </w:p>
        </w:tc>
      </w:tr>
      <w:tr w:rsidR="00BA4F73" w:rsidRPr="00BA4F73" w:rsidTr="00F90C03">
        <w:trPr>
          <w:trHeight w:val="315"/>
        </w:trPr>
        <w:tc>
          <w:tcPr>
            <w:tcW w:w="1867" w:type="pct"/>
            <w:tcBorders>
              <w:top w:val="nil"/>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Social support</w:t>
            </w:r>
          </w:p>
        </w:tc>
        <w:tc>
          <w:tcPr>
            <w:tcW w:w="783" w:type="pct"/>
            <w:tcBorders>
              <w:top w:val="nil"/>
              <w:left w:val="nil"/>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28</w:t>
            </w:r>
          </w:p>
        </w:tc>
        <w:tc>
          <w:tcPr>
            <w:tcW w:w="783" w:type="pct"/>
            <w:tcBorders>
              <w:top w:val="nil"/>
              <w:left w:val="nil"/>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6%</w:t>
            </w:r>
          </w:p>
        </w:tc>
        <w:tc>
          <w:tcPr>
            <w:tcW w:w="783" w:type="pct"/>
            <w:tcBorders>
              <w:top w:val="nil"/>
              <w:left w:val="nil"/>
              <w:bottom w:val="single" w:sz="8" w:space="0" w:color="auto"/>
              <w:right w:val="single" w:sz="8"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30</w:t>
            </w:r>
          </w:p>
        </w:tc>
        <w:tc>
          <w:tcPr>
            <w:tcW w:w="783" w:type="pct"/>
            <w:tcBorders>
              <w:top w:val="nil"/>
              <w:left w:val="nil"/>
              <w:bottom w:val="single" w:sz="8" w:space="0" w:color="auto"/>
              <w:right w:val="single" w:sz="8"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6%</w:t>
            </w:r>
          </w:p>
        </w:tc>
      </w:tr>
      <w:tr w:rsidR="00BA4F73" w:rsidRPr="00BA4F73" w:rsidTr="00F90C03">
        <w:trPr>
          <w:trHeight w:val="315"/>
        </w:trPr>
        <w:tc>
          <w:tcPr>
            <w:tcW w:w="1867" w:type="pct"/>
            <w:tcBorders>
              <w:top w:val="nil"/>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No support reason</w:t>
            </w:r>
          </w:p>
        </w:tc>
        <w:tc>
          <w:tcPr>
            <w:tcW w:w="783" w:type="pct"/>
            <w:tcBorders>
              <w:top w:val="nil"/>
              <w:left w:val="nil"/>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4</w:t>
            </w:r>
          </w:p>
        </w:tc>
        <w:tc>
          <w:tcPr>
            <w:tcW w:w="783" w:type="pct"/>
            <w:tcBorders>
              <w:top w:val="nil"/>
              <w:left w:val="nil"/>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w:t>
            </w:r>
          </w:p>
        </w:tc>
        <w:tc>
          <w:tcPr>
            <w:tcW w:w="783" w:type="pct"/>
            <w:tcBorders>
              <w:top w:val="nil"/>
              <w:left w:val="nil"/>
              <w:bottom w:val="single" w:sz="8" w:space="0" w:color="auto"/>
              <w:right w:val="single" w:sz="8"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0</w:t>
            </w:r>
          </w:p>
        </w:tc>
        <w:tc>
          <w:tcPr>
            <w:tcW w:w="783" w:type="pct"/>
            <w:tcBorders>
              <w:top w:val="nil"/>
              <w:left w:val="nil"/>
              <w:bottom w:val="single" w:sz="8" w:space="0" w:color="auto"/>
              <w:right w:val="single" w:sz="8"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0%</w:t>
            </w:r>
          </w:p>
        </w:tc>
      </w:tr>
      <w:tr w:rsidR="00BA4F73" w:rsidRPr="00BA4F73" w:rsidTr="00F90C03">
        <w:trPr>
          <w:trHeight w:val="315"/>
        </w:trPr>
        <w:tc>
          <w:tcPr>
            <w:tcW w:w="1867" w:type="pct"/>
            <w:tcBorders>
              <w:top w:val="nil"/>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Not known</w:t>
            </w:r>
          </w:p>
        </w:tc>
        <w:tc>
          <w:tcPr>
            <w:tcW w:w="783" w:type="pct"/>
            <w:tcBorders>
              <w:top w:val="nil"/>
              <w:left w:val="nil"/>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0</w:t>
            </w:r>
          </w:p>
        </w:tc>
        <w:tc>
          <w:tcPr>
            <w:tcW w:w="783" w:type="pct"/>
            <w:tcBorders>
              <w:top w:val="nil"/>
              <w:left w:val="nil"/>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0%</w:t>
            </w:r>
          </w:p>
        </w:tc>
        <w:tc>
          <w:tcPr>
            <w:tcW w:w="783" w:type="pct"/>
            <w:tcBorders>
              <w:top w:val="nil"/>
              <w:left w:val="nil"/>
              <w:bottom w:val="single" w:sz="8" w:space="0" w:color="auto"/>
              <w:right w:val="single" w:sz="8"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0</w:t>
            </w:r>
          </w:p>
        </w:tc>
        <w:tc>
          <w:tcPr>
            <w:tcW w:w="783" w:type="pct"/>
            <w:tcBorders>
              <w:top w:val="nil"/>
              <w:left w:val="nil"/>
              <w:bottom w:val="single" w:sz="8" w:space="0" w:color="auto"/>
              <w:right w:val="single" w:sz="8"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0%</w:t>
            </w:r>
          </w:p>
        </w:tc>
      </w:tr>
      <w:tr w:rsidR="00BA4F73" w:rsidRPr="00BA4F73" w:rsidTr="00F90C03">
        <w:trPr>
          <w:trHeight w:val="315"/>
        </w:trPr>
        <w:tc>
          <w:tcPr>
            <w:tcW w:w="1867" w:type="pct"/>
            <w:tcBorders>
              <w:top w:val="nil"/>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Total</w:t>
            </w:r>
          </w:p>
        </w:tc>
        <w:tc>
          <w:tcPr>
            <w:tcW w:w="783" w:type="pct"/>
            <w:tcBorders>
              <w:top w:val="nil"/>
              <w:left w:val="nil"/>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475</w:t>
            </w:r>
          </w:p>
        </w:tc>
        <w:tc>
          <w:tcPr>
            <w:tcW w:w="783" w:type="pct"/>
            <w:tcBorders>
              <w:top w:val="nil"/>
              <w:left w:val="nil"/>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100%</w:t>
            </w:r>
          </w:p>
        </w:tc>
        <w:tc>
          <w:tcPr>
            <w:tcW w:w="783" w:type="pct"/>
            <w:tcBorders>
              <w:top w:val="nil"/>
              <w:left w:val="nil"/>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511</w:t>
            </w:r>
          </w:p>
        </w:tc>
        <w:tc>
          <w:tcPr>
            <w:tcW w:w="783" w:type="pct"/>
            <w:tcBorders>
              <w:top w:val="nil"/>
              <w:left w:val="nil"/>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100%</w:t>
            </w:r>
          </w:p>
        </w:tc>
      </w:tr>
    </w:tbl>
    <w:p w:rsidR="00B64383" w:rsidRPr="00BA4F73" w:rsidRDefault="00B64383" w:rsidP="004C38DD">
      <w:pPr>
        <w:spacing w:after="0" w:line="240" w:lineRule="auto"/>
        <w:rPr>
          <w:rFonts w:cs="Times New Roman"/>
          <w:color w:val="000000" w:themeColor="text1"/>
          <w:szCs w:val="24"/>
        </w:rPr>
      </w:pPr>
    </w:p>
    <w:p w:rsidR="00F23777" w:rsidRPr="00BA4F73" w:rsidRDefault="00543891" w:rsidP="00F23777">
      <w:pPr>
        <w:pStyle w:val="Heading2"/>
        <w:rPr>
          <w:rFonts w:asciiTheme="minorHAnsi" w:hAnsiTheme="minorHAnsi" w:cs="Arial"/>
          <w:color w:val="000000" w:themeColor="text1"/>
          <w:szCs w:val="24"/>
          <w:u w:val="single"/>
        </w:rPr>
      </w:pPr>
      <w:r w:rsidRPr="00BA4F73">
        <w:rPr>
          <w:rFonts w:asciiTheme="minorHAnsi" w:hAnsiTheme="minorHAnsi" w:cs="Arial"/>
          <w:color w:val="000000" w:themeColor="text1"/>
          <w:szCs w:val="24"/>
          <w:u w:val="single"/>
        </w:rPr>
        <w:t xml:space="preserve">Section 4 – </w:t>
      </w:r>
      <w:r w:rsidR="00F23777" w:rsidRPr="00BA4F73">
        <w:rPr>
          <w:rFonts w:asciiTheme="minorHAnsi" w:hAnsiTheme="minorHAnsi" w:cs="Arial"/>
          <w:color w:val="000000" w:themeColor="text1"/>
          <w:szCs w:val="24"/>
          <w:u w:val="single"/>
        </w:rPr>
        <w:t>Case details for concluded enquiries</w:t>
      </w:r>
    </w:p>
    <w:p w:rsidR="00563E33" w:rsidRPr="00BA4F73" w:rsidRDefault="000E5F87" w:rsidP="00543891">
      <w:pPr>
        <w:pStyle w:val="Heading3"/>
        <w:rPr>
          <w:rFonts w:asciiTheme="minorHAnsi" w:hAnsiTheme="minorHAnsi" w:cs="Arial"/>
          <w:color w:val="000000" w:themeColor="text1"/>
          <w:sz w:val="24"/>
          <w:szCs w:val="24"/>
        </w:rPr>
      </w:pPr>
      <w:r w:rsidRPr="00BA4F73">
        <w:rPr>
          <w:rFonts w:asciiTheme="minorHAnsi" w:hAnsiTheme="minorHAnsi" w:cs="Arial"/>
          <w:color w:val="000000" w:themeColor="text1"/>
          <w:sz w:val="24"/>
          <w:szCs w:val="24"/>
        </w:rPr>
        <w:t>Type of alleged abuse</w:t>
      </w:r>
    </w:p>
    <w:p w:rsidR="000F3200" w:rsidRPr="00BA4F73" w:rsidRDefault="001C7DCF" w:rsidP="002E5525">
      <w:pPr>
        <w:spacing w:after="0"/>
        <w:rPr>
          <w:rFonts w:cs="Times New Roman"/>
          <w:color w:val="000000" w:themeColor="text1"/>
          <w:szCs w:val="24"/>
        </w:rPr>
      </w:pPr>
      <w:r w:rsidRPr="00BA4F73">
        <w:rPr>
          <w:rFonts w:cs="Times New Roman"/>
          <w:color w:val="000000" w:themeColor="text1"/>
          <w:szCs w:val="24"/>
        </w:rPr>
        <w:t xml:space="preserve">Table </w:t>
      </w:r>
      <w:r w:rsidR="00915D39" w:rsidRPr="00BA4F73">
        <w:rPr>
          <w:rFonts w:cs="Times New Roman"/>
          <w:color w:val="000000" w:themeColor="text1"/>
          <w:szCs w:val="24"/>
        </w:rPr>
        <w:t xml:space="preserve">8 </w:t>
      </w:r>
      <w:r w:rsidR="00563E33" w:rsidRPr="00BA4F73">
        <w:rPr>
          <w:rFonts w:cs="Times New Roman"/>
          <w:color w:val="000000" w:themeColor="text1"/>
          <w:szCs w:val="24"/>
        </w:rPr>
        <w:t xml:space="preserve">shows </w:t>
      </w:r>
      <w:r w:rsidR="00915D39" w:rsidRPr="00BA4F73">
        <w:rPr>
          <w:rFonts w:cs="Times New Roman"/>
          <w:color w:val="000000" w:themeColor="text1"/>
          <w:szCs w:val="24"/>
        </w:rPr>
        <w:t xml:space="preserve">concluded </w:t>
      </w:r>
      <w:r w:rsidR="00563E33" w:rsidRPr="00BA4F73">
        <w:rPr>
          <w:rFonts w:cs="Times New Roman"/>
          <w:color w:val="000000" w:themeColor="text1"/>
          <w:szCs w:val="24"/>
        </w:rPr>
        <w:t>enquir</w:t>
      </w:r>
      <w:r w:rsidR="00915D39" w:rsidRPr="00BA4F73">
        <w:rPr>
          <w:rFonts w:cs="Times New Roman"/>
          <w:color w:val="000000" w:themeColor="text1"/>
          <w:szCs w:val="24"/>
        </w:rPr>
        <w:t xml:space="preserve">ies by type of alleged abuse over </w:t>
      </w:r>
      <w:r w:rsidR="00563E33" w:rsidRPr="00BA4F73">
        <w:rPr>
          <w:rFonts w:cs="Times New Roman"/>
          <w:color w:val="000000" w:themeColor="text1"/>
          <w:szCs w:val="24"/>
        </w:rPr>
        <w:t>the last three years.</w:t>
      </w:r>
      <w:r w:rsidR="000F3200" w:rsidRPr="00BA4F73">
        <w:rPr>
          <w:rFonts w:cs="Times New Roman"/>
          <w:color w:val="000000" w:themeColor="text1"/>
          <w:szCs w:val="24"/>
        </w:rPr>
        <w:t xml:space="preserve">  An additional 4 abuse types </w:t>
      </w:r>
      <w:r w:rsidR="002E5525" w:rsidRPr="00BA4F73">
        <w:rPr>
          <w:rFonts w:cs="Times New Roman"/>
          <w:color w:val="000000" w:themeColor="text1"/>
          <w:szCs w:val="24"/>
        </w:rPr>
        <w:t>were added to the 2015/16 return</w:t>
      </w:r>
      <w:r w:rsidR="00915D39" w:rsidRPr="00BA4F73">
        <w:rPr>
          <w:rFonts w:cs="Times New Roman"/>
          <w:color w:val="000000" w:themeColor="text1"/>
          <w:szCs w:val="24"/>
        </w:rPr>
        <w:t xml:space="preserve"> so there are no co</w:t>
      </w:r>
      <w:r w:rsidR="000F3200" w:rsidRPr="00BA4F73">
        <w:rPr>
          <w:rFonts w:cs="Times New Roman"/>
          <w:color w:val="000000" w:themeColor="text1"/>
          <w:szCs w:val="24"/>
        </w:rPr>
        <w:t>mparator figures for those</w:t>
      </w:r>
      <w:r w:rsidR="009004AA">
        <w:rPr>
          <w:rFonts w:cs="Times New Roman"/>
          <w:color w:val="000000" w:themeColor="text1"/>
          <w:szCs w:val="24"/>
        </w:rPr>
        <w:t>,</w:t>
      </w:r>
      <w:r w:rsidR="000F3200" w:rsidRPr="00BA4F73">
        <w:rPr>
          <w:rFonts w:cs="Times New Roman"/>
          <w:color w:val="000000" w:themeColor="text1"/>
          <w:szCs w:val="24"/>
        </w:rPr>
        <w:t xml:space="preserve"> although 103 have been recorded this year in those categories (12.3% proportionately of the total)</w:t>
      </w:r>
      <w:r w:rsidR="002E5525" w:rsidRPr="00BA4F73">
        <w:rPr>
          <w:rFonts w:cs="Times New Roman"/>
          <w:color w:val="000000" w:themeColor="text1"/>
          <w:szCs w:val="24"/>
        </w:rPr>
        <w:t xml:space="preserve">. </w:t>
      </w:r>
    </w:p>
    <w:p w:rsidR="000F3200" w:rsidRPr="00BA4F73" w:rsidRDefault="000F3200" w:rsidP="002E5525">
      <w:pPr>
        <w:spacing w:after="0"/>
        <w:rPr>
          <w:rFonts w:cs="Times New Roman"/>
          <w:color w:val="000000" w:themeColor="text1"/>
          <w:szCs w:val="24"/>
        </w:rPr>
      </w:pPr>
    </w:p>
    <w:p w:rsidR="002E5525" w:rsidRPr="00BA4F73" w:rsidRDefault="002E5525" w:rsidP="002E5525">
      <w:pPr>
        <w:spacing w:after="0"/>
        <w:rPr>
          <w:rFonts w:cs="Times New Roman"/>
          <w:color w:val="000000" w:themeColor="text1"/>
          <w:szCs w:val="24"/>
        </w:rPr>
      </w:pPr>
      <w:r w:rsidRPr="00BA4F73">
        <w:rPr>
          <w:rFonts w:cs="Times New Roman"/>
          <w:color w:val="000000" w:themeColor="text1"/>
          <w:szCs w:val="24"/>
        </w:rPr>
        <w:t xml:space="preserve">The most common types of abuse for 2015/16 were for </w:t>
      </w:r>
      <w:r w:rsidR="00915D39" w:rsidRPr="00BA4F73">
        <w:rPr>
          <w:rFonts w:cs="Times New Roman"/>
          <w:color w:val="000000" w:themeColor="text1"/>
          <w:szCs w:val="24"/>
        </w:rPr>
        <w:t>N</w:t>
      </w:r>
      <w:r w:rsidRPr="00BA4F73">
        <w:rPr>
          <w:rFonts w:cs="Times New Roman"/>
          <w:color w:val="000000" w:themeColor="text1"/>
          <w:szCs w:val="24"/>
        </w:rPr>
        <w:t>eglect</w:t>
      </w:r>
      <w:r w:rsidR="00915D39" w:rsidRPr="00BA4F73">
        <w:rPr>
          <w:rFonts w:cs="Times New Roman"/>
          <w:color w:val="000000" w:themeColor="text1"/>
          <w:szCs w:val="24"/>
        </w:rPr>
        <w:t xml:space="preserve"> and Acts of Omission (26.3</w:t>
      </w:r>
      <w:r w:rsidRPr="00BA4F73">
        <w:rPr>
          <w:rFonts w:cs="Times New Roman"/>
          <w:color w:val="000000" w:themeColor="text1"/>
          <w:szCs w:val="24"/>
        </w:rPr>
        <w:t>%</w:t>
      </w:r>
      <w:r w:rsidR="00915D39" w:rsidRPr="00BA4F73">
        <w:rPr>
          <w:rFonts w:cs="Times New Roman"/>
          <w:color w:val="000000" w:themeColor="text1"/>
          <w:szCs w:val="24"/>
        </w:rPr>
        <w:t>)</w:t>
      </w:r>
      <w:r w:rsidR="000F3200" w:rsidRPr="00BA4F73">
        <w:rPr>
          <w:rFonts w:cs="Times New Roman"/>
          <w:color w:val="000000" w:themeColor="text1"/>
          <w:szCs w:val="24"/>
        </w:rPr>
        <w:t xml:space="preserve">, </w:t>
      </w:r>
      <w:r w:rsidR="00915D39" w:rsidRPr="00BA4F73">
        <w:rPr>
          <w:rFonts w:cs="Times New Roman"/>
          <w:color w:val="000000" w:themeColor="text1"/>
          <w:szCs w:val="24"/>
        </w:rPr>
        <w:t>Psychological Abuse (18.7%)</w:t>
      </w:r>
      <w:r w:rsidR="000F3200" w:rsidRPr="00BA4F73">
        <w:rPr>
          <w:rFonts w:cs="Times New Roman"/>
          <w:color w:val="000000" w:themeColor="text1"/>
          <w:szCs w:val="24"/>
        </w:rPr>
        <w:t xml:space="preserve"> </w:t>
      </w:r>
      <w:r w:rsidRPr="00BA4F73">
        <w:rPr>
          <w:rFonts w:cs="Times New Roman"/>
          <w:color w:val="000000" w:themeColor="text1"/>
          <w:szCs w:val="24"/>
        </w:rPr>
        <w:t xml:space="preserve">and </w:t>
      </w:r>
      <w:r w:rsidR="000F3200" w:rsidRPr="00BA4F73">
        <w:rPr>
          <w:rFonts w:cs="Times New Roman"/>
          <w:color w:val="000000" w:themeColor="text1"/>
          <w:szCs w:val="24"/>
        </w:rPr>
        <w:t>Physical Abuse</w:t>
      </w:r>
      <w:r w:rsidR="000F3200" w:rsidRPr="00BA4F73">
        <w:rPr>
          <w:rFonts w:cs="Times New Roman"/>
          <w:color w:val="000000" w:themeColor="text1"/>
        </w:rPr>
        <w:t xml:space="preserve"> (18.2</w:t>
      </w:r>
      <w:r w:rsidRPr="00BA4F73">
        <w:rPr>
          <w:rFonts w:cs="Times New Roman"/>
          <w:color w:val="000000" w:themeColor="text1"/>
          <w:szCs w:val="24"/>
        </w:rPr>
        <w:t>%</w:t>
      </w:r>
      <w:r w:rsidR="000F3200" w:rsidRPr="00BA4F73">
        <w:rPr>
          <w:rFonts w:cs="Times New Roman"/>
          <w:color w:val="000000" w:themeColor="text1"/>
          <w:szCs w:val="24"/>
        </w:rPr>
        <w:t>)</w:t>
      </w:r>
      <w:r w:rsidRPr="00BA4F73">
        <w:rPr>
          <w:rFonts w:cs="Times New Roman"/>
          <w:color w:val="000000" w:themeColor="text1"/>
          <w:szCs w:val="24"/>
        </w:rPr>
        <w:t>.</w:t>
      </w:r>
    </w:p>
    <w:p w:rsidR="000F3200" w:rsidRPr="00BA4F73" w:rsidRDefault="000F3200" w:rsidP="002E5525">
      <w:pPr>
        <w:spacing w:after="0"/>
        <w:rPr>
          <w:rFonts w:cs="Times New Roman"/>
          <w:color w:val="000000" w:themeColor="text1"/>
          <w:szCs w:val="24"/>
        </w:rPr>
      </w:pPr>
    </w:p>
    <w:p w:rsidR="00884A8B" w:rsidRPr="00BA4F73" w:rsidRDefault="000F3200" w:rsidP="000F3200">
      <w:pPr>
        <w:spacing w:after="0"/>
        <w:rPr>
          <w:rFonts w:cs="Times New Roman"/>
          <w:color w:val="000000" w:themeColor="text1"/>
          <w:szCs w:val="24"/>
        </w:rPr>
      </w:pPr>
      <w:r w:rsidRPr="00BA4F73">
        <w:rPr>
          <w:rFonts w:cs="Times New Roman"/>
          <w:color w:val="000000" w:themeColor="text1"/>
          <w:szCs w:val="24"/>
        </w:rPr>
        <w:t xml:space="preserve">The numbers with a Physical Abuse type however have dropped by 25 since last year (down 14%) and there has been a similar drop in those recorded as being of a </w:t>
      </w:r>
      <w:r w:rsidR="00901E77" w:rsidRPr="00BA4F73">
        <w:rPr>
          <w:rFonts w:cs="Times New Roman"/>
          <w:color w:val="000000" w:themeColor="text1"/>
          <w:szCs w:val="24"/>
        </w:rPr>
        <w:t>financial</w:t>
      </w:r>
      <w:r w:rsidRPr="00BA4F73">
        <w:rPr>
          <w:rFonts w:cs="Times New Roman"/>
          <w:color w:val="000000" w:themeColor="text1"/>
          <w:szCs w:val="24"/>
        </w:rPr>
        <w:t xml:space="preserve"> nature also (down 12%).</w:t>
      </w:r>
    </w:p>
    <w:p w:rsidR="000F3200" w:rsidRPr="00BA4F73" w:rsidRDefault="000F3200" w:rsidP="000F3200">
      <w:pPr>
        <w:spacing w:after="0"/>
        <w:rPr>
          <w:rFonts w:cs="Times New Roman"/>
          <w:color w:val="000000" w:themeColor="text1"/>
          <w:szCs w:val="24"/>
        </w:rPr>
      </w:pPr>
    </w:p>
    <w:p w:rsidR="001E7CE9" w:rsidRPr="00BA4F73" w:rsidRDefault="001E7CE9" w:rsidP="001E7CE9">
      <w:pPr>
        <w:pStyle w:val="Caption"/>
        <w:keepNext/>
        <w:rPr>
          <w:rFonts w:cs="Arial"/>
          <w:color w:val="000000" w:themeColor="text1"/>
          <w:sz w:val="22"/>
          <w:szCs w:val="22"/>
        </w:rPr>
      </w:pPr>
      <w:r w:rsidRPr="00BA4F73">
        <w:rPr>
          <w:rFonts w:cs="Arial"/>
          <w:color w:val="000000" w:themeColor="text1"/>
          <w:sz w:val="22"/>
          <w:szCs w:val="22"/>
        </w:rPr>
        <w:t xml:space="preserve">Table </w:t>
      </w:r>
      <w:r w:rsidR="00F90C03" w:rsidRPr="00BA4F73">
        <w:rPr>
          <w:rFonts w:cs="Arial"/>
          <w:color w:val="000000" w:themeColor="text1"/>
          <w:sz w:val="22"/>
          <w:szCs w:val="22"/>
        </w:rPr>
        <w:t xml:space="preserve">8 </w:t>
      </w:r>
      <w:r w:rsidRPr="00BA4F73">
        <w:rPr>
          <w:rFonts w:cs="Arial"/>
          <w:color w:val="000000" w:themeColor="text1"/>
          <w:sz w:val="22"/>
          <w:szCs w:val="22"/>
        </w:rPr>
        <w:t>– Concluded enquiries by type of abuse</w:t>
      </w:r>
    </w:p>
    <w:tbl>
      <w:tblPr>
        <w:tblW w:w="5000" w:type="pct"/>
        <w:tblLook w:val="04A0" w:firstRow="1" w:lastRow="0" w:firstColumn="1" w:lastColumn="0" w:noHBand="0" w:noVBand="1"/>
      </w:tblPr>
      <w:tblGrid>
        <w:gridCol w:w="2823"/>
        <w:gridCol w:w="2139"/>
        <w:gridCol w:w="2140"/>
        <w:gridCol w:w="2140"/>
      </w:tblGrid>
      <w:tr w:rsidR="00F90C03" w:rsidRPr="00BA4F73" w:rsidTr="00F90C03">
        <w:trPr>
          <w:trHeight w:val="315"/>
        </w:trPr>
        <w:tc>
          <w:tcPr>
            <w:tcW w:w="1527"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b/>
                <w:bCs/>
                <w:color w:val="000000" w:themeColor="text1"/>
                <w:lang w:eastAsia="en-GB"/>
              </w:rPr>
            </w:pPr>
            <w:r w:rsidRPr="00BA4F73">
              <w:rPr>
                <w:rFonts w:ascii="Calibri" w:eastAsia="Times New Roman" w:hAnsi="Calibri" w:cs="Times New Roman"/>
                <w:b/>
                <w:bCs/>
                <w:color w:val="000000" w:themeColor="text1"/>
                <w:lang w:eastAsia="en-GB"/>
              </w:rPr>
              <w:t>Concluded enquiries</w:t>
            </w:r>
          </w:p>
        </w:tc>
        <w:tc>
          <w:tcPr>
            <w:tcW w:w="1157" w:type="pct"/>
            <w:tcBorders>
              <w:top w:val="single" w:sz="8" w:space="0" w:color="auto"/>
              <w:left w:val="nil"/>
              <w:bottom w:val="single" w:sz="8" w:space="0" w:color="auto"/>
              <w:right w:val="nil"/>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b/>
                <w:bCs/>
                <w:color w:val="000000" w:themeColor="text1"/>
                <w:lang w:eastAsia="en-GB"/>
              </w:rPr>
            </w:pPr>
            <w:r w:rsidRPr="00BA4F73">
              <w:rPr>
                <w:rFonts w:ascii="Calibri" w:eastAsia="Times New Roman" w:hAnsi="Calibri" w:cs="Times New Roman"/>
                <w:b/>
                <w:bCs/>
                <w:color w:val="000000" w:themeColor="text1"/>
                <w:lang w:eastAsia="en-GB"/>
              </w:rPr>
              <w:t>2013/14</w:t>
            </w:r>
          </w:p>
        </w:tc>
        <w:tc>
          <w:tcPr>
            <w:tcW w:w="1158"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b/>
                <w:bCs/>
                <w:color w:val="000000" w:themeColor="text1"/>
                <w:lang w:eastAsia="en-GB"/>
              </w:rPr>
            </w:pPr>
            <w:r w:rsidRPr="00BA4F73">
              <w:rPr>
                <w:rFonts w:ascii="Calibri" w:eastAsia="Times New Roman" w:hAnsi="Calibri" w:cs="Times New Roman"/>
                <w:b/>
                <w:bCs/>
                <w:color w:val="000000" w:themeColor="text1"/>
                <w:lang w:eastAsia="en-GB"/>
              </w:rPr>
              <w:t>2014/15</w:t>
            </w:r>
          </w:p>
        </w:tc>
        <w:tc>
          <w:tcPr>
            <w:tcW w:w="1158" w:type="pct"/>
            <w:tcBorders>
              <w:top w:val="single" w:sz="8" w:space="0" w:color="auto"/>
              <w:left w:val="nil"/>
              <w:bottom w:val="single" w:sz="8" w:space="0" w:color="auto"/>
              <w:right w:val="single" w:sz="8"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b/>
                <w:bCs/>
                <w:color w:val="000000" w:themeColor="text1"/>
                <w:lang w:eastAsia="en-GB"/>
              </w:rPr>
            </w:pPr>
            <w:r w:rsidRPr="00BA4F73">
              <w:rPr>
                <w:rFonts w:ascii="Calibri" w:eastAsia="Times New Roman" w:hAnsi="Calibri" w:cs="Times New Roman"/>
                <w:b/>
                <w:bCs/>
                <w:color w:val="000000" w:themeColor="text1"/>
                <w:lang w:eastAsia="en-GB"/>
              </w:rPr>
              <w:t>2015/16</w:t>
            </w:r>
          </w:p>
        </w:tc>
      </w:tr>
      <w:tr w:rsidR="00F90C03" w:rsidRPr="00BA4F73" w:rsidTr="00F90C03">
        <w:trPr>
          <w:trHeight w:val="315"/>
        </w:trPr>
        <w:tc>
          <w:tcPr>
            <w:tcW w:w="1527" w:type="pct"/>
            <w:tcBorders>
              <w:top w:val="nil"/>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Physical Abuse</w:t>
            </w:r>
          </w:p>
        </w:tc>
        <w:tc>
          <w:tcPr>
            <w:tcW w:w="1157" w:type="pct"/>
            <w:tcBorders>
              <w:top w:val="nil"/>
              <w:left w:val="nil"/>
              <w:bottom w:val="single" w:sz="8" w:space="0" w:color="auto"/>
              <w:right w:val="nil"/>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134</w:t>
            </w:r>
          </w:p>
        </w:tc>
        <w:tc>
          <w:tcPr>
            <w:tcW w:w="1158" w:type="pct"/>
            <w:tcBorders>
              <w:top w:val="nil"/>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174</w:t>
            </w:r>
          </w:p>
        </w:tc>
        <w:tc>
          <w:tcPr>
            <w:tcW w:w="1158" w:type="pct"/>
            <w:tcBorders>
              <w:top w:val="nil"/>
              <w:left w:val="nil"/>
              <w:bottom w:val="single" w:sz="8" w:space="0" w:color="auto"/>
              <w:right w:val="single" w:sz="8"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149</w:t>
            </w:r>
          </w:p>
        </w:tc>
      </w:tr>
      <w:tr w:rsidR="00F90C03" w:rsidRPr="00BA4F73" w:rsidTr="00F90C03">
        <w:trPr>
          <w:trHeight w:val="315"/>
        </w:trPr>
        <w:tc>
          <w:tcPr>
            <w:tcW w:w="1527" w:type="pct"/>
            <w:tcBorders>
              <w:top w:val="nil"/>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Sexual Abuse</w:t>
            </w:r>
          </w:p>
        </w:tc>
        <w:tc>
          <w:tcPr>
            <w:tcW w:w="1157" w:type="pct"/>
            <w:tcBorders>
              <w:top w:val="nil"/>
              <w:left w:val="nil"/>
              <w:bottom w:val="single" w:sz="8" w:space="0" w:color="auto"/>
              <w:right w:val="nil"/>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24</w:t>
            </w:r>
          </w:p>
        </w:tc>
        <w:tc>
          <w:tcPr>
            <w:tcW w:w="1158" w:type="pct"/>
            <w:tcBorders>
              <w:top w:val="nil"/>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29</w:t>
            </w:r>
          </w:p>
        </w:tc>
        <w:tc>
          <w:tcPr>
            <w:tcW w:w="1158" w:type="pct"/>
            <w:tcBorders>
              <w:top w:val="nil"/>
              <w:left w:val="nil"/>
              <w:bottom w:val="single" w:sz="8" w:space="0" w:color="auto"/>
              <w:right w:val="single" w:sz="8"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34</w:t>
            </w:r>
          </w:p>
        </w:tc>
      </w:tr>
      <w:tr w:rsidR="00F90C03" w:rsidRPr="00BA4F73" w:rsidTr="00F90C03">
        <w:trPr>
          <w:trHeight w:val="315"/>
        </w:trPr>
        <w:tc>
          <w:tcPr>
            <w:tcW w:w="1527" w:type="pct"/>
            <w:tcBorders>
              <w:top w:val="nil"/>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Psychological Abuse</w:t>
            </w:r>
          </w:p>
        </w:tc>
        <w:tc>
          <w:tcPr>
            <w:tcW w:w="1157" w:type="pct"/>
            <w:tcBorders>
              <w:top w:val="nil"/>
              <w:left w:val="nil"/>
              <w:bottom w:val="single" w:sz="8" w:space="0" w:color="auto"/>
              <w:right w:val="nil"/>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133</w:t>
            </w:r>
          </w:p>
        </w:tc>
        <w:tc>
          <w:tcPr>
            <w:tcW w:w="1158" w:type="pct"/>
            <w:tcBorders>
              <w:top w:val="nil"/>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153</w:t>
            </w:r>
          </w:p>
        </w:tc>
        <w:tc>
          <w:tcPr>
            <w:tcW w:w="1158" w:type="pct"/>
            <w:tcBorders>
              <w:top w:val="nil"/>
              <w:left w:val="nil"/>
              <w:bottom w:val="single" w:sz="8" w:space="0" w:color="auto"/>
              <w:right w:val="single" w:sz="8"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153</w:t>
            </w:r>
          </w:p>
        </w:tc>
      </w:tr>
      <w:tr w:rsidR="00F90C03" w:rsidRPr="00BA4F73" w:rsidTr="00F90C03">
        <w:trPr>
          <w:trHeight w:val="315"/>
        </w:trPr>
        <w:tc>
          <w:tcPr>
            <w:tcW w:w="1527" w:type="pct"/>
            <w:tcBorders>
              <w:top w:val="nil"/>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Financial or Material Abuse</w:t>
            </w:r>
          </w:p>
        </w:tc>
        <w:tc>
          <w:tcPr>
            <w:tcW w:w="1157" w:type="pct"/>
            <w:tcBorders>
              <w:top w:val="nil"/>
              <w:left w:val="nil"/>
              <w:bottom w:val="single" w:sz="8" w:space="0" w:color="auto"/>
              <w:right w:val="nil"/>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141</w:t>
            </w:r>
          </w:p>
        </w:tc>
        <w:tc>
          <w:tcPr>
            <w:tcW w:w="1158" w:type="pct"/>
            <w:tcBorders>
              <w:top w:val="nil"/>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138</w:t>
            </w:r>
          </w:p>
        </w:tc>
        <w:tc>
          <w:tcPr>
            <w:tcW w:w="1158" w:type="pct"/>
            <w:tcBorders>
              <w:top w:val="nil"/>
              <w:left w:val="nil"/>
              <w:bottom w:val="single" w:sz="8" w:space="0" w:color="auto"/>
              <w:right w:val="single" w:sz="8"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117</w:t>
            </w:r>
          </w:p>
        </w:tc>
      </w:tr>
      <w:tr w:rsidR="00F90C03" w:rsidRPr="00BA4F73" w:rsidTr="00F90C03">
        <w:trPr>
          <w:trHeight w:val="315"/>
        </w:trPr>
        <w:tc>
          <w:tcPr>
            <w:tcW w:w="1527" w:type="pct"/>
            <w:tcBorders>
              <w:top w:val="nil"/>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Neglect and Acts of Omission</w:t>
            </w:r>
          </w:p>
        </w:tc>
        <w:tc>
          <w:tcPr>
            <w:tcW w:w="1157" w:type="pct"/>
            <w:tcBorders>
              <w:top w:val="nil"/>
              <w:left w:val="nil"/>
              <w:bottom w:val="single" w:sz="8" w:space="0" w:color="auto"/>
              <w:right w:val="nil"/>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144</w:t>
            </w:r>
          </w:p>
        </w:tc>
        <w:tc>
          <w:tcPr>
            <w:tcW w:w="1158" w:type="pct"/>
            <w:tcBorders>
              <w:top w:val="nil"/>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214</w:t>
            </w:r>
          </w:p>
        </w:tc>
        <w:tc>
          <w:tcPr>
            <w:tcW w:w="1158" w:type="pct"/>
            <w:tcBorders>
              <w:top w:val="nil"/>
              <w:left w:val="nil"/>
              <w:bottom w:val="single" w:sz="8" w:space="0" w:color="auto"/>
              <w:right w:val="single" w:sz="8"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215</w:t>
            </w:r>
          </w:p>
        </w:tc>
      </w:tr>
      <w:tr w:rsidR="00F90C03" w:rsidRPr="00BA4F73" w:rsidTr="00F90C03">
        <w:trPr>
          <w:trHeight w:val="315"/>
        </w:trPr>
        <w:tc>
          <w:tcPr>
            <w:tcW w:w="1527" w:type="pct"/>
            <w:tcBorders>
              <w:top w:val="nil"/>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Discriminatory Abuse</w:t>
            </w:r>
          </w:p>
        </w:tc>
        <w:tc>
          <w:tcPr>
            <w:tcW w:w="1157" w:type="pct"/>
            <w:tcBorders>
              <w:top w:val="nil"/>
              <w:left w:val="nil"/>
              <w:bottom w:val="single" w:sz="8" w:space="0" w:color="auto"/>
              <w:right w:val="nil"/>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4</w:t>
            </w:r>
          </w:p>
        </w:tc>
        <w:tc>
          <w:tcPr>
            <w:tcW w:w="1158" w:type="pct"/>
            <w:tcBorders>
              <w:top w:val="nil"/>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3</w:t>
            </w:r>
          </w:p>
        </w:tc>
        <w:tc>
          <w:tcPr>
            <w:tcW w:w="1158" w:type="pct"/>
            <w:tcBorders>
              <w:top w:val="nil"/>
              <w:left w:val="nil"/>
              <w:bottom w:val="single" w:sz="8" w:space="0" w:color="auto"/>
              <w:right w:val="single" w:sz="8"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5</w:t>
            </w:r>
          </w:p>
        </w:tc>
      </w:tr>
      <w:tr w:rsidR="00F90C03" w:rsidRPr="00BA4F73" w:rsidTr="00F90C03">
        <w:trPr>
          <w:trHeight w:val="315"/>
        </w:trPr>
        <w:tc>
          <w:tcPr>
            <w:tcW w:w="1527" w:type="pct"/>
            <w:tcBorders>
              <w:top w:val="nil"/>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Organisational Abuse</w:t>
            </w:r>
          </w:p>
        </w:tc>
        <w:tc>
          <w:tcPr>
            <w:tcW w:w="1157" w:type="pct"/>
            <w:tcBorders>
              <w:top w:val="nil"/>
              <w:left w:val="nil"/>
              <w:bottom w:val="single" w:sz="8" w:space="0" w:color="auto"/>
              <w:right w:val="nil"/>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12</w:t>
            </w:r>
          </w:p>
        </w:tc>
        <w:tc>
          <w:tcPr>
            <w:tcW w:w="1158" w:type="pct"/>
            <w:tcBorders>
              <w:top w:val="nil"/>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38</w:t>
            </w:r>
          </w:p>
        </w:tc>
        <w:tc>
          <w:tcPr>
            <w:tcW w:w="1158" w:type="pct"/>
            <w:tcBorders>
              <w:top w:val="nil"/>
              <w:left w:val="nil"/>
              <w:bottom w:val="single" w:sz="8" w:space="0" w:color="auto"/>
              <w:right w:val="single" w:sz="8"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43</w:t>
            </w:r>
          </w:p>
        </w:tc>
      </w:tr>
      <w:tr w:rsidR="00F90C03" w:rsidRPr="00BA4F73" w:rsidTr="00F90C03">
        <w:trPr>
          <w:trHeight w:val="315"/>
        </w:trPr>
        <w:tc>
          <w:tcPr>
            <w:tcW w:w="1527" w:type="pct"/>
            <w:tcBorders>
              <w:top w:val="nil"/>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Domestic Abuse</w:t>
            </w:r>
          </w:p>
        </w:tc>
        <w:tc>
          <w:tcPr>
            <w:tcW w:w="1157" w:type="pct"/>
            <w:tcBorders>
              <w:top w:val="nil"/>
              <w:left w:val="nil"/>
              <w:bottom w:val="single" w:sz="8" w:space="0" w:color="auto"/>
              <w:right w:val="nil"/>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w:t>
            </w:r>
          </w:p>
        </w:tc>
        <w:tc>
          <w:tcPr>
            <w:tcW w:w="1158" w:type="pct"/>
            <w:tcBorders>
              <w:top w:val="nil"/>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w:t>
            </w:r>
          </w:p>
        </w:tc>
        <w:tc>
          <w:tcPr>
            <w:tcW w:w="1158" w:type="pct"/>
            <w:tcBorders>
              <w:top w:val="nil"/>
              <w:left w:val="nil"/>
              <w:bottom w:val="single" w:sz="8" w:space="0" w:color="auto"/>
              <w:right w:val="single" w:sz="8"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53</w:t>
            </w:r>
          </w:p>
        </w:tc>
      </w:tr>
      <w:tr w:rsidR="00F90C03" w:rsidRPr="00BA4F73" w:rsidTr="00F90C03">
        <w:trPr>
          <w:trHeight w:val="315"/>
        </w:trPr>
        <w:tc>
          <w:tcPr>
            <w:tcW w:w="1527" w:type="pct"/>
            <w:tcBorders>
              <w:top w:val="nil"/>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Sexual Exploitation</w:t>
            </w:r>
          </w:p>
        </w:tc>
        <w:tc>
          <w:tcPr>
            <w:tcW w:w="1157" w:type="pct"/>
            <w:tcBorders>
              <w:top w:val="nil"/>
              <w:left w:val="nil"/>
              <w:bottom w:val="single" w:sz="8" w:space="0" w:color="auto"/>
              <w:right w:val="nil"/>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w:t>
            </w:r>
          </w:p>
        </w:tc>
        <w:tc>
          <w:tcPr>
            <w:tcW w:w="1158" w:type="pct"/>
            <w:tcBorders>
              <w:top w:val="nil"/>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w:t>
            </w:r>
          </w:p>
        </w:tc>
        <w:tc>
          <w:tcPr>
            <w:tcW w:w="1158" w:type="pct"/>
            <w:tcBorders>
              <w:top w:val="nil"/>
              <w:left w:val="nil"/>
              <w:bottom w:val="single" w:sz="8" w:space="0" w:color="auto"/>
              <w:right w:val="single" w:sz="8"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0</w:t>
            </w:r>
          </w:p>
        </w:tc>
      </w:tr>
      <w:tr w:rsidR="00F90C03" w:rsidRPr="00BA4F73" w:rsidTr="00F90C03">
        <w:trPr>
          <w:trHeight w:val="315"/>
        </w:trPr>
        <w:tc>
          <w:tcPr>
            <w:tcW w:w="1527" w:type="pct"/>
            <w:tcBorders>
              <w:top w:val="nil"/>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Modern Slavery</w:t>
            </w:r>
          </w:p>
        </w:tc>
        <w:tc>
          <w:tcPr>
            <w:tcW w:w="1157" w:type="pct"/>
            <w:tcBorders>
              <w:top w:val="nil"/>
              <w:left w:val="nil"/>
              <w:bottom w:val="single" w:sz="8" w:space="0" w:color="auto"/>
              <w:right w:val="nil"/>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w:t>
            </w:r>
          </w:p>
        </w:tc>
        <w:tc>
          <w:tcPr>
            <w:tcW w:w="1158" w:type="pct"/>
            <w:tcBorders>
              <w:top w:val="nil"/>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w:t>
            </w:r>
          </w:p>
        </w:tc>
        <w:tc>
          <w:tcPr>
            <w:tcW w:w="1158" w:type="pct"/>
            <w:tcBorders>
              <w:top w:val="nil"/>
              <w:left w:val="nil"/>
              <w:bottom w:val="single" w:sz="8" w:space="0" w:color="auto"/>
              <w:right w:val="single" w:sz="8"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w:t>
            </w:r>
          </w:p>
        </w:tc>
      </w:tr>
      <w:tr w:rsidR="00F90C03" w:rsidRPr="00BA4F73" w:rsidTr="00F90C03">
        <w:trPr>
          <w:trHeight w:val="315"/>
        </w:trPr>
        <w:tc>
          <w:tcPr>
            <w:tcW w:w="1527" w:type="pct"/>
            <w:tcBorders>
              <w:top w:val="nil"/>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Self-Neglect</w:t>
            </w:r>
          </w:p>
        </w:tc>
        <w:tc>
          <w:tcPr>
            <w:tcW w:w="1157" w:type="pct"/>
            <w:tcBorders>
              <w:top w:val="nil"/>
              <w:left w:val="nil"/>
              <w:bottom w:val="single" w:sz="8" w:space="0" w:color="auto"/>
              <w:right w:val="nil"/>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w:t>
            </w:r>
          </w:p>
        </w:tc>
        <w:tc>
          <w:tcPr>
            <w:tcW w:w="1158" w:type="pct"/>
            <w:tcBorders>
              <w:top w:val="nil"/>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w:t>
            </w:r>
          </w:p>
        </w:tc>
        <w:tc>
          <w:tcPr>
            <w:tcW w:w="1158" w:type="pct"/>
            <w:tcBorders>
              <w:top w:val="nil"/>
              <w:left w:val="nil"/>
              <w:bottom w:val="single" w:sz="8" w:space="0" w:color="auto"/>
              <w:right w:val="single" w:sz="8"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49</w:t>
            </w:r>
          </w:p>
        </w:tc>
      </w:tr>
    </w:tbl>
    <w:p w:rsidR="002E5525" w:rsidRPr="00BA4F73" w:rsidRDefault="002E5525" w:rsidP="002B0A94">
      <w:pPr>
        <w:pStyle w:val="Caption"/>
        <w:keepNext/>
        <w:rPr>
          <w:rFonts w:cs="Arial"/>
          <w:color w:val="000000" w:themeColor="text1"/>
          <w:sz w:val="20"/>
          <w:szCs w:val="20"/>
        </w:rPr>
      </w:pPr>
    </w:p>
    <w:p w:rsidR="00F90C03" w:rsidRPr="00BA4F73" w:rsidRDefault="00884A8B" w:rsidP="00F90C03">
      <w:pPr>
        <w:pStyle w:val="Caption"/>
        <w:keepNext/>
        <w:rPr>
          <w:rFonts w:cs="Arial"/>
          <w:color w:val="000000" w:themeColor="text1"/>
          <w:sz w:val="22"/>
          <w:szCs w:val="22"/>
        </w:rPr>
      </w:pPr>
      <w:r w:rsidRPr="00BA4F73">
        <w:rPr>
          <w:rFonts w:cs="Arial"/>
          <w:color w:val="000000" w:themeColor="text1"/>
          <w:sz w:val="22"/>
          <w:szCs w:val="22"/>
        </w:rPr>
        <w:t>Figure</w:t>
      </w:r>
      <w:r w:rsidR="00F90C03" w:rsidRPr="00BA4F73">
        <w:rPr>
          <w:rFonts w:cs="Arial"/>
          <w:color w:val="000000" w:themeColor="text1"/>
          <w:sz w:val="22"/>
          <w:szCs w:val="22"/>
        </w:rPr>
        <w:t xml:space="preserve"> 3</w:t>
      </w:r>
      <w:r w:rsidRPr="00BA4F73">
        <w:rPr>
          <w:rFonts w:cs="Arial"/>
          <w:color w:val="000000" w:themeColor="text1"/>
          <w:sz w:val="22"/>
          <w:szCs w:val="22"/>
        </w:rPr>
        <w:t xml:space="preserve"> </w:t>
      </w:r>
      <w:r w:rsidR="002B0A94" w:rsidRPr="00BA4F73">
        <w:rPr>
          <w:rFonts w:cs="Arial"/>
          <w:color w:val="000000" w:themeColor="text1"/>
          <w:sz w:val="22"/>
          <w:szCs w:val="22"/>
        </w:rPr>
        <w:t xml:space="preserve">– </w:t>
      </w:r>
      <w:r w:rsidR="00606463" w:rsidRPr="00BA4F73">
        <w:rPr>
          <w:rFonts w:cs="Arial"/>
          <w:color w:val="000000" w:themeColor="text1"/>
          <w:sz w:val="22"/>
          <w:szCs w:val="22"/>
        </w:rPr>
        <w:t>Type</w:t>
      </w:r>
      <w:r w:rsidR="002B0A94" w:rsidRPr="00BA4F73">
        <w:rPr>
          <w:rFonts w:cs="Arial"/>
          <w:color w:val="000000" w:themeColor="text1"/>
          <w:sz w:val="22"/>
          <w:szCs w:val="22"/>
        </w:rPr>
        <w:t xml:space="preserve"> of abuse</w:t>
      </w:r>
      <w:r w:rsidR="002E5525" w:rsidRPr="00BA4F73">
        <w:rPr>
          <w:rFonts w:cs="Arial"/>
          <w:color w:val="000000" w:themeColor="text1"/>
          <w:sz w:val="22"/>
          <w:szCs w:val="22"/>
        </w:rPr>
        <w:t xml:space="preserve"> 2015/16</w:t>
      </w:r>
    </w:p>
    <w:p w:rsidR="00884A8B" w:rsidRPr="00BA4F73" w:rsidRDefault="00F90C03" w:rsidP="00884A8B">
      <w:pPr>
        <w:rPr>
          <w:color w:val="000000" w:themeColor="text1"/>
        </w:rPr>
      </w:pPr>
      <w:r w:rsidRPr="00BA4F73">
        <w:rPr>
          <w:noProof/>
          <w:color w:val="000000" w:themeColor="text1"/>
          <w:lang w:eastAsia="en-GB"/>
        </w:rPr>
        <w:drawing>
          <wp:inline distT="0" distB="0" distL="0" distR="0" wp14:anchorId="0B88C0B0" wp14:editId="1854E0E7">
            <wp:extent cx="4924425" cy="21717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275A9" w:rsidRPr="00BA4F73" w:rsidRDefault="009275A9" w:rsidP="00F23777">
      <w:pPr>
        <w:pStyle w:val="Heading3"/>
        <w:rPr>
          <w:rFonts w:asciiTheme="minorHAnsi" w:eastAsiaTheme="minorHAnsi" w:hAnsiTheme="minorHAnsi" w:cs="Times New Roman"/>
          <w:b w:val="0"/>
          <w:bCs w:val="0"/>
          <w:noProof/>
          <w:color w:val="000000" w:themeColor="text1"/>
          <w:sz w:val="24"/>
          <w:szCs w:val="24"/>
          <w:lang w:eastAsia="en-GB"/>
        </w:rPr>
      </w:pPr>
    </w:p>
    <w:p w:rsidR="00F23777" w:rsidRPr="00BA4F73" w:rsidRDefault="00F23777" w:rsidP="00F23777">
      <w:pPr>
        <w:pStyle w:val="Heading3"/>
        <w:rPr>
          <w:rFonts w:asciiTheme="minorHAnsi" w:hAnsiTheme="minorHAnsi" w:cs="Arial"/>
          <w:color w:val="000000" w:themeColor="text1"/>
          <w:sz w:val="24"/>
          <w:szCs w:val="24"/>
        </w:rPr>
      </w:pPr>
      <w:r w:rsidRPr="00BA4F73">
        <w:rPr>
          <w:rFonts w:asciiTheme="minorHAnsi" w:hAnsiTheme="minorHAnsi" w:cs="Arial"/>
          <w:color w:val="000000" w:themeColor="text1"/>
          <w:sz w:val="24"/>
          <w:szCs w:val="24"/>
        </w:rPr>
        <w:t>Location of alleged abuse</w:t>
      </w:r>
    </w:p>
    <w:p w:rsidR="00884A8B" w:rsidRPr="00BA4F73" w:rsidRDefault="00246E9B" w:rsidP="007B1DF6">
      <w:pPr>
        <w:rPr>
          <w:rFonts w:cs="Times New Roman"/>
          <w:color w:val="000000" w:themeColor="text1"/>
          <w:szCs w:val="24"/>
        </w:rPr>
      </w:pPr>
      <w:r w:rsidRPr="00BA4F73">
        <w:rPr>
          <w:rFonts w:cs="Times New Roman"/>
          <w:color w:val="000000" w:themeColor="text1"/>
          <w:szCs w:val="24"/>
        </w:rPr>
        <w:t xml:space="preserve">As </w:t>
      </w:r>
      <w:r w:rsidR="000F3200" w:rsidRPr="00BA4F73">
        <w:rPr>
          <w:rFonts w:cs="Times New Roman"/>
          <w:color w:val="000000" w:themeColor="text1"/>
          <w:szCs w:val="24"/>
        </w:rPr>
        <w:t xml:space="preserve">shown in Table 9, as </w:t>
      </w:r>
      <w:r w:rsidRPr="00BA4F73">
        <w:rPr>
          <w:rFonts w:cs="Times New Roman"/>
          <w:color w:val="000000" w:themeColor="text1"/>
          <w:szCs w:val="24"/>
        </w:rPr>
        <w:t xml:space="preserve">with previous years </w:t>
      </w:r>
      <w:r w:rsidR="000F3200" w:rsidRPr="00BA4F73">
        <w:rPr>
          <w:rFonts w:cs="Times New Roman"/>
          <w:color w:val="000000" w:themeColor="text1"/>
          <w:szCs w:val="24"/>
        </w:rPr>
        <w:t xml:space="preserve">by far </w:t>
      </w:r>
      <w:r w:rsidRPr="00BA4F73">
        <w:rPr>
          <w:rFonts w:cs="Times New Roman"/>
          <w:color w:val="000000" w:themeColor="text1"/>
          <w:szCs w:val="24"/>
        </w:rPr>
        <w:t>the most common lo</w:t>
      </w:r>
      <w:r w:rsidR="000F3200" w:rsidRPr="00BA4F73">
        <w:rPr>
          <w:rFonts w:cs="Times New Roman"/>
          <w:color w:val="000000" w:themeColor="text1"/>
          <w:szCs w:val="24"/>
        </w:rPr>
        <w:t>cation</w:t>
      </w:r>
      <w:r w:rsidRPr="00BA4F73">
        <w:rPr>
          <w:rFonts w:cs="Times New Roman"/>
          <w:color w:val="000000" w:themeColor="text1"/>
          <w:szCs w:val="24"/>
        </w:rPr>
        <w:t xml:space="preserve"> where the alleged abuse took place </w:t>
      </w:r>
      <w:r w:rsidR="000F3200" w:rsidRPr="00BA4F73">
        <w:rPr>
          <w:rFonts w:cs="Times New Roman"/>
          <w:color w:val="000000" w:themeColor="text1"/>
          <w:szCs w:val="24"/>
        </w:rPr>
        <w:t>for Reading clients has been the individuals own home (62% in 2015/16)</w:t>
      </w:r>
      <w:r w:rsidR="0075286F" w:rsidRPr="00BA4F73">
        <w:rPr>
          <w:rFonts w:cs="Times New Roman"/>
          <w:color w:val="000000" w:themeColor="text1"/>
          <w:szCs w:val="24"/>
        </w:rPr>
        <w:t xml:space="preserve"> which has shown a 5% rise (up by 63 individuals) proportionately as compared to last year</w:t>
      </w:r>
      <w:r w:rsidR="000F3200" w:rsidRPr="00BA4F73">
        <w:rPr>
          <w:rFonts w:cs="Times New Roman"/>
          <w:color w:val="000000" w:themeColor="text1"/>
          <w:szCs w:val="24"/>
        </w:rPr>
        <w:t>.</w:t>
      </w:r>
      <w:r w:rsidRPr="00BA4F73">
        <w:rPr>
          <w:rFonts w:cs="Times New Roman"/>
          <w:color w:val="000000" w:themeColor="text1"/>
          <w:szCs w:val="24"/>
        </w:rPr>
        <w:t xml:space="preserve"> </w:t>
      </w:r>
    </w:p>
    <w:p w:rsidR="002E5525" w:rsidRPr="00BA4F73" w:rsidRDefault="00F90C03" w:rsidP="002E5525">
      <w:pPr>
        <w:pStyle w:val="Caption"/>
        <w:keepNext/>
        <w:rPr>
          <w:rFonts w:cs="Arial"/>
          <w:color w:val="000000" w:themeColor="text1"/>
          <w:sz w:val="22"/>
          <w:szCs w:val="22"/>
        </w:rPr>
      </w:pPr>
      <w:r w:rsidRPr="00BA4F73">
        <w:rPr>
          <w:rFonts w:cs="Arial"/>
          <w:color w:val="000000" w:themeColor="text1"/>
          <w:sz w:val="22"/>
          <w:szCs w:val="22"/>
        </w:rPr>
        <w:t>Table</w:t>
      </w:r>
      <w:r w:rsidR="00884A8B" w:rsidRPr="00BA4F73">
        <w:rPr>
          <w:rFonts w:cs="Arial"/>
          <w:color w:val="000000" w:themeColor="text1"/>
          <w:sz w:val="22"/>
          <w:szCs w:val="22"/>
        </w:rPr>
        <w:t xml:space="preserve"> </w:t>
      </w:r>
      <w:r w:rsidRPr="00BA4F73">
        <w:rPr>
          <w:rFonts w:cs="Arial"/>
          <w:color w:val="000000" w:themeColor="text1"/>
          <w:sz w:val="22"/>
          <w:szCs w:val="22"/>
        </w:rPr>
        <w:t xml:space="preserve">9 </w:t>
      </w:r>
      <w:r w:rsidR="00884A8B" w:rsidRPr="00BA4F73">
        <w:rPr>
          <w:rFonts w:cs="Arial"/>
          <w:color w:val="000000" w:themeColor="text1"/>
          <w:sz w:val="22"/>
          <w:szCs w:val="22"/>
        </w:rPr>
        <w:t>– Location of abuse 2015-16</w:t>
      </w:r>
    </w:p>
    <w:tbl>
      <w:tblPr>
        <w:tblW w:w="5000" w:type="pct"/>
        <w:tblLook w:val="04A0" w:firstRow="1" w:lastRow="0" w:firstColumn="1" w:lastColumn="0" w:noHBand="0" w:noVBand="1"/>
      </w:tblPr>
      <w:tblGrid>
        <w:gridCol w:w="1933"/>
        <w:gridCol w:w="1219"/>
        <w:gridCol w:w="1218"/>
        <w:gridCol w:w="1218"/>
        <w:gridCol w:w="1218"/>
        <w:gridCol w:w="1218"/>
        <w:gridCol w:w="1218"/>
      </w:tblGrid>
      <w:tr w:rsidR="00F90C03" w:rsidRPr="00BA4F73" w:rsidTr="00F90C03">
        <w:trPr>
          <w:trHeight w:val="300"/>
        </w:trPr>
        <w:tc>
          <w:tcPr>
            <w:tcW w:w="104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b/>
                <w:bCs/>
                <w:color w:val="000000" w:themeColor="text1"/>
                <w:lang w:eastAsia="en-GB"/>
              </w:rPr>
            </w:pPr>
            <w:r w:rsidRPr="00BA4F73">
              <w:rPr>
                <w:rFonts w:ascii="Calibri" w:eastAsia="Times New Roman" w:hAnsi="Calibri" w:cs="Times New Roman"/>
                <w:b/>
                <w:bCs/>
                <w:color w:val="000000" w:themeColor="text1"/>
                <w:lang w:eastAsia="en-GB"/>
              </w:rPr>
              <w:t>Location of abuse</w:t>
            </w:r>
          </w:p>
        </w:tc>
        <w:tc>
          <w:tcPr>
            <w:tcW w:w="659" w:type="pct"/>
            <w:tcBorders>
              <w:top w:val="single" w:sz="4" w:space="0" w:color="auto"/>
              <w:left w:val="nil"/>
              <w:bottom w:val="single" w:sz="4" w:space="0" w:color="auto"/>
              <w:right w:val="single" w:sz="4" w:space="0" w:color="auto"/>
            </w:tcBorders>
            <w:shd w:val="clear" w:color="auto" w:fill="auto"/>
            <w:vAlign w:val="center"/>
            <w:hideMark/>
          </w:tcPr>
          <w:p w:rsidR="00F90C03" w:rsidRPr="00BA4F73" w:rsidRDefault="00BE7A7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2013/</w:t>
            </w:r>
            <w:r w:rsidR="00F90C03" w:rsidRPr="00BA4F73">
              <w:rPr>
                <w:rFonts w:ascii="Calibri" w:eastAsia="Times New Roman" w:hAnsi="Calibri" w:cs="Times New Roman"/>
                <w:color w:val="000000" w:themeColor="text1"/>
                <w:lang w:eastAsia="en-GB"/>
              </w:rPr>
              <w:t>14</w:t>
            </w:r>
          </w:p>
        </w:tc>
        <w:tc>
          <w:tcPr>
            <w:tcW w:w="659" w:type="pct"/>
            <w:tcBorders>
              <w:top w:val="single" w:sz="4" w:space="0" w:color="auto"/>
              <w:left w:val="nil"/>
              <w:bottom w:val="single" w:sz="4" w:space="0" w:color="auto"/>
              <w:right w:val="single" w:sz="4"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iCs/>
                <w:color w:val="000000" w:themeColor="text1"/>
                <w:lang w:eastAsia="en-GB"/>
              </w:rPr>
            </w:pPr>
            <w:r w:rsidRPr="00BA4F73">
              <w:rPr>
                <w:rFonts w:ascii="Calibri" w:eastAsia="Times New Roman" w:hAnsi="Calibri" w:cs="Times New Roman"/>
                <w:iCs/>
                <w:color w:val="000000" w:themeColor="text1"/>
                <w:lang w:eastAsia="en-GB"/>
              </w:rPr>
              <w:t>% of total</w:t>
            </w:r>
          </w:p>
        </w:tc>
        <w:tc>
          <w:tcPr>
            <w:tcW w:w="659" w:type="pct"/>
            <w:tcBorders>
              <w:top w:val="single" w:sz="4" w:space="0" w:color="auto"/>
              <w:left w:val="nil"/>
              <w:bottom w:val="single" w:sz="4" w:space="0" w:color="auto"/>
              <w:right w:val="single" w:sz="4" w:space="0" w:color="auto"/>
            </w:tcBorders>
            <w:shd w:val="clear" w:color="auto" w:fill="auto"/>
            <w:noWrap/>
            <w:vAlign w:val="center"/>
            <w:hideMark/>
          </w:tcPr>
          <w:p w:rsidR="00F90C03" w:rsidRPr="00BA4F73" w:rsidRDefault="00BE7A7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2014/</w:t>
            </w:r>
            <w:r w:rsidR="00F90C03" w:rsidRPr="00BA4F73">
              <w:rPr>
                <w:rFonts w:ascii="Calibri" w:eastAsia="Times New Roman" w:hAnsi="Calibri" w:cs="Times New Roman"/>
                <w:color w:val="000000" w:themeColor="text1"/>
                <w:lang w:eastAsia="en-GB"/>
              </w:rPr>
              <w:t>15</w:t>
            </w:r>
          </w:p>
        </w:tc>
        <w:tc>
          <w:tcPr>
            <w:tcW w:w="659" w:type="pct"/>
            <w:tcBorders>
              <w:top w:val="single" w:sz="4" w:space="0" w:color="auto"/>
              <w:left w:val="nil"/>
              <w:bottom w:val="single" w:sz="4" w:space="0" w:color="auto"/>
              <w:right w:val="single" w:sz="4"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 of total</w:t>
            </w:r>
          </w:p>
        </w:tc>
        <w:tc>
          <w:tcPr>
            <w:tcW w:w="659" w:type="pct"/>
            <w:tcBorders>
              <w:top w:val="single" w:sz="4" w:space="0" w:color="auto"/>
              <w:left w:val="nil"/>
              <w:bottom w:val="single" w:sz="4" w:space="0" w:color="auto"/>
              <w:right w:val="single" w:sz="4" w:space="0" w:color="auto"/>
            </w:tcBorders>
            <w:shd w:val="clear" w:color="auto" w:fill="auto"/>
            <w:vAlign w:val="center"/>
            <w:hideMark/>
          </w:tcPr>
          <w:p w:rsidR="00F90C03" w:rsidRPr="00BA4F73" w:rsidRDefault="00BE7A7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2015/</w:t>
            </w:r>
            <w:r w:rsidR="00F90C03" w:rsidRPr="00BA4F73">
              <w:rPr>
                <w:rFonts w:ascii="Calibri" w:eastAsia="Times New Roman" w:hAnsi="Calibri" w:cs="Times New Roman"/>
                <w:color w:val="000000" w:themeColor="text1"/>
                <w:lang w:eastAsia="en-GB"/>
              </w:rPr>
              <w:t>16</w:t>
            </w:r>
          </w:p>
        </w:tc>
        <w:tc>
          <w:tcPr>
            <w:tcW w:w="659" w:type="pct"/>
            <w:tcBorders>
              <w:top w:val="single" w:sz="4" w:space="0" w:color="auto"/>
              <w:left w:val="nil"/>
              <w:bottom w:val="single" w:sz="4" w:space="0" w:color="auto"/>
              <w:right w:val="single" w:sz="4"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 of total</w:t>
            </w:r>
          </w:p>
        </w:tc>
      </w:tr>
      <w:tr w:rsidR="00F90C03" w:rsidRPr="00BA4F73" w:rsidTr="00F90C03">
        <w:trPr>
          <w:trHeight w:val="300"/>
        </w:trPr>
        <w:tc>
          <w:tcPr>
            <w:tcW w:w="1045" w:type="pct"/>
            <w:tcBorders>
              <w:top w:val="nil"/>
              <w:left w:val="single" w:sz="4" w:space="0" w:color="auto"/>
              <w:bottom w:val="single" w:sz="4" w:space="0" w:color="auto"/>
              <w:right w:val="single" w:sz="4"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Care home</w:t>
            </w:r>
          </w:p>
        </w:tc>
        <w:tc>
          <w:tcPr>
            <w:tcW w:w="659" w:type="pct"/>
            <w:tcBorders>
              <w:top w:val="nil"/>
              <w:left w:val="nil"/>
              <w:bottom w:val="single" w:sz="4" w:space="0" w:color="auto"/>
              <w:right w:val="single" w:sz="4"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78</w:t>
            </w:r>
          </w:p>
        </w:tc>
        <w:tc>
          <w:tcPr>
            <w:tcW w:w="659" w:type="pct"/>
            <w:tcBorders>
              <w:top w:val="nil"/>
              <w:left w:val="nil"/>
              <w:bottom w:val="single" w:sz="4" w:space="0" w:color="auto"/>
              <w:right w:val="single" w:sz="4"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17%</w:t>
            </w:r>
          </w:p>
        </w:tc>
        <w:tc>
          <w:tcPr>
            <w:tcW w:w="659" w:type="pct"/>
            <w:tcBorders>
              <w:top w:val="nil"/>
              <w:left w:val="nil"/>
              <w:bottom w:val="single" w:sz="4" w:space="0" w:color="auto"/>
              <w:right w:val="single" w:sz="4"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112</w:t>
            </w:r>
          </w:p>
        </w:tc>
        <w:tc>
          <w:tcPr>
            <w:tcW w:w="659" w:type="pct"/>
            <w:tcBorders>
              <w:top w:val="nil"/>
              <w:left w:val="nil"/>
              <w:bottom w:val="single" w:sz="4" w:space="0" w:color="auto"/>
              <w:right w:val="single" w:sz="4"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21%</w:t>
            </w:r>
          </w:p>
        </w:tc>
        <w:tc>
          <w:tcPr>
            <w:tcW w:w="659" w:type="pct"/>
            <w:tcBorders>
              <w:top w:val="nil"/>
              <w:left w:val="nil"/>
              <w:bottom w:val="single" w:sz="4" w:space="0" w:color="auto"/>
              <w:right w:val="single" w:sz="4"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100</w:t>
            </w:r>
          </w:p>
        </w:tc>
        <w:tc>
          <w:tcPr>
            <w:tcW w:w="659" w:type="pct"/>
            <w:tcBorders>
              <w:top w:val="nil"/>
              <w:left w:val="nil"/>
              <w:bottom w:val="single" w:sz="4" w:space="0" w:color="auto"/>
              <w:right w:val="single" w:sz="4"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17%</w:t>
            </w:r>
          </w:p>
        </w:tc>
      </w:tr>
      <w:tr w:rsidR="00F90C03" w:rsidRPr="00BA4F73" w:rsidTr="00F90C03">
        <w:trPr>
          <w:trHeight w:val="300"/>
        </w:trPr>
        <w:tc>
          <w:tcPr>
            <w:tcW w:w="1045" w:type="pct"/>
            <w:tcBorders>
              <w:top w:val="nil"/>
              <w:left w:val="single" w:sz="4" w:space="0" w:color="auto"/>
              <w:bottom w:val="single" w:sz="4" w:space="0" w:color="auto"/>
              <w:right w:val="single" w:sz="4"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Hospital</w:t>
            </w:r>
          </w:p>
        </w:tc>
        <w:tc>
          <w:tcPr>
            <w:tcW w:w="659" w:type="pct"/>
            <w:tcBorders>
              <w:top w:val="nil"/>
              <w:left w:val="nil"/>
              <w:bottom w:val="single" w:sz="4" w:space="0" w:color="auto"/>
              <w:right w:val="single" w:sz="4"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23</w:t>
            </w:r>
          </w:p>
        </w:tc>
        <w:tc>
          <w:tcPr>
            <w:tcW w:w="659" w:type="pct"/>
            <w:tcBorders>
              <w:top w:val="nil"/>
              <w:left w:val="nil"/>
              <w:bottom w:val="single" w:sz="4" w:space="0" w:color="auto"/>
              <w:right w:val="single" w:sz="4"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5%</w:t>
            </w:r>
          </w:p>
        </w:tc>
        <w:tc>
          <w:tcPr>
            <w:tcW w:w="659" w:type="pct"/>
            <w:tcBorders>
              <w:top w:val="nil"/>
              <w:left w:val="nil"/>
              <w:bottom w:val="single" w:sz="4" w:space="0" w:color="auto"/>
              <w:right w:val="single" w:sz="4"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51</w:t>
            </w:r>
          </w:p>
        </w:tc>
        <w:tc>
          <w:tcPr>
            <w:tcW w:w="659" w:type="pct"/>
            <w:tcBorders>
              <w:top w:val="nil"/>
              <w:left w:val="nil"/>
              <w:bottom w:val="single" w:sz="4" w:space="0" w:color="auto"/>
              <w:right w:val="single" w:sz="4"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9%</w:t>
            </w:r>
          </w:p>
        </w:tc>
        <w:tc>
          <w:tcPr>
            <w:tcW w:w="659" w:type="pct"/>
            <w:tcBorders>
              <w:top w:val="nil"/>
              <w:left w:val="nil"/>
              <w:bottom w:val="single" w:sz="4" w:space="0" w:color="auto"/>
              <w:right w:val="single" w:sz="4"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56</w:t>
            </w:r>
          </w:p>
        </w:tc>
        <w:tc>
          <w:tcPr>
            <w:tcW w:w="659" w:type="pct"/>
            <w:tcBorders>
              <w:top w:val="nil"/>
              <w:left w:val="nil"/>
              <w:bottom w:val="single" w:sz="4" w:space="0" w:color="auto"/>
              <w:right w:val="single" w:sz="4"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9%</w:t>
            </w:r>
          </w:p>
        </w:tc>
      </w:tr>
      <w:tr w:rsidR="00F90C03" w:rsidRPr="00BA4F73" w:rsidTr="00F90C03">
        <w:trPr>
          <w:trHeight w:val="300"/>
        </w:trPr>
        <w:tc>
          <w:tcPr>
            <w:tcW w:w="1045" w:type="pct"/>
            <w:tcBorders>
              <w:top w:val="nil"/>
              <w:left w:val="single" w:sz="4" w:space="0" w:color="auto"/>
              <w:bottom w:val="single" w:sz="4" w:space="0" w:color="auto"/>
              <w:right w:val="single" w:sz="4"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Own home</w:t>
            </w:r>
          </w:p>
        </w:tc>
        <w:tc>
          <w:tcPr>
            <w:tcW w:w="659" w:type="pct"/>
            <w:tcBorders>
              <w:top w:val="nil"/>
              <w:left w:val="nil"/>
              <w:bottom w:val="single" w:sz="4" w:space="0" w:color="auto"/>
              <w:right w:val="single" w:sz="4"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292</w:t>
            </w:r>
          </w:p>
        </w:tc>
        <w:tc>
          <w:tcPr>
            <w:tcW w:w="659" w:type="pct"/>
            <w:tcBorders>
              <w:top w:val="nil"/>
              <w:left w:val="nil"/>
              <w:bottom w:val="single" w:sz="4" w:space="0" w:color="auto"/>
              <w:right w:val="single" w:sz="4"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65%</w:t>
            </w:r>
          </w:p>
        </w:tc>
        <w:tc>
          <w:tcPr>
            <w:tcW w:w="659" w:type="pct"/>
            <w:tcBorders>
              <w:top w:val="nil"/>
              <w:left w:val="nil"/>
              <w:bottom w:val="single" w:sz="4" w:space="0" w:color="auto"/>
              <w:right w:val="single" w:sz="4"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307</w:t>
            </w:r>
          </w:p>
        </w:tc>
        <w:tc>
          <w:tcPr>
            <w:tcW w:w="659" w:type="pct"/>
            <w:tcBorders>
              <w:top w:val="nil"/>
              <w:left w:val="nil"/>
              <w:bottom w:val="single" w:sz="4" w:space="0" w:color="auto"/>
              <w:right w:val="single" w:sz="4"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57%</w:t>
            </w:r>
          </w:p>
        </w:tc>
        <w:tc>
          <w:tcPr>
            <w:tcW w:w="659" w:type="pct"/>
            <w:tcBorders>
              <w:top w:val="nil"/>
              <w:left w:val="nil"/>
              <w:bottom w:val="single" w:sz="4" w:space="0" w:color="auto"/>
              <w:right w:val="single" w:sz="4"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370</w:t>
            </w:r>
          </w:p>
        </w:tc>
        <w:tc>
          <w:tcPr>
            <w:tcW w:w="659" w:type="pct"/>
            <w:tcBorders>
              <w:top w:val="nil"/>
              <w:left w:val="nil"/>
              <w:bottom w:val="single" w:sz="4" w:space="0" w:color="auto"/>
              <w:right w:val="single" w:sz="4"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62%</w:t>
            </w:r>
          </w:p>
        </w:tc>
      </w:tr>
      <w:tr w:rsidR="00F90C03" w:rsidRPr="00BA4F73" w:rsidTr="00F90C03">
        <w:trPr>
          <w:trHeight w:val="300"/>
        </w:trPr>
        <w:tc>
          <w:tcPr>
            <w:tcW w:w="1045" w:type="pct"/>
            <w:tcBorders>
              <w:top w:val="nil"/>
              <w:left w:val="single" w:sz="4" w:space="0" w:color="auto"/>
              <w:bottom w:val="single" w:sz="4" w:space="0" w:color="auto"/>
              <w:right w:val="single" w:sz="4"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Community service</w:t>
            </w:r>
          </w:p>
        </w:tc>
        <w:tc>
          <w:tcPr>
            <w:tcW w:w="659" w:type="pct"/>
            <w:tcBorders>
              <w:top w:val="nil"/>
              <w:left w:val="nil"/>
              <w:bottom w:val="single" w:sz="4" w:space="0" w:color="auto"/>
              <w:right w:val="single" w:sz="4"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8</w:t>
            </w:r>
          </w:p>
        </w:tc>
        <w:tc>
          <w:tcPr>
            <w:tcW w:w="659" w:type="pct"/>
            <w:tcBorders>
              <w:top w:val="nil"/>
              <w:left w:val="nil"/>
              <w:bottom w:val="single" w:sz="4" w:space="0" w:color="auto"/>
              <w:right w:val="single" w:sz="4"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w:t>
            </w:r>
          </w:p>
        </w:tc>
        <w:tc>
          <w:tcPr>
            <w:tcW w:w="659" w:type="pct"/>
            <w:tcBorders>
              <w:top w:val="nil"/>
              <w:left w:val="nil"/>
              <w:bottom w:val="single" w:sz="4" w:space="0" w:color="auto"/>
              <w:right w:val="single" w:sz="4"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14</w:t>
            </w:r>
          </w:p>
        </w:tc>
        <w:tc>
          <w:tcPr>
            <w:tcW w:w="659" w:type="pct"/>
            <w:tcBorders>
              <w:top w:val="nil"/>
              <w:left w:val="nil"/>
              <w:bottom w:val="single" w:sz="4" w:space="0" w:color="auto"/>
              <w:right w:val="single" w:sz="4"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3%</w:t>
            </w:r>
          </w:p>
        </w:tc>
        <w:tc>
          <w:tcPr>
            <w:tcW w:w="659" w:type="pct"/>
            <w:tcBorders>
              <w:top w:val="nil"/>
              <w:left w:val="nil"/>
              <w:bottom w:val="single" w:sz="4" w:space="0" w:color="auto"/>
              <w:right w:val="single" w:sz="4"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7</w:t>
            </w:r>
          </w:p>
        </w:tc>
        <w:tc>
          <w:tcPr>
            <w:tcW w:w="659" w:type="pct"/>
            <w:tcBorders>
              <w:top w:val="nil"/>
              <w:left w:val="nil"/>
              <w:bottom w:val="single" w:sz="4" w:space="0" w:color="auto"/>
              <w:right w:val="single" w:sz="4"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w:t>
            </w:r>
          </w:p>
        </w:tc>
      </w:tr>
      <w:tr w:rsidR="00F90C03" w:rsidRPr="00BA4F73" w:rsidTr="00F90C03">
        <w:trPr>
          <w:trHeight w:val="300"/>
        </w:trPr>
        <w:tc>
          <w:tcPr>
            <w:tcW w:w="1045" w:type="pct"/>
            <w:tcBorders>
              <w:top w:val="nil"/>
              <w:left w:val="single" w:sz="4" w:space="0" w:color="auto"/>
              <w:bottom w:val="single" w:sz="4" w:space="0" w:color="auto"/>
              <w:right w:val="single" w:sz="4"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Other</w:t>
            </w:r>
          </w:p>
        </w:tc>
        <w:tc>
          <w:tcPr>
            <w:tcW w:w="659" w:type="pct"/>
            <w:tcBorders>
              <w:top w:val="nil"/>
              <w:left w:val="nil"/>
              <w:bottom w:val="single" w:sz="4" w:space="0" w:color="auto"/>
              <w:right w:val="single" w:sz="4"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50</w:t>
            </w:r>
          </w:p>
        </w:tc>
        <w:tc>
          <w:tcPr>
            <w:tcW w:w="659" w:type="pct"/>
            <w:tcBorders>
              <w:top w:val="nil"/>
              <w:left w:val="nil"/>
              <w:bottom w:val="single" w:sz="4" w:space="0" w:color="auto"/>
              <w:right w:val="single" w:sz="4"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11%</w:t>
            </w:r>
          </w:p>
        </w:tc>
        <w:tc>
          <w:tcPr>
            <w:tcW w:w="659" w:type="pct"/>
            <w:tcBorders>
              <w:top w:val="nil"/>
              <w:left w:val="nil"/>
              <w:bottom w:val="single" w:sz="4" w:space="0" w:color="auto"/>
              <w:right w:val="single" w:sz="4"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56</w:t>
            </w:r>
          </w:p>
        </w:tc>
        <w:tc>
          <w:tcPr>
            <w:tcW w:w="659" w:type="pct"/>
            <w:tcBorders>
              <w:top w:val="nil"/>
              <w:left w:val="nil"/>
              <w:bottom w:val="single" w:sz="4" w:space="0" w:color="auto"/>
              <w:right w:val="single" w:sz="4"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10%</w:t>
            </w:r>
          </w:p>
        </w:tc>
        <w:tc>
          <w:tcPr>
            <w:tcW w:w="659" w:type="pct"/>
            <w:tcBorders>
              <w:top w:val="nil"/>
              <w:left w:val="nil"/>
              <w:bottom w:val="single" w:sz="4" w:space="0" w:color="auto"/>
              <w:right w:val="single" w:sz="4"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60</w:t>
            </w:r>
          </w:p>
        </w:tc>
        <w:tc>
          <w:tcPr>
            <w:tcW w:w="659" w:type="pct"/>
            <w:tcBorders>
              <w:top w:val="nil"/>
              <w:left w:val="nil"/>
              <w:bottom w:val="single" w:sz="4" w:space="0" w:color="auto"/>
              <w:right w:val="single" w:sz="4"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10%</w:t>
            </w:r>
          </w:p>
        </w:tc>
      </w:tr>
    </w:tbl>
    <w:p w:rsidR="00A2767F" w:rsidRPr="00BA4F73" w:rsidRDefault="00A2767F" w:rsidP="004C38DD">
      <w:pPr>
        <w:spacing w:after="0"/>
        <w:rPr>
          <w:rFonts w:cs="Times New Roman"/>
          <w:color w:val="000000" w:themeColor="text1"/>
          <w:sz w:val="24"/>
          <w:szCs w:val="24"/>
        </w:rPr>
      </w:pPr>
    </w:p>
    <w:p w:rsidR="00884A8B" w:rsidRPr="00BA4F73" w:rsidRDefault="00884A8B" w:rsidP="004C38DD">
      <w:pPr>
        <w:spacing w:after="0"/>
        <w:rPr>
          <w:rFonts w:cs="Times New Roman"/>
          <w:color w:val="000000" w:themeColor="text1"/>
          <w:szCs w:val="24"/>
        </w:rPr>
      </w:pPr>
    </w:p>
    <w:p w:rsidR="007E034A" w:rsidRPr="00BA4F73" w:rsidRDefault="0071627B" w:rsidP="004C38DD">
      <w:pPr>
        <w:spacing w:after="0"/>
        <w:rPr>
          <w:rFonts w:cs="Times New Roman"/>
          <w:color w:val="000000" w:themeColor="text1"/>
          <w:szCs w:val="24"/>
        </w:rPr>
      </w:pPr>
      <w:r w:rsidRPr="00BA4F73">
        <w:rPr>
          <w:rFonts w:cs="Times New Roman"/>
          <w:color w:val="000000" w:themeColor="text1"/>
          <w:szCs w:val="24"/>
        </w:rPr>
        <w:t xml:space="preserve">Figure </w:t>
      </w:r>
      <w:r w:rsidR="0075286F" w:rsidRPr="00BA4F73">
        <w:rPr>
          <w:rFonts w:cs="Times New Roman"/>
          <w:color w:val="000000" w:themeColor="text1"/>
          <w:szCs w:val="24"/>
        </w:rPr>
        <w:t xml:space="preserve">4 </w:t>
      </w:r>
      <w:r w:rsidR="005E6BE5" w:rsidRPr="00BA4F73">
        <w:rPr>
          <w:rFonts w:cs="Times New Roman"/>
          <w:color w:val="000000" w:themeColor="text1"/>
          <w:szCs w:val="24"/>
        </w:rPr>
        <w:t xml:space="preserve">shows </w:t>
      </w:r>
      <w:r w:rsidR="004F3B07" w:rsidRPr="00BA4F73">
        <w:rPr>
          <w:rFonts w:cs="Times New Roman"/>
          <w:color w:val="000000" w:themeColor="text1"/>
          <w:szCs w:val="24"/>
        </w:rPr>
        <w:t xml:space="preserve">the breakdown of </w:t>
      </w:r>
      <w:r w:rsidR="005E6BE5" w:rsidRPr="00BA4F73">
        <w:rPr>
          <w:rFonts w:cs="Times New Roman"/>
          <w:color w:val="000000" w:themeColor="text1"/>
          <w:szCs w:val="24"/>
        </w:rPr>
        <w:t>location of alleged abuse by source of risk. Where the alleged abuse took place in the persons ow</w:t>
      </w:r>
      <w:r w:rsidR="00F935AF" w:rsidRPr="00BA4F73">
        <w:rPr>
          <w:rFonts w:cs="Times New Roman"/>
          <w:color w:val="000000" w:themeColor="text1"/>
          <w:szCs w:val="24"/>
        </w:rPr>
        <w:t>n home</w:t>
      </w:r>
      <w:r w:rsidR="00602DBC" w:rsidRPr="00BA4F73">
        <w:rPr>
          <w:rFonts w:cs="Times New Roman"/>
          <w:color w:val="000000" w:themeColor="text1"/>
          <w:szCs w:val="24"/>
        </w:rPr>
        <w:t>, for</w:t>
      </w:r>
      <w:r w:rsidR="009275A9" w:rsidRPr="00BA4F73">
        <w:rPr>
          <w:rFonts w:cs="Times New Roman"/>
          <w:color w:val="000000" w:themeColor="text1"/>
          <w:szCs w:val="24"/>
        </w:rPr>
        <w:t xml:space="preserve"> the majority of cases (</w:t>
      </w:r>
      <w:r w:rsidR="00AA48FA" w:rsidRPr="00BA4F73">
        <w:rPr>
          <w:rFonts w:cs="Times New Roman"/>
          <w:color w:val="000000" w:themeColor="text1"/>
          <w:szCs w:val="24"/>
        </w:rPr>
        <w:t>65</w:t>
      </w:r>
      <w:r w:rsidR="00F935AF" w:rsidRPr="00BA4F73">
        <w:rPr>
          <w:rFonts w:cs="Times New Roman"/>
          <w:color w:val="000000" w:themeColor="text1"/>
          <w:szCs w:val="24"/>
        </w:rPr>
        <w:t>%</w:t>
      </w:r>
      <w:r w:rsidR="009275A9" w:rsidRPr="00BA4F73">
        <w:rPr>
          <w:rFonts w:cs="Times New Roman"/>
          <w:color w:val="000000" w:themeColor="text1"/>
          <w:szCs w:val="24"/>
        </w:rPr>
        <w:t>)</w:t>
      </w:r>
      <w:r w:rsidR="00F935AF" w:rsidRPr="00BA4F73">
        <w:rPr>
          <w:rFonts w:cs="Times New Roman"/>
          <w:color w:val="000000" w:themeColor="text1"/>
          <w:szCs w:val="24"/>
        </w:rPr>
        <w:t xml:space="preserve">, </w:t>
      </w:r>
      <w:r w:rsidR="005E6BE5" w:rsidRPr="00BA4F73">
        <w:rPr>
          <w:rFonts w:cs="Times New Roman"/>
          <w:color w:val="000000" w:themeColor="text1"/>
          <w:szCs w:val="24"/>
        </w:rPr>
        <w:t>the source of risk was an individual known to the adult at risk.</w:t>
      </w:r>
      <w:r w:rsidR="00AA48FA" w:rsidRPr="00BA4F73">
        <w:rPr>
          <w:rFonts w:cs="Times New Roman"/>
          <w:color w:val="000000" w:themeColor="text1"/>
          <w:szCs w:val="24"/>
        </w:rPr>
        <w:t xml:space="preserve"> This group was also the most common for those taking place in a Hospital and in </w:t>
      </w:r>
      <w:r w:rsidR="00901E77" w:rsidRPr="00BA4F73">
        <w:rPr>
          <w:rFonts w:cs="Times New Roman"/>
          <w:color w:val="000000" w:themeColor="text1"/>
          <w:szCs w:val="24"/>
        </w:rPr>
        <w:t>other</w:t>
      </w:r>
      <w:r w:rsidR="00AA48FA" w:rsidRPr="00BA4F73">
        <w:rPr>
          <w:rFonts w:cs="Times New Roman"/>
          <w:color w:val="000000" w:themeColor="text1"/>
          <w:szCs w:val="24"/>
        </w:rPr>
        <w:t xml:space="preserve"> locations. For those taking place in a Community Service or a Care Home the biggest source of risk was from Social Care Support staff.</w:t>
      </w:r>
    </w:p>
    <w:p w:rsidR="007B1DF6" w:rsidRPr="00BA4F73" w:rsidRDefault="007B1DF6" w:rsidP="00580D62">
      <w:pPr>
        <w:pStyle w:val="Caption"/>
        <w:keepNext/>
        <w:rPr>
          <w:rFonts w:cs="Arial"/>
          <w:color w:val="000000" w:themeColor="text1"/>
          <w:sz w:val="22"/>
          <w:szCs w:val="22"/>
        </w:rPr>
      </w:pPr>
    </w:p>
    <w:p w:rsidR="00580D62" w:rsidRPr="00BA4F73" w:rsidRDefault="007B1DF6" w:rsidP="00580D62">
      <w:pPr>
        <w:pStyle w:val="Caption"/>
        <w:keepNext/>
        <w:rPr>
          <w:rFonts w:cs="Arial"/>
          <w:color w:val="000000" w:themeColor="text1"/>
          <w:sz w:val="22"/>
          <w:szCs w:val="22"/>
        </w:rPr>
      </w:pPr>
      <w:r w:rsidRPr="00BA4F73">
        <w:rPr>
          <w:rFonts w:cs="Arial"/>
          <w:color w:val="000000" w:themeColor="text1"/>
          <w:sz w:val="22"/>
          <w:szCs w:val="22"/>
        </w:rPr>
        <w:t xml:space="preserve">Figure 4 </w:t>
      </w:r>
      <w:r w:rsidR="00580D62" w:rsidRPr="00BA4F73">
        <w:rPr>
          <w:rFonts w:cs="Arial"/>
          <w:color w:val="000000" w:themeColor="text1"/>
          <w:sz w:val="22"/>
          <w:szCs w:val="22"/>
        </w:rPr>
        <w:t>– Concluded enquiries by location of alleged abuse and source of risk</w:t>
      </w:r>
      <w:r w:rsidR="002E5525" w:rsidRPr="00BA4F73">
        <w:rPr>
          <w:rFonts w:cs="Arial"/>
          <w:color w:val="000000" w:themeColor="text1"/>
          <w:sz w:val="22"/>
          <w:szCs w:val="22"/>
        </w:rPr>
        <w:t xml:space="preserve"> for</w:t>
      </w:r>
      <w:r w:rsidR="00580D62" w:rsidRPr="00BA4F73">
        <w:rPr>
          <w:rFonts w:cs="Arial"/>
          <w:color w:val="000000" w:themeColor="text1"/>
          <w:sz w:val="22"/>
          <w:szCs w:val="22"/>
        </w:rPr>
        <w:t xml:space="preserve"> </w:t>
      </w:r>
      <w:r w:rsidR="002E5525" w:rsidRPr="00BA4F73">
        <w:rPr>
          <w:rFonts w:cs="Arial"/>
          <w:color w:val="000000" w:themeColor="text1"/>
          <w:sz w:val="22"/>
          <w:szCs w:val="22"/>
        </w:rPr>
        <w:t>2015/</w:t>
      </w:r>
      <w:r w:rsidR="00080665" w:rsidRPr="00BA4F73">
        <w:rPr>
          <w:rFonts w:cs="Arial"/>
          <w:color w:val="000000" w:themeColor="text1"/>
          <w:sz w:val="22"/>
          <w:szCs w:val="22"/>
        </w:rPr>
        <w:t>16</w:t>
      </w:r>
    </w:p>
    <w:p w:rsidR="007E034A" w:rsidRPr="00BA4F73" w:rsidRDefault="007B1DF6" w:rsidP="004C38DD">
      <w:pPr>
        <w:spacing w:after="0"/>
        <w:rPr>
          <w:rFonts w:cs="Times New Roman"/>
          <w:color w:val="000000" w:themeColor="text1"/>
          <w:sz w:val="24"/>
          <w:szCs w:val="24"/>
        </w:rPr>
      </w:pPr>
      <w:r w:rsidRPr="00BA4F73">
        <w:rPr>
          <w:b/>
          <w:noProof/>
          <w:color w:val="000000" w:themeColor="text1"/>
          <w:sz w:val="18"/>
          <w:szCs w:val="18"/>
          <w:lang w:eastAsia="en-GB"/>
        </w:rPr>
        <w:drawing>
          <wp:inline distT="0" distB="0" distL="0" distR="0" wp14:anchorId="0B44C3E8" wp14:editId="681C416B">
            <wp:extent cx="5734050" cy="19431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B1DF6" w:rsidRPr="00BA4F73" w:rsidRDefault="007B1DF6" w:rsidP="00F23777">
      <w:pPr>
        <w:pStyle w:val="Heading3"/>
        <w:rPr>
          <w:rFonts w:asciiTheme="minorHAnsi" w:hAnsiTheme="minorHAnsi" w:cs="Arial"/>
          <w:color w:val="000000" w:themeColor="text1"/>
        </w:rPr>
      </w:pPr>
    </w:p>
    <w:p w:rsidR="000E5F87" w:rsidRPr="00BA4F73" w:rsidRDefault="005A03EC" w:rsidP="00F23777">
      <w:pPr>
        <w:pStyle w:val="Heading3"/>
        <w:rPr>
          <w:rFonts w:asciiTheme="minorHAnsi" w:hAnsiTheme="minorHAnsi" w:cs="Arial"/>
          <w:color w:val="000000" w:themeColor="text1"/>
          <w:sz w:val="24"/>
          <w:szCs w:val="24"/>
        </w:rPr>
      </w:pPr>
      <w:r w:rsidRPr="00BA4F73">
        <w:rPr>
          <w:rFonts w:asciiTheme="minorHAnsi" w:hAnsiTheme="minorHAnsi" w:cs="Arial"/>
          <w:color w:val="000000" w:themeColor="text1"/>
          <w:sz w:val="24"/>
          <w:szCs w:val="24"/>
        </w:rPr>
        <w:t>Source of risk</w:t>
      </w:r>
    </w:p>
    <w:p w:rsidR="009275A9" w:rsidRPr="00BA4F73" w:rsidRDefault="00F935AF" w:rsidP="009275A9">
      <w:pPr>
        <w:rPr>
          <w:rFonts w:cs="Times New Roman"/>
          <w:color w:val="000000" w:themeColor="text1"/>
          <w:szCs w:val="24"/>
        </w:rPr>
      </w:pPr>
      <w:r w:rsidRPr="00BA4F73">
        <w:rPr>
          <w:color w:val="000000" w:themeColor="text1"/>
        </w:rPr>
        <w:t>The majority of concluded enquiries involved a source of risk known to the individual</w:t>
      </w:r>
      <w:r w:rsidR="009275A9" w:rsidRPr="00BA4F73">
        <w:rPr>
          <w:color w:val="000000" w:themeColor="text1"/>
        </w:rPr>
        <w:t xml:space="preserve"> (57%) whereas those that are unknown to the individual only make up 10%. The S</w:t>
      </w:r>
      <w:r w:rsidR="009275A9" w:rsidRPr="00BA4F73">
        <w:rPr>
          <w:rFonts w:cs="Times New Roman"/>
          <w:color w:val="000000" w:themeColor="text1"/>
          <w:szCs w:val="24"/>
        </w:rPr>
        <w:t>ocial Care Su</w:t>
      </w:r>
      <w:r w:rsidRPr="00BA4F73">
        <w:rPr>
          <w:rFonts w:cs="Times New Roman"/>
          <w:color w:val="000000" w:themeColor="text1"/>
          <w:szCs w:val="24"/>
        </w:rPr>
        <w:t>pport category refers to any individual or organisation paid, contracted or commissioned to provide social care.</w:t>
      </w:r>
      <w:r w:rsidR="009275A9" w:rsidRPr="00BA4F73">
        <w:rPr>
          <w:rFonts w:cs="Times New Roman"/>
          <w:color w:val="000000" w:themeColor="text1"/>
          <w:szCs w:val="24"/>
        </w:rPr>
        <w:t xml:space="preserve"> This is shown below in Figure 5.</w:t>
      </w:r>
    </w:p>
    <w:p w:rsidR="00F935AF" w:rsidRPr="00BA4F73" w:rsidRDefault="007B1DF6" w:rsidP="00F935AF">
      <w:pPr>
        <w:pStyle w:val="Caption"/>
        <w:keepNext/>
        <w:rPr>
          <w:rFonts w:cs="Arial"/>
          <w:color w:val="000000" w:themeColor="text1"/>
          <w:sz w:val="22"/>
          <w:szCs w:val="22"/>
        </w:rPr>
      </w:pPr>
      <w:r w:rsidRPr="00BA4F73">
        <w:rPr>
          <w:rFonts w:cs="Arial"/>
          <w:color w:val="000000" w:themeColor="text1"/>
          <w:sz w:val="22"/>
          <w:szCs w:val="22"/>
        </w:rPr>
        <w:t xml:space="preserve">Figure 5 </w:t>
      </w:r>
      <w:r w:rsidR="00F935AF" w:rsidRPr="00BA4F73">
        <w:rPr>
          <w:rFonts w:cs="Arial"/>
          <w:color w:val="000000" w:themeColor="text1"/>
          <w:sz w:val="22"/>
          <w:szCs w:val="22"/>
        </w:rPr>
        <w:t>– Concluded enquiries by source of risk</w:t>
      </w:r>
      <w:r w:rsidR="00625DD3" w:rsidRPr="00BA4F73">
        <w:rPr>
          <w:rFonts w:cs="Arial"/>
          <w:color w:val="000000" w:themeColor="text1"/>
          <w:sz w:val="22"/>
          <w:szCs w:val="22"/>
        </w:rPr>
        <w:t xml:space="preserve"> 2015/16</w:t>
      </w:r>
    </w:p>
    <w:p w:rsidR="00F935AF" w:rsidRPr="00BA4F73" w:rsidRDefault="007B1DF6" w:rsidP="00F935AF">
      <w:pPr>
        <w:rPr>
          <w:rFonts w:cs="Times New Roman"/>
          <w:color w:val="000000" w:themeColor="text1"/>
          <w:szCs w:val="24"/>
        </w:rPr>
      </w:pPr>
      <w:r w:rsidRPr="00BA4F73">
        <w:rPr>
          <w:noProof/>
          <w:color w:val="000000" w:themeColor="text1"/>
          <w:bdr w:val="single" w:sz="4" w:space="0" w:color="auto"/>
          <w:lang w:eastAsia="en-GB"/>
        </w:rPr>
        <w:drawing>
          <wp:inline distT="0" distB="0" distL="0" distR="0" wp14:anchorId="1F06912C" wp14:editId="59FBFCA8">
            <wp:extent cx="3895725" cy="2009775"/>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51DCD" w:rsidRPr="00BA4F73" w:rsidRDefault="00A51DCD" w:rsidP="00F23777">
      <w:pPr>
        <w:pStyle w:val="Heading3"/>
        <w:rPr>
          <w:rFonts w:asciiTheme="minorHAnsi" w:hAnsiTheme="minorHAnsi" w:cs="Arial"/>
          <w:color w:val="000000" w:themeColor="text1"/>
        </w:rPr>
      </w:pPr>
    </w:p>
    <w:p w:rsidR="00AA4B5B" w:rsidRPr="00BA4F73" w:rsidRDefault="00F23777" w:rsidP="00F23777">
      <w:pPr>
        <w:pStyle w:val="Heading3"/>
        <w:rPr>
          <w:rFonts w:asciiTheme="minorHAnsi" w:hAnsiTheme="minorHAnsi" w:cs="Arial"/>
          <w:color w:val="000000" w:themeColor="text1"/>
          <w:sz w:val="24"/>
          <w:szCs w:val="24"/>
        </w:rPr>
      </w:pPr>
      <w:r w:rsidRPr="00BA4F73">
        <w:rPr>
          <w:rFonts w:asciiTheme="minorHAnsi" w:hAnsiTheme="minorHAnsi" w:cs="Arial"/>
          <w:color w:val="000000" w:themeColor="text1"/>
          <w:sz w:val="24"/>
          <w:szCs w:val="24"/>
        </w:rPr>
        <w:t>Action taken and result</w:t>
      </w:r>
    </w:p>
    <w:p w:rsidR="007B1DF6" w:rsidRPr="00BA4F73" w:rsidRDefault="009275A9" w:rsidP="009275A9">
      <w:pPr>
        <w:rPr>
          <w:rFonts w:cs="Times New Roman"/>
          <w:color w:val="000000" w:themeColor="text1"/>
          <w:szCs w:val="24"/>
        </w:rPr>
      </w:pPr>
      <w:r w:rsidRPr="00BA4F73">
        <w:rPr>
          <w:rFonts w:cs="Times New Roman"/>
          <w:color w:val="000000" w:themeColor="text1"/>
          <w:szCs w:val="24"/>
        </w:rPr>
        <w:t>T</w:t>
      </w:r>
      <w:r w:rsidR="00D0259F" w:rsidRPr="00BA4F73">
        <w:rPr>
          <w:rFonts w:cs="Times New Roman"/>
          <w:color w:val="000000" w:themeColor="text1"/>
          <w:szCs w:val="24"/>
        </w:rPr>
        <w:t xml:space="preserve">able </w:t>
      </w:r>
      <w:r w:rsidRPr="00BA4F73">
        <w:rPr>
          <w:rFonts w:cs="Times New Roman"/>
          <w:color w:val="000000" w:themeColor="text1"/>
          <w:szCs w:val="24"/>
        </w:rPr>
        <w:t xml:space="preserve">10 </w:t>
      </w:r>
      <w:r w:rsidR="00D0259F" w:rsidRPr="00BA4F73">
        <w:rPr>
          <w:rFonts w:cs="Times New Roman"/>
          <w:color w:val="000000" w:themeColor="text1"/>
          <w:szCs w:val="24"/>
        </w:rPr>
        <w:t xml:space="preserve">below shows concluded enquiries by action taken and </w:t>
      </w:r>
      <w:r w:rsidRPr="00BA4F73">
        <w:rPr>
          <w:rFonts w:cs="Times New Roman"/>
          <w:color w:val="000000" w:themeColor="text1"/>
          <w:szCs w:val="24"/>
        </w:rPr>
        <w:t xml:space="preserve">the </w:t>
      </w:r>
      <w:r w:rsidR="00D0259F" w:rsidRPr="00BA4F73">
        <w:rPr>
          <w:rFonts w:cs="Times New Roman"/>
          <w:color w:val="000000" w:themeColor="text1"/>
          <w:szCs w:val="24"/>
        </w:rPr>
        <w:t>r</w:t>
      </w:r>
      <w:r w:rsidR="007B1DF6" w:rsidRPr="00BA4F73">
        <w:rPr>
          <w:rFonts w:cs="Times New Roman"/>
          <w:color w:val="000000" w:themeColor="text1"/>
          <w:szCs w:val="24"/>
        </w:rPr>
        <w:t>esult</w:t>
      </w:r>
      <w:r w:rsidRPr="00BA4F73">
        <w:rPr>
          <w:rFonts w:cs="Times New Roman"/>
          <w:color w:val="000000" w:themeColor="text1"/>
          <w:szCs w:val="24"/>
        </w:rPr>
        <w:t>s</w:t>
      </w:r>
      <w:r w:rsidR="007B1DF6" w:rsidRPr="00BA4F73">
        <w:rPr>
          <w:rFonts w:cs="Times New Roman"/>
          <w:color w:val="000000" w:themeColor="text1"/>
          <w:szCs w:val="24"/>
        </w:rPr>
        <w:t xml:space="preserve"> for the last three years.</w:t>
      </w:r>
    </w:p>
    <w:p w:rsidR="001F4F92" w:rsidRPr="00BA4F73" w:rsidRDefault="001F4F92" w:rsidP="009275A9">
      <w:pPr>
        <w:rPr>
          <w:rFonts w:cs="Times New Roman"/>
          <w:color w:val="000000" w:themeColor="text1"/>
          <w:szCs w:val="24"/>
        </w:rPr>
      </w:pPr>
      <w:r w:rsidRPr="00BA4F73">
        <w:rPr>
          <w:rFonts w:cs="Times New Roman"/>
          <w:color w:val="000000" w:themeColor="text1"/>
          <w:szCs w:val="24"/>
        </w:rPr>
        <w:t>The figures for those cases where the risk was reduced or removed saw a rise between 2013/14 and 2014/15 and then a fall between 2014/15 and the current year. Those with a risk remaining have stayed fairly consistent over the period. Those with no further action decreased between the first 2 periods but have risen again over the last year (from 21% to 43% proportionately).</w:t>
      </w:r>
    </w:p>
    <w:p w:rsidR="005C19C0" w:rsidRPr="00BA4F73" w:rsidRDefault="007B1DF6" w:rsidP="005C19C0">
      <w:pPr>
        <w:pStyle w:val="Caption"/>
        <w:keepNext/>
        <w:rPr>
          <w:rFonts w:cs="Arial"/>
          <w:color w:val="000000" w:themeColor="text1"/>
          <w:sz w:val="22"/>
          <w:szCs w:val="22"/>
        </w:rPr>
      </w:pPr>
      <w:r w:rsidRPr="00BA4F73">
        <w:rPr>
          <w:rFonts w:cs="Arial"/>
          <w:color w:val="000000" w:themeColor="text1"/>
          <w:sz w:val="22"/>
          <w:szCs w:val="22"/>
        </w:rPr>
        <w:t xml:space="preserve">Table 10 </w:t>
      </w:r>
      <w:r w:rsidR="005C19C0" w:rsidRPr="00BA4F73">
        <w:rPr>
          <w:rFonts w:cs="Arial"/>
          <w:color w:val="000000" w:themeColor="text1"/>
          <w:sz w:val="22"/>
          <w:szCs w:val="22"/>
        </w:rPr>
        <w:t>– Concluded enquiries by result</w:t>
      </w:r>
      <w:r w:rsidR="00625DD3" w:rsidRPr="00BA4F73">
        <w:rPr>
          <w:rFonts w:cs="Arial"/>
          <w:color w:val="000000" w:themeColor="text1"/>
          <w:sz w:val="22"/>
          <w:szCs w:val="22"/>
        </w:rPr>
        <w:t xml:space="preserve"> 2014-16</w:t>
      </w:r>
    </w:p>
    <w:tbl>
      <w:tblPr>
        <w:tblW w:w="4675" w:type="pct"/>
        <w:tblLayout w:type="fixed"/>
        <w:tblLook w:val="04A0" w:firstRow="1" w:lastRow="0" w:firstColumn="1" w:lastColumn="0" w:noHBand="0" w:noVBand="1"/>
      </w:tblPr>
      <w:tblGrid>
        <w:gridCol w:w="2955"/>
        <w:gridCol w:w="995"/>
        <w:gridCol w:w="854"/>
        <w:gridCol w:w="994"/>
        <w:gridCol w:w="854"/>
        <w:gridCol w:w="999"/>
        <w:gridCol w:w="990"/>
      </w:tblGrid>
      <w:tr w:rsidR="007B1DF6" w:rsidRPr="00BA4F73" w:rsidTr="007B1DF6">
        <w:trPr>
          <w:trHeight w:val="687"/>
        </w:trPr>
        <w:tc>
          <w:tcPr>
            <w:tcW w:w="17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b/>
                <w:bCs/>
                <w:color w:val="000000" w:themeColor="text1"/>
                <w:lang w:eastAsia="en-GB"/>
              </w:rPr>
            </w:pPr>
            <w:r w:rsidRPr="00BA4F73">
              <w:rPr>
                <w:rFonts w:ascii="Calibri" w:eastAsia="Times New Roman" w:hAnsi="Calibri" w:cs="Times New Roman"/>
                <w:b/>
                <w:bCs/>
                <w:color w:val="000000" w:themeColor="text1"/>
                <w:lang w:eastAsia="en-GB"/>
              </w:rPr>
              <w:t>Result</w:t>
            </w:r>
          </w:p>
        </w:tc>
        <w:tc>
          <w:tcPr>
            <w:tcW w:w="576" w:type="pct"/>
            <w:tcBorders>
              <w:top w:val="single" w:sz="4" w:space="0" w:color="auto"/>
              <w:left w:val="nil"/>
              <w:bottom w:val="single" w:sz="4" w:space="0" w:color="auto"/>
              <w:right w:val="single" w:sz="4" w:space="0" w:color="auto"/>
            </w:tcBorders>
            <w:shd w:val="clear" w:color="auto" w:fill="auto"/>
            <w:vAlign w:val="center"/>
            <w:hideMark/>
          </w:tcPr>
          <w:p w:rsidR="007B1DF6" w:rsidRPr="00BA4F73" w:rsidRDefault="00BE7A73"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2013/</w:t>
            </w:r>
            <w:r w:rsidR="007B1DF6" w:rsidRPr="00BA4F73">
              <w:rPr>
                <w:rFonts w:ascii="Calibri" w:eastAsia="Times New Roman" w:hAnsi="Calibri" w:cs="Times New Roman"/>
                <w:color w:val="000000" w:themeColor="text1"/>
                <w:lang w:eastAsia="en-GB"/>
              </w:rPr>
              <w:t>14</w:t>
            </w:r>
          </w:p>
        </w:tc>
        <w:tc>
          <w:tcPr>
            <w:tcW w:w="494" w:type="pct"/>
            <w:tcBorders>
              <w:top w:val="single" w:sz="4" w:space="0" w:color="auto"/>
              <w:left w:val="nil"/>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iCs/>
                <w:color w:val="000000" w:themeColor="text1"/>
                <w:lang w:eastAsia="en-GB"/>
              </w:rPr>
            </w:pPr>
            <w:r w:rsidRPr="00BA4F73">
              <w:rPr>
                <w:rFonts w:ascii="Calibri" w:eastAsia="Times New Roman" w:hAnsi="Calibri" w:cs="Times New Roman"/>
                <w:iCs/>
                <w:color w:val="000000" w:themeColor="text1"/>
                <w:lang w:eastAsia="en-GB"/>
              </w:rPr>
              <w:t>% of total</w:t>
            </w:r>
          </w:p>
        </w:tc>
        <w:tc>
          <w:tcPr>
            <w:tcW w:w="575" w:type="pct"/>
            <w:tcBorders>
              <w:top w:val="single" w:sz="4" w:space="0" w:color="auto"/>
              <w:left w:val="nil"/>
              <w:bottom w:val="single" w:sz="4" w:space="0" w:color="auto"/>
              <w:right w:val="single" w:sz="4" w:space="0" w:color="auto"/>
            </w:tcBorders>
            <w:shd w:val="clear" w:color="auto" w:fill="auto"/>
            <w:vAlign w:val="center"/>
            <w:hideMark/>
          </w:tcPr>
          <w:p w:rsidR="007B1DF6" w:rsidRPr="00BA4F73" w:rsidRDefault="00BE7A73"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2014/</w:t>
            </w:r>
            <w:r w:rsidR="007B1DF6" w:rsidRPr="00BA4F73">
              <w:rPr>
                <w:rFonts w:ascii="Calibri" w:eastAsia="Times New Roman" w:hAnsi="Calibri" w:cs="Times New Roman"/>
                <w:color w:val="000000" w:themeColor="text1"/>
                <w:lang w:eastAsia="en-GB"/>
              </w:rPr>
              <w:t>15</w:t>
            </w:r>
          </w:p>
        </w:tc>
        <w:tc>
          <w:tcPr>
            <w:tcW w:w="494" w:type="pct"/>
            <w:tcBorders>
              <w:top w:val="single" w:sz="4" w:space="0" w:color="auto"/>
              <w:left w:val="nil"/>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 of total</w:t>
            </w:r>
          </w:p>
        </w:tc>
        <w:tc>
          <w:tcPr>
            <w:tcW w:w="578" w:type="pct"/>
            <w:tcBorders>
              <w:top w:val="single" w:sz="4" w:space="0" w:color="auto"/>
              <w:left w:val="nil"/>
              <w:bottom w:val="single" w:sz="4" w:space="0" w:color="auto"/>
              <w:right w:val="single" w:sz="4" w:space="0" w:color="auto"/>
            </w:tcBorders>
            <w:shd w:val="clear" w:color="auto" w:fill="auto"/>
            <w:vAlign w:val="center"/>
            <w:hideMark/>
          </w:tcPr>
          <w:p w:rsidR="007B1DF6" w:rsidRPr="00BA4F73" w:rsidRDefault="00BE7A73"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2015/</w:t>
            </w:r>
            <w:r w:rsidR="007B1DF6" w:rsidRPr="00BA4F73">
              <w:rPr>
                <w:rFonts w:ascii="Calibri" w:eastAsia="Times New Roman" w:hAnsi="Calibri" w:cs="Times New Roman"/>
                <w:color w:val="000000" w:themeColor="text1"/>
                <w:lang w:eastAsia="en-GB"/>
              </w:rPr>
              <w:t>16</w:t>
            </w:r>
          </w:p>
        </w:tc>
        <w:tc>
          <w:tcPr>
            <w:tcW w:w="573" w:type="pct"/>
            <w:tcBorders>
              <w:top w:val="single" w:sz="4" w:space="0" w:color="auto"/>
              <w:left w:val="nil"/>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 of total</w:t>
            </w:r>
          </w:p>
        </w:tc>
      </w:tr>
      <w:tr w:rsidR="007B1DF6" w:rsidRPr="00BA4F73" w:rsidTr="007B1DF6">
        <w:trPr>
          <w:trHeight w:val="557"/>
        </w:trPr>
        <w:tc>
          <w:tcPr>
            <w:tcW w:w="1710" w:type="pct"/>
            <w:tcBorders>
              <w:top w:val="nil"/>
              <w:left w:val="single" w:sz="4" w:space="0" w:color="auto"/>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Action Under Safeguarding: Risk Removed</w:t>
            </w:r>
          </w:p>
        </w:tc>
        <w:tc>
          <w:tcPr>
            <w:tcW w:w="576" w:type="pct"/>
            <w:tcBorders>
              <w:top w:val="nil"/>
              <w:left w:val="nil"/>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29</w:t>
            </w:r>
          </w:p>
        </w:tc>
        <w:tc>
          <w:tcPr>
            <w:tcW w:w="494" w:type="pct"/>
            <w:tcBorders>
              <w:top w:val="nil"/>
              <w:left w:val="nil"/>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6%</w:t>
            </w:r>
          </w:p>
        </w:tc>
        <w:tc>
          <w:tcPr>
            <w:tcW w:w="575" w:type="pct"/>
            <w:tcBorders>
              <w:top w:val="nil"/>
              <w:left w:val="nil"/>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75</w:t>
            </w:r>
          </w:p>
        </w:tc>
        <w:tc>
          <w:tcPr>
            <w:tcW w:w="494" w:type="pct"/>
            <w:tcBorders>
              <w:top w:val="nil"/>
              <w:left w:val="nil"/>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15%</w:t>
            </w:r>
          </w:p>
        </w:tc>
        <w:tc>
          <w:tcPr>
            <w:tcW w:w="578" w:type="pct"/>
            <w:tcBorders>
              <w:top w:val="nil"/>
              <w:left w:val="nil"/>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54</w:t>
            </w:r>
          </w:p>
        </w:tc>
        <w:tc>
          <w:tcPr>
            <w:tcW w:w="573" w:type="pct"/>
            <w:tcBorders>
              <w:top w:val="nil"/>
              <w:left w:val="nil"/>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10%</w:t>
            </w:r>
          </w:p>
        </w:tc>
      </w:tr>
      <w:tr w:rsidR="007B1DF6" w:rsidRPr="00BA4F73" w:rsidTr="007B1DF6">
        <w:trPr>
          <w:trHeight w:val="557"/>
        </w:trPr>
        <w:tc>
          <w:tcPr>
            <w:tcW w:w="1710" w:type="pct"/>
            <w:tcBorders>
              <w:top w:val="nil"/>
              <w:left w:val="single" w:sz="4" w:space="0" w:color="auto"/>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Action Under Safeguarding: Risk Reduced</w:t>
            </w:r>
          </w:p>
        </w:tc>
        <w:tc>
          <w:tcPr>
            <w:tcW w:w="576" w:type="pct"/>
            <w:tcBorders>
              <w:top w:val="nil"/>
              <w:left w:val="nil"/>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146</w:t>
            </w:r>
          </w:p>
        </w:tc>
        <w:tc>
          <w:tcPr>
            <w:tcW w:w="494" w:type="pct"/>
            <w:tcBorders>
              <w:top w:val="nil"/>
              <w:left w:val="nil"/>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32%</w:t>
            </w:r>
          </w:p>
        </w:tc>
        <w:tc>
          <w:tcPr>
            <w:tcW w:w="575" w:type="pct"/>
            <w:tcBorders>
              <w:top w:val="nil"/>
              <w:left w:val="nil"/>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284</w:t>
            </w:r>
          </w:p>
        </w:tc>
        <w:tc>
          <w:tcPr>
            <w:tcW w:w="494" w:type="pct"/>
            <w:tcBorders>
              <w:top w:val="nil"/>
              <w:left w:val="nil"/>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55%</w:t>
            </w:r>
          </w:p>
        </w:tc>
        <w:tc>
          <w:tcPr>
            <w:tcW w:w="578" w:type="pct"/>
            <w:tcBorders>
              <w:top w:val="nil"/>
              <w:left w:val="nil"/>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214</w:t>
            </w:r>
          </w:p>
        </w:tc>
        <w:tc>
          <w:tcPr>
            <w:tcW w:w="573" w:type="pct"/>
            <w:tcBorders>
              <w:top w:val="nil"/>
              <w:left w:val="nil"/>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38%</w:t>
            </w:r>
          </w:p>
        </w:tc>
      </w:tr>
      <w:tr w:rsidR="007B1DF6" w:rsidRPr="00BA4F73" w:rsidTr="007B1DF6">
        <w:trPr>
          <w:trHeight w:val="557"/>
        </w:trPr>
        <w:tc>
          <w:tcPr>
            <w:tcW w:w="1710" w:type="pct"/>
            <w:tcBorders>
              <w:top w:val="nil"/>
              <w:left w:val="single" w:sz="4" w:space="0" w:color="auto"/>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Action Under Safeguarding: Risk Remains</w:t>
            </w:r>
          </w:p>
        </w:tc>
        <w:tc>
          <w:tcPr>
            <w:tcW w:w="576" w:type="pct"/>
            <w:tcBorders>
              <w:top w:val="nil"/>
              <w:left w:val="nil"/>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34</w:t>
            </w:r>
          </w:p>
        </w:tc>
        <w:tc>
          <w:tcPr>
            <w:tcW w:w="494" w:type="pct"/>
            <w:tcBorders>
              <w:top w:val="nil"/>
              <w:left w:val="nil"/>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8%</w:t>
            </w:r>
          </w:p>
        </w:tc>
        <w:tc>
          <w:tcPr>
            <w:tcW w:w="575" w:type="pct"/>
            <w:tcBorders>
              <w:top w:val="nil"/>
              <w:left w:val="nil"/>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48</w:t>
            </w:r>
          </w:p>
        </w:tc>
        <w:tc>
          <w:tcPr>
            <w:tcW w:w="494" w:type="pct"/>
            <w:tcBorders>
              <w:top w:val="nil"/>
              <w:left w:val="nil"/>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9%</w:t>
            </w:r>
          </w:p>
        </w:tc>
        <w:tc>
          <w:tcPr>
            <w:tcW w:w="578" w:type="pct"/>
            <w:tcBorders>
              <w:top w:val="nil"/>
              <w:left w:val="nil"/>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58</w:t>
            </w:r>
          </w:p>
        </w:tc>
        <w:tc>
          <w:tcPr>
            <w:tcW w:w="573" w:type="pct"/>
            <w:tcBorders>
              <w:top w:val="nil"/>
              <w:left w:val="nil"/>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10%</w:t>
            </w:r>
          </w:p>
        </w:tc>
      </w:tr>
      <w:tr w:rsidR="007B1DF6" w:rsidRPr="00BA4F73" w:rsidTr="007B1DF6">
        <w:trPr>
          <w:trHeight w:val="557"/>
        </w:trPr>
        <w:tc>
          <w:tcPr>
            <w:tcW w:w="1710" w:type="pct"/>
            <w:tcBorders>
              <w:top w:val="nil"/>
              <w:left w:val="single" w:sz="4" w:space="0" w:color="auto"/>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No Further Action Under Safeguarding</w:t>
            </w:r>
          </w:p>
        </w:tc>
        <w:tc>
          <w:tcPr>
            <w:tcW w:w="576" w:type="pct"/>
            <w:tcBorders>
              <w:top w:val="nil"/>
              <w:left w:val="nil"/>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242</w:t>
            </w:r>
          </w:p>
        </w:tc>
        <w:tc>
          <w:tcPr>
            <w:tcW w:w="494" w:type="pct"/>
            <w:tcBorders>
              <w:top w:val="nil"/>
              <w:left w:val="nil"/>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54%</w:t>
            </w:r>
          </w:p>
        </w:tc>
        <w:tc>
          <w:tcPr>
            <w:tcW w:w="575" w:type="pct"/>
            <w:tcBorders>
              <w:top w:val="nil"/>
              <w:left w:val="nil"/>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106</w:t>
            </w:r>
          </w:p>
        </w:tc>
        <w:tc>
          <w:tcPr>
            <w:tcW w:w="494" w:type="pct"/>
            <w:tcBorders>
              <w:top w:val="nil"/>
              <w:left w:val="nil"/>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21%</w:t>
            </w:r>
          </w:p>
        </w:tc>
        <w:tc>
          <w:tcPr>
            <w:tcW w:w="578" w:type="pct"/>
            <w:tcBorders>
              <w:top w:val="nil"/>
              <w:left w:val="nil"/>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242</w:t>
            </w:r>
          </w:p>
        </w:tc>
        <w:tc>
          <w:tcPr>
            <w:tcW w:w="573" w:type="pct"/>
            <w:tcBorders>
              <w:top w:val="nil"/>
              <w:left w:val="nil"/>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43%</w:t>
            </w:r>
          </w:p>
        </w:tc>
      </w:tr>
      <w:tr w:rsidR="007B1DF6" w:rsidRPr="00BA4F73" w:rsidTr="007B1DF6">
        <w:trPr>
          <w:trHeight w:val="557"/>
        </w:trPr>
        <w:tc>
          <w:tcPr>
            <w:tcW w:w="1710" w:type="pct"/>
            <w:tcBorders>
              <w:top w:val="nil"/>
              <w:left w:val="single" w:sz="4" w:space="0" w:color="auto"/>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b/>
                <w:bCs/>
                <w:color w:val="000000" w:themeColor="text1"/>
                <w:lang w:eastAsia="en-GB"/>
              </w:rPr>
            </w:pPr>
            <w:r w:rsidRPr="00BA4F73">
              <w:rPr>
                <w:rFonts w:ascii="Calibri" w:eastAsia="Times New Roman" w:hAnsi="Calibri" w:cs="Times New Roman"/>
                <w:b/>
                <w:bCs/>
                <w:color w:val="000000" w:themeColor="text1"/>
                <w:lang w:eastAsia="en-GB"/>
              </w:rPr>
              <w:t>Total Concluded Enquiries</w:t>
            </w:r>
          </w:p>
        </w:tc>
        <w:tc>
          <w:tcPr>
            <w:tcW w:w="576" w:type="pct"/>
            <w:tcBorders>
              <w:top w:val="nil"/>
              <w:left w:val="nil"/>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451</w:t>
            </w:r>
          </w:p>
        </w:tc>
        <w:tc>
          <w:tcPr>
            <w:tcW w:w="494" w:type="pct"/>
            <w:tcBorders>
              <w:top w:val="nil"/>
              <w:left w:val="nil"/>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100%</w:t>
            </w:r>
          </w:p>
        </w:tc>
        <w:tc>
          <w:tcPr>
            <w:tcW w:w="575" w:type="pct"/>
            <w:tcBorders>
              <w:top w:val="nil"/>
              <w:left w:val="nil"/>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513</w:t>
            </w:r>
          </w:p>
        </w:tc>
        <w:tc>
          <w:tcPr>
            <w:tcW w:w="494" w:type="pct"/>
            <w:tcBorders>
              <w:top w:val="nil"/>
              <w:left w:val="nil"/>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100%</w:t>
            </w:r>
          </w:p>
        </w:tc>
        <w:tc>
          <w:tcPr>
            <w:tcW w:w="578" w:type="pct"/>
            <w:tcBorders>
              <w:top w:val="nil"/>
              <w:left w:val="nil"/>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568</w:t>
            </w:r>
          </w:p>
        </w:tc>
        <w:tc>
          <w:tcPr>
            <w:tcW w:w="573" w:type="pct"/>
            <w:tcBorders>
              <w:top w:val="nil"/>
              <w:left w:val="nil"/>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100%</w:t>
            </w:r>
          </w:p>
        </w:tc>
      </w:tr>
    </w:tbl>
    <w:p w:rsidR="00A51DCD" w:rsidRPr="00BA4F73" w:rsidRDefault="00A51DCD" w:rsidP="00AA4B5B">
      <w:pPr>
        <w:rPr>
          <w:rFonts w:cs="Times New Roman"/>
          <w:color w:val="000000" w:themeColor="text1"/>
          <w:szCs w:val="24"/>
        </w:rPr>
      </w:pPr>
    </w:p>
    <w:p w:rsidR="007B1DF6" w:rsidRPr="00BA4F73" w:rsidRDefault="007B1DF6" w:rsidP="00AA4B5B">
      <w:pPr>
        <w:rPr>
          <w:rFonts w:cs="Times New Roman"/>
          <w:color w:val="000000" w:themeColor="text1"/>
          <w:szCs w:val="24"/>
        </w:rPr>
      </w:pPr>
    </w:p>
    <w:p w:rsidR="007B1DF6" w:rsidRPr="00BA4F73" w:rsidRDefault="007B1DF6" w:rsidP="00AA4B5B">
      <w:pPr>
        <w:rPr>
          <w:rFonts w:cs="Times New Roman"/>
          <w:color w:val="000000" w:themeColor="text1"/>
          <w:szCs w:val="24"/>
        </w:rPr>
      </w:pPr>
    </w:p>
    <w:p w:rsidR="007B1DF6" w:rsidRPr="00BA4F73" w:rsidRDefault="007B1DF6" w:rsidP="00AA4B5B">
      <w:pPr>
        <w:rPr>
          <w:rFonts w:cs="Times New Roman"/>
          <w:color w:val="000000" w:themeColor="text1"/>
          <w:szCs w:val="24"/>
        </w:rPr>
      </w:pPr>
    </w:p>
    <w:p w:rsidR="001F4F92" w:rsidRPr="00BA4F73" w:rsidRDefault="001F4F92" w:rsidP="007B1DF6">
      <w:pPr>
        <w:rPr>
          <w:rFonts w:cs="Times New Roman"/>
          <w:color w:val="000000" w:themeColor="text1"/>
          <w:szCs w:val="24"/>
        </w:rPr>
      </w:pPr>
    </w:p>
    <w:p w:rsidR="009004AA" w:rsidRDefault="009004AA" w:rsidP="007B1DF6">
      <w:pPr>
        <w:rPr>
          <w:rFonts w:cs="Times New Roman"/>
          <w:color w:val="000000" w:themeColor="text1"/>
          <w:szCs w:val="24"/>
        </w:rPr>
      </w:pPr>
    </w:p>
    <w:p w:rsidR="007B1DF6" w:rsidRPr="00BA4F73" w:rsidRDefault="001F4F92" w:rsidP="007B1DF6">
      <w:pPr>
        <w:rPr>
          <w:rFonts w:cs="Times New Roman"/>
          <w:color w:val="000000" w:themeColor="text1"/>
          <w:szCs w:val="24"/>
        </w:rPr>
      </w:pPr>
      <w:r w:rsidRPr="00BA4F73">
        <w:rPr>
          <w:rFonts w:cs="Times New Roman"/>
          <w:color w:val="000000" w:themeColor="text1"/>
          <w:szCs w:val="24"/>
        </w:rPr>
        <w:t xml:space="preserve">Figure 6 </w:t>
      </w:r>
      <w:r w:rsidR="005829C1" w:rsidRPr="00BA4F73">
        <w:rPr>
          <w:rFonts w:cs="Times New Roman"/>
          <w:color w:val="000000" w:themeColor="text1"/>
          <w:szCs w:val="24"/>
        </w:rPr>
        <w:t>shows concluded enquiries by result</w:t>
      </w:r>
      <w:r w:rsidR="00D0259F" w:rsidRPr="00BA4F73">
        <w:rPr>
          <w:rFonts w:cs="Times New Roman"/>
          <w:color w:val="000000" w:themeColor="text1"/>
          <w:szCs w:val="24"/>
        </w:rPr>
        <w:t xml:space="preserve"> for </w:t>
      </w:r>
      <w:r w:rsidR="004F3B07" w:rsidRPr="00BA4F73">
        <w:rPr>
          <w:rFonts w:cs="Times New Roman"/>
          <w:color w:val="000000" w:themeColor="text1"/>
          <w:szCs w:val="24"/>
        </w:rPr>
        <w:t>2015/</w:t>
      </w:r>
      <w:r w:rsidR="00D0259F" w:rsidRPr="00BA4F73">
        <w:rPr>
          <w:rFonts w:cs="Times New Roman"/>
          <w:color w:val="000000" w:themeColor="text1"/>
          <w:szCs w:val="24"/>
        </w:rPr>
        <w:t>16</w:t>
      </w:r>
      <w:r w:rsidR="005829C1" w:rsidRPr="00BA4F73">
        <w:rPr>
          <w:rFonts w:cs="Times New Roman"/>
          <w:color w:val="000000" w:themeColor="text1"/>
          <w:szCs w:val="24"/>
        </w:rPr>
        <w:t xml:space="preserve">. </w:t>
      </w:r>
      <w:r w:rsidR="004F3B07" w:rsidRPr="00BA4F73">
        <w:rPr>
          <w:rFonts w:cs="Times New Roman"/>
          <w:color w:val="000000" w:themeColor="text1"/>
          <w:szCs w:val="24"/>
        </w:rPr>
        <w:t>N</w:t>
      </w:r>
      <w:r w:rsidR="005829C1" w:rsidRPr="00BA4F73">
        <w:rPr>
          <w:rFonts w:cs="Times New Roman"/>
          <w:color w:val="000000" w:themeColor="text1"/>
          <w:szCs w:val="24"/>
        </w:rPr>
        <w:t>o action was taken under safeguarding</w:t>
      </w:r>
      <w:r w:rsidR="004F3B07" w:rsidRPr="00BA4F73">
        <w:rPr>
          <w:rFonts w:cs="Times New Roman"/>
          <w:color w:val="000000" w:themeColor="text1"/>
          <w:szCs w:val="24"/>
        </w:rPr>
        <w:t xml:space="preserve"> in </w:t>
      </w:r>
      <w:r w:rsidRPr="00BA4F73">
        <w:rPr>
          <w:rFonts w:cs="Times New Roman"/>
          <w:color w:val="000000" w:themeColor="text1"/>
        </w:rPr>
        <w:t>43</w:t>
      </w:r>
      <w:r w:rsidR="004F3B07" w:rsidRPr="00BA4F73">
        <w:rPr>
          <w:rFonts w:cs="Times New Roman"/>
          <w:color w:val="000000" w:themeColor="text1"/>
          <w:szCs w:val="24"/>
        </w:rPr>
        <w:t>% of cases, while the ri</w:t>
      </w:r>
      <w:r w:rsidR="00602DBC" w:rsidRPr="00BA4F73">
        <w:rPr>
          <w:rFonts w:cs="Times New Roman"/>
          <w:color w:val="000000" w:themeColor="text1"/>
          <w:szCs w:val="24"/>
        </w:rPr>
        <w:t xml:space="preserve">sk was reduced or removed in </w:t>
      </w:r>
      <w:r w:rsidRPr="00BA4F73">
        <w:rPr>
          <w:rFonts w:cs="Times New Roman"/>
          <w:color w:val="000000" w:themeColor="text1"/>
        </w:rPr>
        <w:t>47</w:t>
      </w:r>
      <w:r w:rsidR="004F3B07" w:rsidRPr="00BA4F73">
        <w:rPr>
          <w:rFonts w:cs="Times New Roman"/>
          <w:color w:val="000000" w:themeColor="text1"/>
          <w:szCs w:val="24"/>
        </w:rPr>
        <w:t>% of cases.</w:t>
      </w:r>
    </w:p>
    <w:p w:rsidR="00A51DCD" w:rsidRPr="00BA4F73" w:rsidRDefault="007B1DF6" w:rsidP="00A51DCD">
      <w:pPr>
        <w:pStyle w:val="Caption"/>
        <w:keepNext/>
        <w:rPr>
          <w:rFonts w:cs="Arial"/>
          <w:color w:val="000000" w:themeColor="text1"/>
          <w:sz w:val="22"/>
          <w:szCs w:val="22"/>
        </w:rPr>
      </w:pPr>
      <w:r w:rsidRPr="00BA4F73">
        <w:rPr>
          <w:rFonts w:cs="Arial"/>
          <w:color w:val="000000" w:themeColor="text1"/>
          <w:sz w:val="22"/>
          <w:szCs w:val="22"/>
        </w:rPr>
        <w:t xml:space="preserve">Figure 6 </w:t>
      </w:r>
      <w:r w:rsidR="005C19C0" w:rsidRPr="00BA4F73">
        <w:rPr>
          <w:rFonts w:cs="Arial"/>
          <w:color w:val="000000" w:themeColor="text1"/>
          <w:sz w:val="22"/>
          <w:szCs w:val="22"/>
        </w:rPr>
        <w:t>– Conc</w:t>
      </w:r>
      <w:r w:rsidR="00BE7A73" w:rsidRPr="00BA4F73">
        <w:rPr>
          <w:rFonts w:cs="Arial"/>
          <w:color w:val="000000" w:themeColor="text1"/>
          <w:sz w:val="22"/>
          <w:szCs w:val="22"/>
        </w:rPr>
        <w:t>luded enquiries by result, 2015/</w:t>
      </w:r>
      <w:r w:rsidR="005C19C0" w:rsidRPr="00BA4F73">
        <w:rPr>
          <w:rFonts w:cs="Arial"/>
          <w:color w:val="000000" w:themeColor="text1"/>
          <w:sz w:val="22"/>
          <w:szCs w:val="22"/>
        </w:rPr>
        <w:t>16</w:t>
      </w:r>
    </w:p>
    <w:p w:rsidR="005829C1" w:rsidRPr="00BA4F73" w:rsidRDefault="007B1DF6" w:rsidP="00AA4B5B">
      <w:pPr>
        <w:rPr>
          <w:rFonts w:cs="Times New Roman"/>
          <w:noProof/>
          <w:color w:val="000000" w:themeColor="text1"/>
          <w:sz w:val="24"/>
          <w:szCs w:val="24"/>
          <w:lang w:eastAsia="en-GB"/>
        </w:rPr>
      </w:pPr>
      <w:r w:rsidRPr="00BA4F73">
        <w:rPr>
          <w:noProof/>
          <w:color w:val="000000" w:themeColor="text1"/>
          <w:lang w:eastAsia="en-GB"/>
        </w:rPr>
        <w:drawing>
          <wp:inline distT="0" distB="0" distL="0" distR="0" wp14:anchorId="3318914C" wp14:editId="508AE966">
            <wp:extent cx="4695825" cy="2466975"/>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51DCD" w:rsidRPr="00BA4F73" w:rsidRDefault="00A51DCD" w:rsidP="00AA4B5B">
      <w:pPr>
        <w:rPr>
          <w:rFonts w:cs="Times New Roman"/>
          <w:color w:val="000000" w:themeColor="text1"/>
          <w:sz w:val="24"/>
          <w:szCs w:val="24"/>
        </w:rPr>
      </w:pPr>
    </w:p>
    <w:p w:rsidR="0060168C" w:rsidRPr="00BA4F73" w:rsidRDefault="001F4F92" w:rsidP="00AA4B5B">
      <w:pPr>
        <w:rPr>
          <w:rFonts w:cs="Times New Roman"/>
          <w:color w:val="000000" w:themeColor="text1"/>
          <w:szCs w:val="24"/>
        </w:rPr>
      </w:pPr>
      <w:r w:rsidRPr="00BA4F73">
        <w:rPr>
          <w:rFonts w:cs="Times New Roman"/>
          <w:color w:val="000000" w:themeColor="text1"/>
          <w:szCs w:val="24"/>
        </w:rPr>
        <w:t xml:space="preserve">Figure 7 </w:t>
      </w:r>
      <w:r w:rsidR="00E806ED" w:rsidRPr="00BA4F73">
        <w:rPr>
          <w:rFonts w:cs="Times New Roman"/>
          <w:color w:val="000000" w:themeColor="text1"/>
          <w:szCs w:val="24"/>
        </w:rPr>
        <w:t>shows</w:t>
      </w:r>
      <w:r w:rsidR="00F150B9" w:rsidRPr="00BA4F73">
        <w:rPr>
          <w:rFonts w:cs="Times New Roman"/>
          <w:color w:val="000000" w:themeColor="text1"/>
          <w:szCs w:val="24"/>
        </w:rPr>
        <w:t xml:space="preserve"> a breakdown of the</w:t>
      </w:r>
      <w:r w:rsidR="00E806ED" w:rsidRPr="00BA4F73">
        <w:rPr>
          <w:rFonts w:cs="Times New Roman"/>
          <w:color w:val="000000" w:themeColor="text1"/>
          <w:szCs w:val="24"/>
        </w:rPr>
        <w:t xml:space="preserve"> results of action taken for concluded enquiries by source of risk</w:t>
      </w:r>
      <w:r w:rsidR="00C24C47" w:rsidRPr="00BA4F73">
        <w:rPr>
          <w:rFonts w:cs="Times New Roman"/>
          <w:color w:val="000000" w:themeColor="text1"/>
          <w:szCs w:val="24"/>
        </w:rPr>
        <w:t xml:space="preserve"> for 2015/16</w:t>
      </w:r>
      <w:r w:rsidR="00E806ED" w:rsidRPr="00BA4F73">
        <w:rPr>
          <w:rFonts w:cs="Times New Roman"/>
          <w:color w:val="000000" w:themeColor="text1"/>
          <w:szCs w:val="24"/>
        </w:rPr>
        <w:t xml:space="preserve">. </w:t>
      </w:r>
      <w:r w:rsidR="002301B7" w:rsidRPr="00BA4F73">
        <w:rPr>
          <w:rFonts w:cs="Times New Roman"/>
          <w:color w:val="000000" w:themeColor="text1"/>
          <w:szCs w:val="24"/>
        </w:rPr>
        <w:t xml:space="preserve">For the majority of cases where action was taken and the risk was reduced or remained the main source of risk was other individuals known to that individual. This is especially noticeable in cases where the risk remains (88% of alleged perpetrators were known to the individual). </w:t>
      </w:r>
    </w:p>
    <w:p w:rsidR="005829C1" w:rsidRPr="00BA4F73" w:rsidRDefault="002301B7" w:rsidP="00AA4B5B">
      <w:pPr>
        <w:rPr>
          <w:rFonts w:cs="Times New Roman"/>
          <w:color w:val="000000" w:themeColor="text1"/>
          <w:szCs w:val="24"/>
        </w:rPr>
      </w:pPr>
      <w:r w:rsidRPr="00BA4F73">
        <w:rPr>
          <w:rFonts w:cs="Times New Roman"/>
          <w:color w:val="000000" w:themeColor="text1"/>
          <w:szCs w:val="24"/>
        </w:rPr>
        <w:t>Cases where the risk was removed show a higher proportion in the Social Care Support group demonstrating maybe those cases where alleged abuse has taken place in a person’s own home by paid staff</w:t>
      </w:r>
      <w:r w:rsidR="0060168C" w:rsidRPr="00BA4F73">
        <w:rPr>
          <w:rFonts w:cs="Times New Roman"/>
          <w:color w:val="000000" w:themeColor="text1"/>
          <w:szCs w:val="24"/>
        </w:rPr>
        <w:t xml:space="preserve"> contracted or commissioned to provide social care.</w:t>
      </w:r>
    </w:p>
    <w:p w:rsidR="00495AF2" w:rsidRPr="00BA4F73" w:rsidRDefault="0060168C" w:rsidP="0060168C">
      <w:pPr>
        <w:rPr>
          <w:rFonts w:cs="Times New Roman"/>
          <w:color w:val="000000" w:themeColor="text1"/>
          <w:szCs w:val="24"/>
        </w:rPr>
      </w:pPr>
      <w:r w:rsidRPr="00BA4F73">
        <w:rPr>
          <w:rFonts w:cs="Times New Roman"/>
          <w:color w:val="000000" w:themeColor="text1"/>
          <w:szCs w:val="24"/>
        </w:rPr>
        <w:t>Where no action was taken the largest proportion (51%) was attributed to people known to the ind</w:t>
      </w:r>
      <w:r w:rsidR="00BE7A73" w:rsidRPr="00BA4F73">
        <w:rPr>
          <w:rFonts w:cs="Times New Roman"/>
          <w:color w:val="000000" w:themeColor="text1"/>
          <w:szCs w:val="24"/>
        </w:rPr>
        <w:t xml:space="preserve">ividual so probably relates to </w:t>
      </w:r>
      <w:r w:rsidRPr="00BA4F73">
        <w:rPr>
          <w:rFonts w:cs="Times New Roman"/>
          <w:color w:val="000000" w:themeColor="text1"/>
          <w:szCs w:val="24"/>
        </w:rPr>
        <w:t>family members for example where an enquiry was raised but not substantiated.</w:t>
      </w:r>
    </w:p>
    <w:p w:rsidR="0060168C" w:rsidRPr="00BA4F73" w:rsidRDefault="0060168C" w:rsidP="005C19C0">
      <w:pPr>
        <w:pStyle w:val="Caption"/>
        <w:keepNext/>
        <w:rPr>
          <w:rFonts w:cs="Arial"/>
          <w:color w:val="000000" w:themeColor="text1"/>
          <w:sz w:val="22"/>
          <w:szCs w:val="22"/>
        </w:rPr>
      </w:pPr>
    </w:p>
    <w:p w:rsidR="005C19C0" w:rsidRPr="00BA4F73" w:rsidRDefault="00495AF2" w:rsidP="005C19C0">
      <w:pPr>
        <w:pStyle w:val="Caption"/>
        <w:keepNext/>
        <w:rPr>
          <w:rFonts w:cs="Arial"/>
          <w:color w:val="000000" w:themeColor="text1"/>
          <w:sz w:val="22"/>
          <w:szCs w:val="22"/>
        </w:rPr>
      </w:pPr>
      <w:r w:rsidRPr="00BA4F73">
        <w:rPr>
          <w:rFonts w:cs="Arial"/>
          <w:color w:val="000000" w:themeColor="text1"/>
          <w:sz w:val="22"/>
          <w:szCs w:val="22"/>
        </w:rPr>
        <w:t xml:space="preserve">Figure 7 </w:t>
      </w:r>
      <w:r w:rsidR="005C19C0" w:rsidRPr="00BA4F73">
        <w:rPr>
          <w:rFonts w:cs="Arial"/>
          <w:color w:val="000000" w:themeColor="text1"/>
          <w:sz w:val="22"/>
          <w:szCs w:val="22"/>
        </w:rPr>
        <w:t>– Concluded enquiries by result of action taken and source of risk</w:t>
      </w:r>
      <w:r w:rsidR="00BE7A73" w:rsidRPr="00BA4F73">
        <w:rPr>
          <w:rFonts w:cs="Arial"/>
          <w:color w:val="000000" w:themeColor="text1"/>
          <w:sz w:val="22"/>
          <w:szCs w:val="22"/>
        </w:rPr>
        <w:t xml:space="preserve"> 2015/</w:t>
      </w:r>
      <w:r w:rsidR="007B1DF6" w:rsidRPr="00BA4F73">
        <w:rPr>
          <w:rFonts w:cs="Arial"/>
          <w:color w:val="000000" w:themeColor="text1"/>
          <w:sz w:val="22"/>
          <w:szCs w:val="22"/>
        </w:rPr>
        <w:t>16</w:t>
      </w:r>
    </w:p>
    <w:p w:rsidR="006153E7" w:rsidRPr="00BA4F73" w:rsidRDefault="00495AF2" w:rsidP="00BC4E6D">
      <w:pPr>
        <w:rPr>
          <w:rFonts w:cs="Times New Roman"/>
          <w:noProof/>
          <w:color w:val="000000" w:themeColor="text1"/>
          <w:sz w:val="24"/>
          <w:szCs w:val="24"/>
          <w:lang w:eastAsia="en-GB"/>
        </w:rPr>
      </w:pPr>
      <w:r w:rsidRPr="00BA4F73">
        <w:rPr>
          <w:noProof/>
          <w:color w:val="000000" w:themeColor="text1"/>
          <w:sz w:val="18"/>
          <w:szCs w:val="18"/>
          <w:lang w:eastAsia="en-GB"/>
        </w:rPr>
        <w:drawing>
          <wp:inline distT="0" distB="0" distL="0" distR="0" wp14:anchorId="7C28D142" wp14:editId="44F0BDB3">
            <wp:extent cx="5731510" cy="2456099"/>
            <wp:effectExtent l="0" t="0" r="2540" b="190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51DCD" w:rsidRPr="00BA4F73" w:rsidRDefault="00A51DCD" w:rsidP="00BC4E6D">
      <w:pPr>
        <w:rPr>
          <w:rFonts w:cs="Times New Roman"/>
          <w:noProof/>
          <w:color w:val="000000" w:themeColor="text1"/>
          <w:sz w:val="24"/>
          <w:szCs w:val="24"/>
          <w:lang w:eastAsia="en-GB"/>
        </w:rPr>
      </w:pPr>
    </w:p>
    <w:p w:rsidR="00DB4AB6" w:rsidRPr="00BA4F73" w:rsidRDefault="00DB4AB6" w:rsidP="00DB4AB6">
      <w:pPr>
        <w:pStyle w:val="Heading3"/>
        <w:rPr>
          <w:rFonts w:ascii="Arial" w:hAnsi="Arial" w:cs="Arial"/>
          <w:color w:val="000000" w:themeColor="text1"/>
        </w:rPr>
      </w:pPr>
      <w:r w:rsidRPr="00BA4F73">
        <w:rPr>
          <w:rFonts w:ascii="Arial" w:hAnsi="Arial" w:cs="Arial"/>
          <w:color w:val="000000" w:themeColor="text1"/>
        </w:rPr>
        <w:t>Outcomes for the person at risk</w:t>
      </w:r>
    </w:p>
    <w:p w:rsidR="00BE7A73" w:rsidRPr="00BA4F73" w:rsidRDefault="00BE7A73" w:rsidP="00BC4E6D">
      <w:pPr>
        <w:rPr>
          <w:rFonts w:cs="Times New Roman"/>
          <w:color w:val="000000" w:themeColor="text1"/>
        </w:rPr>
      </w:pPr>
      <w:r w:rsidRPr="00BA4F73">
        <w:rPr>
          <w:rFonts w:cs="Times New Roman"/>
          <w:color w:val="000000" w:themeColor="text1"/>
        </w:rPr>
        <w:t>Figure 8 shows the Outcomes for the person at risk for concluded enquiries for 2015/16.</w:t>
      </w:r>
    </w:p>
    <w:p w:rsidR="00DB4AB6" w:rsidRPr="00BA4F73" w:rsidRDefault="00DB4AB6" w:rsidP="00BC4E6D">
      <w:pPr>
        <w:rPr>
          <w:rFonts w:cs="Times New Roman"/>
          <w:color w:val="000000" w:themeColor="text1"/>
        </w:rPr>
      </w:pPr>
      <w:r w:rsidRPr="00BA4F73">
        <w:rPr>
          <w:rFonts w:cs="Times New Roman"/>
          <w:color w:val="000000" w:themeColor="text1"/>
        </w:rPr>
        <w:t>The most common outcome</w:t>
      </w:r>
      <w:r w:rsidR="0060168C" w:rsidRPr="00BA4F73">
        <w:rPr>
          <w:rFonts w:cs="Times New Roman"/>
          <w:color w:val="000000" w:themeColor="text1"/>
        </w:rPr>
        <w:t>s</w:t>
      </w:r>
      <w:r w:rsidRPr="00BA4F73">
        <w:rPr>
          <w:rFonts w:cs="Times New Roman"/>
          <w:color w:val="000000" w:themeColor="text1"/>
        </w:rPr>
        <w:t xml:space="preserve"> for concluded enquiries </w:t>
      </w:r>
      <w:r w:rsidR="0060168C" w:rsidRPr="00BA4F73">
        <w:rPr>
          <w:rFonts w:cs="Times New Roman"/>
          <w:color w:val="000000" w:themeColor="text1"/>
        </w:rPr>
        <w:t xml:space="preserve">by far were an increase in monitoring (26%), No further Action (22%) and Community Care Assessment &amp; Services (13%). </w:t>
      </w:r>
      <w:r w:rsidRPr="00BA4F73">
        <w:rPr>
          <w:rFonts w:cs="Times New Roman"/>
          <w:color w:val="000000" w:themeColor="text1"/>
        </w:rPr>
        <w:t>As the chart below includes concluded enquiries which were not substantiated or inconc</w:t>
      </w:r>
      <w:r w:rsidR="0060168C" w:rsidRPr="00BA4F73">
        <w:rPr>
          <w:rFonts w:cs="Times New Roman"/>
          <w:color w:val="000000" w:themeColor="text1"/>
        </w:rPr>
        <w:t xml:space="preserve">lusive this would explain some of the </w:t>
      </w:r>
      <w:r w:rsidR="009004AA">
        <w:rPr>
          <w:rFonts w:cs="Times New Roman"/>
          <w:color w:val="000000" w:themeColor="text1"/>
        </w:rPr>
        <w:t>N</w:t>
      </w:r>
      <w:r w:rsidR="0060168C" w:rsidRPr="00BA4F73">
        <w:rPr>
          <w:rFonts w:cs="Times New Roman"/>
          <w:color w:val="000000" w:themeColor="text1"/>
        </w:rPr>
        <w:t xml:space="preserve">o </w:t>
      </w:r>
      <w:r w:rsidRPr="00BA4F73">
        <w:rPr>
          <w:rFonts w:cs="Times New Roman"/>
          <w:color w:val="000000" w:themeColor="text1"/>
        </w:rPr>
        <w:t>further action outcomes for the person at risk.</w:t>
      </w:r>
    </w:p>
    <w:p w:rsidR="00A51DCD" w:rsidRPr="00BA4F73" w:rsidRDefault="00495AF2" w:rsidP="00BC4E6D">
      <w:pPr>
        <w:rPr>
          <w:rFonts w:cs="Times New Roman"/>
          <w:b/>
          <w:noProof/>
          <w:color w:val="000000" w:themeColor="text1"/>
          <w:lang w:eastAsia="en-GB"/>
        </w:rPr>
      </w:pPr>
      <w:r w:rsidRPr="00BA4F73">
        <w:rPr>
          <w:rFonts w:cs="Times New Roman"/>
          <w:b/>
          <w:noProof/>
          <w:color w:val="000000" w:themeColor="text1"/>
          <w:lang w:eastAsia="en-GB"/>
        </w:rPr>
        <w:t xml:space="preserve">Figure 8 </w:t>
      </w:r>
      <w:r w:rsidR="00A51DCD" w:rsidRPr="00BA4F73">
        <w:rPr>
          <w:rFonts w:cs="Times New Roman"/>
          <w:b/>
          <w:noProof/>
          <w:color w:val="000000" w:themeColor="text1"/>
          <w:lang w:eastAsia="en-GB"/>
        </w:rPr>
        <w:t>- Outcomes for p</w:t>
      </w:r>
      <w:r w:rsidR="00BE7A73" w:rsidRPr="00BA4F73">
        <w:rPr>
          <w:rFonts w:cs="Times New Roman"/>
          <w:b/>
          <w:noProof/>
          <w:color w:val="000000" w:themeColor="text1"/>
          <w:lang w:eastAsia="en-GB"/>
        </w:rPr>
        <w:t>erson at risk, 2015/</w:t>
      </w:r>
      <w:r w:rsidRPr="00BA4F73">
        <w:rPr>
          <w:rFonts w:cs="Times New Roman"/>
          <w:b/>
          <w:noProof/>
          <w:color w:val="000000" w:themeColor="text1"/>
          <w:lang w:eastAsia="en-GB"/>
        </w:rPr>
        <w:t>16</w:t>
      </w:r>
    </w:p>
    <w:p w:rsidR="00A51DCD" w:rsidRPr="00BA4F73" w:rsidRDefault="00495AF2" w:rsidP="00BC4E6D">
      <w:pPr>
        <w:rPr>
          <w:rFonts w:cs="Times New Roman"/>
          <w:noProof/>
          <w:color w:val="000000" w:themeColor="text1"/>
          <w:sz w:val="24"/>
          <w:szCs w:val="24"/>
          <w:lang w:eastAsia="en-GB"/>
        </w:rPr>
      </w:pPr>
      <w:r w:rsidRPr="00BA4F73">
        <w:rPr>
          <w:noProof/>
          <w:color w:val="000000" w:themeColor="text1"/>
          <w:sz w:val="18"/>
          <w:szCs w:val="18"/>
          <w:lang w:eastAsia="en-GB"/>
        </w:rPr>
        <w:drawing>
          <wp:inline distT="0" distB="0" distL="0" distR="0" wp14:anchorId="62AA4515" wp14:editId="3929144A">
            <wp:extent cx="5734050" cy="31623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B4AB6" w:rsidRPr="00BA4F73" w:rsidRDefault="00DB4AB6" w:rsidP="00BC4E6D">
      <w:pPr>
        <w:rPr>
          <w:rFonts w:cs="Times New Roman"/>
          <w:color w:val="000000" w:themeColor="text1"/>
          <w:sz w:val="24"/>
          <w:szCs w:val="24"/>
        </w:rPr>
      </w:pPr>
    </w:p>
    <w:p w:rsidR="004F2688" w:rsidRPr="00BA4F73" w:rsidRDefault="00BC4E6D" w:rsidP="004F3B07">
      <w:pPr>
        <w:pStyle w:val="Heading2"/>
        <w:rPr>
          <w:rFonts w:asciiTheme="minorHAnsi" w:hAnsiTheme="minorHAnsi" w:cs="Arial"/>
          <w:color w:val="000000" w:themeColor="text1"/>
          <w:szCs w:val="22"/>
          <w:u w:val="single"/>
        </w:rPr>
      </w:pPr>
      <w:r w:rsidRPr="00BA4F73">
        <w:rPr>
          <w:rFonts w:asciiTheme="minorHAnsi" w:hAnsiTheme="minorHAnsi" w:cs="Arial"/>
          <w:color w:val="000000" w:themeColor="text1"/>
          <w:szCs w:val="22"/>
          <w:u w:val="single"/>
        </w:rPr>
        <w:t xml:space="preserve">Section 5 - </w:t>
      </w:r>
      <w:r w:rsidR="0011454A" w:rsidRPr="00BA4F73">
        <w:rPr>
          <w:rFonts w:asciiTheme="minorHAnsi" w:hAnsiTheme="minorHAnsi" w:cs="Arial"/>
          <w:color w:val="000000" w:themeColor="text1"/>
          <w:szCs w:val="22"/>
          <w:u w:val="single"/>
        </w:rPr>
        <w:t>M</w:t>
      </w:r>
      <w:r w:rsidR="00AA4B5B" w:rsidRPr="00BA4F73">
        <w:rPr>
          <w:rFonts w:asciiTheme="minorHAnsi" w:hAnsiTheme="minorHAnsi" w:cs="Arial"/>
          <w:color w:val="000000" w:themeColor="text1"/>
          <w:szCs w:val="22"/>
          <w:u w:val="single"/>
        </w:rPr>
        <w:t>ental capacity</w:t>
      </w:r>
    </w:p>
    <w:p w:rsidR="00BE7A73" w:rsidRPr="00BA4F73" w:rsidRDefault="00BE7A73" w:rsidP="00BE7A73">
      <w:pPr>
        <w:rPr>
          <w:color w:val="000000" w:themeColor="text1"/>
        </w:rPr>
      </w:pPr>
    </w:p>
    <w:p w:rsidR="00495AF2" w:rsidRPr="00BA4F73" w:rsidRDefault="0071627B" w:rsidP="00BE7A73">
      <w:pPr>
        <w:rPr>
          <w:rFonts w:cs="Times New Roman"/>
          <w:color w:val="000000" w:themeColor="text1"/>
          <w:szCs w:val="24"/>
        </w:rPr>
      </w:pPr>
      <w:r w:rsidRPr="00BA4F73">
        <w:rPr>
          <w:rFonts w:cs="Times New Roman"/>
          <w:color w:val="000000" w:themeColor="text1"/>
          <w:szCs w:val="24"/>
        </w:rPr>
        <w:t xml:space="preserve">Figure </w:t>
      </w:r>
      <w:r w:rsidR="00BE7A73" w:rsidRPr="00BA4F73">
        <w:rPr>
          <w:rFonts w:cs="Times New Roman"/>
          <w:color w:val="000000" w:themeColor="text1"/>
          <w:szCs w:val="24"/>
        </w:rPr>
        <w:t xml:space="preserve">9 </w:t>
      </w:r>
      <w:r w:rsidR="00A15E1C" w:rsidRPr="00BA4F73">
        <w:rPr>
          <w:rFonts w:cs="Times New Roman"/>
          <w:color w:val="000000" w:themeColor="text1"/>
          <w:szCs w:val="24"/>
        </w:rPr>
        <w:t xml:space="preserve">shows </w:t>
      </w:r>
      <w:r w:rsidR="00BC4E6D" w:rsidRPr="00BA4F73">
        <w:rPr>
          <w:rFonts w:cs="Times New Roman"/>
          <w:color w:val="000000" w:themeColor="text1"/>
          <w:szCs w:val="24"/>
        </w:rPr>
        <w:t xml:space="preserve">the breakdown of </w:t>
      </w:r>
      <w:r w:rsidR="00A15E1C" w:rsidRPr="00BA4F73">
        <w:rPr>
          <w:rFonts w:cs="Times New Roman"/>
          <w:color w:val="000000" w:themeColor="text1"/>
          <w:szCs w:val="24"/>
        </w:rPr>
        <w:t xml:space="preserve">mental capacity for concluded enquiries. </w:t>
      </w:r>
      <w:r w:rsidR="00BE7A73" w:rsidRPr="00BA4F73">
        <w:rPr>
          <w:rFonts w:cs="Times New Roman"/>
          <w:color w:val="000000" w:themeColor="text1"/>
          <w:szCs w:val="24"/>
        </w:rPr>
        <w:t xml:space="preserve"> In 20</w:t>
      </w:r>
      <w:r w:rsidR="00BC4E6D" w:rsidRPr="00BA4F73">
        <w:rPr>
          <w:rFonts w:cs="Times New Roman"/>
          <w:color w:val="000000" w:themeColor="text1"/>
          <w:szCs w:val="24"/>
        </w:rPr>
        <w:t>%</w:t>
      </w:r>
      <w:r w:rsidR="00A15E1C" w:rsidRPr="00BA4F73">
        <w:rPr>
          <w:rFonts w:cs="Times New Roman"/>
          <w:color w:val="000000" w:themeColor="text1"/>
          <w:szCs w:val="24"/>
        </w:rPr>
        <w:t xml:space="preserve"> of cases the individual was found to lack capacity.</w:t>
      </w:r>
      <w:r w:rsidR="00602DBC" w:rsidRPr="00BA4F73">
        <w:rPr>
          <w:rFonts w:cs="Times New Roman"/>
          <w:color w:val="000000" w:themeColor="text1"/>
          <w:szCs w:val="24"/>
        </w:rPr>
        <w:t xml:space="preserve"> </w:t>
      </w:r>
      <w:r w:rsidR="00BE7A73" w:rsidRPr="00BA4F73">
        <w:rPr>
          <w:rFonts w:cs="Times New Roman"/>
          <w:color w:val="000000" w:themeColor="text1"/>
        </w:rPr>
        <w:t xml:space="preserve">68 </w:t>
      </w:r>
      <w:r w:rsidR="00602DBC" w:rsidRPr="00BA4F73">
        <w:rPr>
          <w:rFonts w:cs="Times New Roman"/>
          <w:color w:val="000000" w:themeColor="text1"/>
          <w:szCs w:val="24"/>
        </w:rPr>
        <w:t xml:space="preserve">of the </w:t>
      </w:r>
      <w:r w:rsidR="00BE7A73" w:rsidRPr="00BA4F73">
        <w:rPr>
          <w:rFonts w:cs="Times New Roman"/>
          <w:color w:val="000000" w:themeColor="text1"/>
        </w:rPr>
        <w:t xml:space="preserve">116 </w:t>
      </w:r>
      <w:r w:rsidR="00BC4E6D" w:rsidRPr="00BA4F73">
        <w:rPr>
          <w:rFonts w:cs="Times New Roman"/>
          <w:color w:val="000000" w:themeColor="text1"/>
          <w:szCs w:val="24"/>
        </w:rPr>
        <w:t xml:space="preserve">individuals </w:t>
      </w:r>
      <w:r w:rsidR="00BE7A73" w:rsidRPr="00BA4F73">
        <w:rPr>
          <w:rFonts w:cs="Times New Roman"/>
          <w:color w:val="000000" w:themeColor="text1"/>
          <w:szCs w:val="24"/>
        </w:rPr>
        <w:t xml:space="preserve">(59%) </w:t>
      </w:r>
      <w:r w:rsidR="00BC4E6D" w:rsidRPr="00BA4F73">
        <w:rPr>
          <w:rFonts w:cs="Times New Roman"/>
          <w:color w:val="000000" w:themeColor="text1"/>
          <w:szCs w:val="24"/>
        </w:rPr>
        <w:t>assessed as lacking capacity were supported by an advocate</w:t>
      </w:r>
      <w:r w:rsidR="00BE7A73" w:rsidRPr="00BA4F73">
        <w:rPr>
          <w:rFonts w:cs="Times New Roman"/>
          <w:color w:val="000000" w:themeColor="text1"/>
          <w:szCs w:val="24"/>
        </w:rPr>
        <w:t>, family or friend</w:t>
      </w:r>
      <w:r w:rsidR="00BC4E6D" w:rsidRPr="00BA4F73">
        <w:rPr>
          <w:rFonts w:cs="Times New Roman"/>
          <w:color w:val="000000" w:themeColor="text1"/>
          <w:szCs w:val="24"/>
        </w:rPr>
        <w:t>.</w:t>
      </w:r>
    </w:p>
    <w:p w:rsidR="00BC4E6D" w:rsidRPr="00BA4F73" w:rsidRDefault="00495AF2" w:rsidP="00BC4E6D">
      <w:pPr>
        <w:pStyle w:val="Caption"/>
        <w:keepNext/>
        <w:rPr>
          <w:rFonts w:cs="Arial"/>
          <w:color w:val="000000" w:themeColor="text1"/>
          <w:sz w:val="22"/>
          <w:szCs w:val="22"/>
        </w:rPr>
      </w:pPr>
      <w:r w:rsidRPr="00BA4F73">
        <w:rPr>
          <w:rFonts w:cs="Arial"/>
          <w:color w:val="000000" w:themeColor="text1"/>
          <w:sz w:val="22"/>
          <w:szCs w:val="22"/>
        </w:rPr>
        <w:t xml:space="preserve">Figure 9 </w:t>
      </w:r>
      <w:r w:rsidR="00BC4E6D" w:rsidRPr="00BA4F73">
        <w:rPr>
          <w:rFonts w:cs="Arial"/>
          <w:color w:val="000000" w:themeColor="text1"/>
          <w:sz w:val="22"/>
          <w:szCs w:val="22"/>
        </w:rPr>
        <w:t>– Does the individual lack capacity</w:t>
      </w:r>
      <w:r w:rsidR="00BE7A73" w:rsidRPr="00BA4F73">
        <w:rPr>
          <w:rFonts w:cs="Arial"/>
          <w:color w:val="000000" w:themeColor="text1"/>
          <w:sz w:val="22"/>
          <w:szCs w:val="22"/>
        </w:rPr>
        <w:t xml:space="preserve"> – 2015/</w:t>
      </w:r>
      <w:r w:rsidR="00DB4AB6" w:rsidRPr="00BA4F73">
        <w:rPr>
          <w:rFonts w:cs="Arial"/>
          <w:color w:val="000000" w:themeColor="text1"/>
          <w:sz w:val="22"/>
          <w:szCs w:val="22"/>
        </w:rPr>
        <w:t>16</w:t>
      </w:r>
      <w:r w:rsidRPr="00BA4F73">
        <w:rPr>
          <w:rFonts w:cs="Arial"/>
          <w:color w:val="000000" w:themeColor="text1"/>
          <w:sz w:val="22"/>
          <w:szCs w:val="22"/>
        </w:rPr>
        <w:t>?</w:t>
      </w:r>
    </w:p>
    <w:p w:rsidR="00BC4E6D" w:rsidRPr="00BA4F73" w:rsidRDefault="00495AF2" w:rsidP="000E5F87">
      <w:pPr>
        <w:rPr>
          <w:rFonts w:cs="Times New Roman"/>
          <w:noProof/>
          <w:color w:val="000000" w:themeColor="text1"/>
          <w:szCs w:val="24"/>
          <w:lang w:eastAsia="en-GB"/>
        </w:rPr>
      </w:pPr>
      <w:r w:rsidRPr="00BA4F73">
        <w:rPr>
          <w:noProof/>
          <w:color w:val="000000" w:themeColor="text1"/>
          <w:lang w:eastAsia="en-GB"/>
        </w:rPr>
        <w:drawing>
          <wp:inline distT="0" distB="0" distL="0" distR="0" wp14:anchorId="77FC36AB" wp14:editId="21CA2B85">
            <wp:extent cx="3962400" cy="20955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DB4AB6" w:rsidRPr="00BA4F73" w:rsidRDefault="00DB4AB6" w:rsidP="000E5F87">
      <w:pPr>
        <w:rPr>
          <w:rFonts w:cs="Times New Roman"/>
          <w:noProof/>
          <w:color w:val="000000" w:themeColor="text1"/>
          <w:szCs w:val="24"/>
          <w:lang w:eastAsia="en-GB"/>
        </w:rPr>
      </w:pPr>
    </w:p>
    <w:p w:rsidR="00BE7A73" w:rsidRPr="00BA4F73" w:rsidRDefault="00BE7A73" w:rsidP="00BC4E6D">
      <w:pPr>
        <w:pStyle w:val="Caption"/>
        <w:keepNext/>
        <w:rPr>
          <w:rFonts w:cs="Times New Roman"/>
          <w:b w:val="0"/>
          <w:color w:val="000000" w:themeColor="text1"/>
          <w:sz w:val="22"/>
          <w:szCs w:val="24"/>
        </w:rPr>
      </w:pPr>
    </w:p>
    <w:p w:rsidR="00B22510" w:rsidRPr="00BA4F73" w:rsidRDefault="00BE7A73" w:rsidP="00EA0BEE">
      <w:pPr>
        <w:pStyle w:val="Caption"/>
        <w:keepNext/>
        <w:rPr>
          <w:rFonts w:cs="Times New Roman"/>
          <w:b w:val="0"/>
          <w:color w:val="000000" w:themeColor="text1"/>
          <w:sz w:val="22"/>
          <w:szCs w:val="22"/>
        </w:rPr>
      </w:pPr>
      <w:r w:rsidRPr="00BA4F73">
        <w:rPr>
          <w:rFonts w:cs="Times New Roman"/>
          <w:b w:val="0"/>
          <w:color w:val="000000" w:themeColor="text1"/>
          <w:sz w:val="22"/>
          <w:szCs w:val="22"/>
        </w:rPr>
        <w:t xml:space="preserve">Figure 10 </w:t>
      </w:r>
      <w:r w:rsidR="005E05D8" w:rsidRPr="00BA4F73">
        <w:rPr>
          <w:rFonts w:cs="Times New Roman"/>
          <w:b w:val="0"/>
          <w:color w:val="000000" w:themeColor="text1"/>
          <w:sz w:val="22"/>
          <w:szCs w:val="22"/>
        </w:rPr>
        <w:t xml:space="preserve">shows </w:t>
      </w:r>
      <w:r w:rsidR="00EA0BEE" w:rsidRPr="00BA4F73">
        <w:rPr>
          <w:rFonts w:cs="Times New Roman"/>
          <w:b w:val="0"/>
          <w:color w:val="000000" w:themeColor="text1"/>
          <w:sz w:val="22"/>
          <w:szCs w:val="22"/>
        </w:rPr>
        <w:t xml:space="preserve">a breakdown of individuals lacking </w:t>
      </w:r>
      <w:r w:rsidR="005E05D8" w:rsidRPr="00BA4F73">
        <w:rPr>
          <w:rFonts w:cs="Times New Roman"/>
          <w:b w:val="0"/>
          <w:color w:val="000000" w:themeColor="text1"/>
          <w:sz w:val="22"/>
          <w:szCs w:val="22"/>
        </w:rPr>
        <w:t xml:space="preserve">mental capacity of the person at risk by age group. </w:t>
      </w:r>
      <w:r w:rsidR="00EA0BEE" w:rsidRPr="00BA4F73">
        <w:rPr>
          <w:rFonts w:cs="Times New Roman"/>
          <w:b w:val="0"/>
          <w:color w:val="000000" w:themeColor="text1"/>
          <w:sz w:val="22"/>
          <w:szCs w:val="22"/>
        </w:rPr>
        <w:t>The figure shows the likelihood of the person lacking capacity increases wi</w:t>
      </w:r>
      <w:r w:rsidR="00602DBC" w:rsidRPr="00BA4F73">
        <w:rPr>
          <w:rFonts w:cs="Times New Roman"/>
          <w:b w:val="0"/>
          <w:color w:val="000000" w:themeColor="text1"/>
          <w:sz w:val="22"/>
          <w:szCs w:val="22"/>
        </w:rPr>
        <w:t>th age</w:t>
      </w:r>
      <w:r w:rsidRPr="00BA4F73">
        <w:rPr>
          <w:rFonts w:cs="Times New Roman"/>
          <w:b w:val="0"/>
          <w:color w:val="000000" w:themeColor="text1"/>
          <w:sz w:val="22"/>
          <w:szCs w:val="22"/>
        </w:rPr>
        <w:t>,</w:t>
      </w:r>
      <w:r w:rsidR="00602DBC" w:rsidRPr="00BA4F73">
        <w:rPr>
          <w:rFonts w:cs="Times New Roman"/>
          <w:b w:val="0"/>
          <w:color w:val="000000" w:themeColor="text1"/>
          <w:sz w:val="22"/>
          <w:szCs w:val="22"/>
        </w:rPr>
        <w:t xml:space="preserve"> with people aged </w:t>
      </w:r>
      <w:r w:rsidR="00F845CA" w:rsidRPr="00BA4F73">
        <w:rPr>
          <w:rFonts w:cs="Times New Roman"/>
          <w:b w:val="0"/>
          <w:color w:val="000000" w:themeColor="text1"/>
          <w:sz w:val="22"/>
          <w:szCs w:val="22"/>
        </w:rPr>
        <w:t xml:space="preserve">75+ being </w:t>
      </w:r>
      <w:r w:rsidR="00EA0BEE" w:rsidRPr="00BA4F73">
        <w:rPr>
          <w:rFonts w:cs="Times New Roman"/>
          <w:b w:val="0"/>
          <w:color w:val="000000" w:themeColor="text1"/>
          <w:sz w:val="22"/>
          <w:szCs w:val="22"/>
        </w:rPr>
        <w:t>most likely to lack capacity.</w:t>
      </w:r>
      <w:r w:rsidR="00F845CA" w:rsidRPr="00BA4F73">
        <w:rPr>
          <w:rFonts w:cs="Times New Roman"/>
          <w:b w:val="0"/>
          <w:color w:val="000000" w:themeColor="text1"/>
          <w:sz w:val="22"/>
          <w:szCs w:val="22"/>
        </w:rPr>
        <w:t xml:space="preserve"> Those 95+ had a figure of 29% for those lacking capacity which was marginally larger than the 2 younger age groups. </w:t>
      </w:r>
    </w:p>
    <w:p w:rsidR="00F845CA" w:rsidRPr="00BA4F73" w:rsidRDefault="00F845CA" w:rsidP="00DB4AB6">
      <w:pPr>
        <w:rPr>
          <w:color w:val="000000" w:themeColor="text1"/>
        </w:rPr>
      </w:pPr>
    </w:p>
    <w:p w:rsidR="00DB4AB6" w:rsidRPr="00BA4F73" w:rsidRDefault="00495AF2" w:rsidP="00DB4AB6">
      <w:pPr>
        <w:rPr>
          <w:b/>
          <w:color w:val="000000" w:themeColor="text1"/>
        </w:rPr>
      </w:pPr>
      <w:r w:rsidRPr="00BA4F73">
        <w:rPr>
          <w:b/>
          <w:color w:val="000000" w:themeColor="text1"/>
        </w:rPr>
        <w:t xml:space="preserve">Figure 10 </w:t>
      </w:r>
      <w:r w:rsidR="00DB4AB6" w:rsidRPr="00BA4F73">
        <w:rPr>
          <w:b/>
          <w:color w:val="000000" w:themeColor="text1"/>
        </w:rPr>
        <w:t>– Mental capacity by age group of pe</w:t>
      </w:r>
      <w:r w:rsidR="00F845CA" w:rsidRPr="00BA4F73">
        <w:rPr>
          <w:b/>
          <w:color w:val="000000" w:themeColor="text1"/>
        </w:rPr>
        <w:t>rson at risk, 2015/</w:t>
      </w:r>
      <w:r w:rsidRPr="00BA4F73">
        <w:rPr>
          <w:b/>
          <w:color w:val="000000" w:themeColor="text1"/>
        </w:rPr>
        <w:t>16</w:t>
      </w:r>
    </w:p>
    <w:p w:rsidR="00DB4AB6" w:rsidRPr="00BA4F73" w:rsidRDefault="00495AF2" w:rsidP="00DB4AB6">
      <w:pPr>
        <w:rPr>
          <w:b/>
          <w:color w:val="000000" w:themeColor="text1"/>
          <w:sz w:val="20"/>
          <w:szCs w:val="20"/>
        </w:rPr>
      </w:pPr>
      <w:r w:rsidRPr="00BA4F73">
        <w:rPr>
          <w:noProof/>
          <w:color w:val="000000" w:themeColor="text1"/>
          <w:lang w:eastAsia="en-GB"/>
        </w:rPr>
        <w:drawing>
          <wp:inline distT="0" distB="0" distL="0" distR="0" wp14:anchorId="63F44848" wp14:editId="2D85F07D">
            <wp:extent cx="5191125" cy="2743200"/>
            <wp:effectExtent l="0" t="0" r="9525" b="1905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BA36F4" w:rsidRPr="00BA4F73" w:rsidRDefault="00BA36F4" w:rsidP="00DB4AB6">
      <w:pPr>
        <w:rPr>
          <w:b/>
          <w:color w:val="000000" w:themeColor="text1"/>
          <w:sz w:val="20"/>
          <w:szCs w:val="20"/>
          <w:u w:val="single"/>
        </w:rPr>
      </w:pPr>
    </w:p>
    <w:p w:rsidR="00BA36F4" w:rsidRPr="00BA4F73" w:rsidRDefault="00BA4F73" w:rsidP="00BA36F4">
      <w:pPr>
        <w:spacing w:after="0" w:line="240" w:lineRule="auto"/>
        <w:rPr>
          <w:rFonts w:eastAsia="Arial" w:cs="Times New Roman"/>
          <w:b/>
          <w:noProof/>
          <w:color w:val="000000" w:themeColor="text1"/>
          <w:sz w:val="28"/>
          <w:szCs w:val="28"/>
          <w:lang w:val="en-US" w:bidi="en-US"/>
        </w:rPr>
      </w:pPr>
      <w:r w:rsidRPr="00BA4F73">
        <w:rPr>
          <w:rFonts w:eastAsia="Arial" w:cs="Times New Roman"/>
          <w:b/>
          <w:noProof/>
          <w:color w:val="000000" w:themeColor="text1"/>
          <w:sz w:val="28"/>
          <w:szCs w:val="28"/>
          <w:lang w:val="en-US" w:bidi="en-US"/>
        </w:rPr>
        <w:t xml:space="preserve">Section 6 - </w:t>
      </w:r>
      <w:r w:rsidR="00BA36F4" w:rsidRPr="00BA4F73">
        <w:rPr>
          <w:rFonts w:eastAsia="Arial" w:cs="Times New Roman"/>
          <w:b/>
          <w:noProof/>
          <w:color w:val="000000" w:themeColor="text1"/>
          <w:sz w:val="28"/>
          <w:szCs w:val="28"/>
          <w:lang w:val="en-US" w:bidi="en-US"/>
        </w:rPr>
        <w:t>Making Safeguarding Personal</w:t>
      </w:r>
    </w:p>
    <w:p w:rsidR="00BA36F4" w:rsidRPr="00BA4F73" w:rsidRDefault="00BA36F4" w:rsidP="00BA36F4">
      <w:pPr>
        <w:spacing w:after="0" w:line="240" w:lineRule="auto"/>
        <w:rPr>
          <w:rFonts w:ascii="Arial" w:eastAsia="Arial" w:hAnsi="Arial" w:cs="Times New Roman"/>
          <w:b/>
          <w:noProof/>
          <w:color w:val="000000" w:themeColor="text1"/>
          <w:sz w:val="20"/>
          <w:szCs w:val="20"/>
          <w:highlight w:val="yellow"/>
          <w:lang w:val="en-US" w:bidi="en-US"/>
        </w:rPr>
      </w:pPr>
    </w:p>
    <w:p w:rsidR="00BA36F4" w:rsidRPr="00BA4F73" w:rsidRDefault="00BA36F4" w:rsidP="00BA36F4">
      <w:pPr>
        <w:spacing w:after="0" w:line="240" w:lineRule="auto"/>
        <w:rPr>
          <w:rFonts w:eastAsia="Arial" w:cs="Times New Roman"/>
          <w:noProof/>
          <w:color w:val="000000" w:themeColor="text1"/>
          <w:lang w:val="en-US" w:bidi="en-US"/>
        </w:rPr>
      </w:pPr>
      <w:r w:rsidRPr="00BA4F73">
        <w:rPr>
          <w:rFonts w:eastAsia="Arial" w:cs="Times New Roman"/>
          <w:noProof/>
          <w:color w:val="000000" w:themeColor="text1"/>
          <w:lang w:val="en-US" w:bidi="en-US"/>
        </w:rPr>
        <w:t>Making Safeguarding Personal (MSP) was a national led initiative to improve the experiences and outcomes for adults involved in a safeguarding enquiry.  This initiative was adopted by the Government and can be found within the Care Act 2014.  Local Authorities are not currently statutorily required to report on MSP but as members of the West Berkshire Safeguarding Adults Board</w:t>
      </w:r>
      <w:r w:rsidR="00F845CA" w:rsidRPr="00BA4F73">
        <w:rPr>
          <w:rFonts w:eastAsia="Arial" w:cs="Times New Roman"/>
          <w:noProof/>
          <w:color w:val="000000" w:themeColor="text1"/>
          <w:lang w:val="en-US" w:bidi="en-US"/>
        </w:rPr>
        <w:t>;</w:t>
      </w:r>
      <w:r w:rsidRPr="00BA4F73">
        <w:rPr>
          <w:rFonts w:eastAsia="Arial" w:cs="Times New Roman"/>
          <w:noProof/>
          <w:color w:val="000000" w:themeColor="text1"/>
          <w:lang w:val="en-US" w:bidi="en-US"/>
        </w:rPr>
        <w:t xml:space="preserve"> Reading has chosen to monitor performance in this area over the past 6 months or so.</w:t>
      </w:r>
    </w:p>
    <w:p w:rsidR="00F845CA" w:rsidRPr="00BA4F73" w:rsidRDefault="00F845CA" w:rsidP="00F845CA">
      <w:pPr>
        <w:keepNext/>
        <w:spacing w:before="240" w:after="60" w:line="240" w:lineRule="auto"/>
        <w:outlineLvl w:val="1"/>
        <w:rPr>
          <w:rFonts w:eastAsia="Times New Roman" w:cs="Times New Roman"/>
          <w:bCs/>
          <w:iCs/>
          <w:color w:val="000000" w:themeColor="text1"/>
          <w:lang w:val="en-US" w:bidi="en-US"/>
        </w:rPr>
      </w:pPr>
      <w:r w:rsidRPr="00BA4F73">
        <w:rPr>
          <w:rFonts w:eastAsia="Times New Roman" w:cs="Times New Roman"/>
          <w:bCs/>
          <w:iCs/>
          <w:color w:val="000000" w:themeColor="text1"/>
          <w:lang w:val="en-US" w:bidi="en-US"/>
        </w:rPr>
        <w:t xml:space="preserve">As at year end, 46% of all clients for whom there was a concluded case were asked about the outcomes they desired (either directly or through a representative). </w:t>
      </w:r>
    </w:p>
    <w:p w:rsidR="00BA36F4" w:rsidRPr="00BA4F73" w:rsidRDefault="00BA36F4" w:rsidP="00BA36F4">
      <w:pPr>
        <w:spacing w:after="0" w:line="240" w:lineRule="auto"/>
        <w:rPr>
          <w:rFonts w:ascii="Arial" w:eastAsia="Arial" w:hAnsi="Arial" w:cs="Times New Roman"/>
          <w:noProof/>
          <w:color w:val="000000" w:themeColor="text1"/>
          <w:sz w:val="20"/>
          <w:szCs w:val="20"/>
          <w:lang w:val="en-US" w:bidi="en-US"/>
        </w:rPr>
      </w:pPr>
    </w:p>
    <w:p w:rsidR="00BA36F4" w:rsidRPr="00BA4F73" w:rsidRDefault="00495AF2" w:rsidP="00BA36F4">
      <w:pPr>
        <w:spacing w:after="0" w:line="240" w:lineRule="auto"/>
        <w:rPr>
          <w:rFonts w:eastAsia="Arial" w:cs="Times New Roman"/>
          <w:b/>
          <w:noProof/>
          <w:color w:val="000000" w:themeColor="text1"/>
          <w:lang w:val="en-US" w:bidi="en-US"/>
        </w:rPr>
      </w:pPr>
      <w:r w:rsidRPr="00BA4F73">
        <w:rPr>
          <w:rFonts w:eastAsia="Arial" w:cs="Times New Roman"/>
          <w:b/>
          <w:noProof/>
          <w:color w:val="000000" w:themeColor="text1"/>
          <w:lang w:val="en-US" w:bidi="en-US"/>
        </w:rPr>
        <w:t xml:space="preserve">Figure 11 </w:t>
      </w:r>
      <w:r w:rsidR="00BA36F4" w:rsidRPr="00BA4F73">
        <w:rPr>
          <w:rFonts w:eastAsia="Arial" w:cs="Times New Roman"/>
          <w:b/>
          <w:noProof/>
          <w:color w:val="000000" w:themeColor="text1"/>
          <w:lang w:val="en-US" w:bidi="en-US"/>
        </w:rPr>
        <w:t>– Concluded enquiries by expression of outcome</w:t>
      </w:r>
      <w:r w:rsidR="00F845CA" w:rsidRPr="00BA4F73">
        <w:rPr>
          <w:rFonts w:eastAsia="Arial" w:cs="Times New Roman"/>
          <w:b/>
          <w:noProof/>
          <w:color w:val="000000" w:themeColor="text1"/>
          <w:lang w:val="en-US" w:bidi="en-US"/>
        </w:rPr>
        <w:t>, 2015/16</w:t>
      </w:r>
    </w:p>
    <w:p w:rsidR="00BA36F4" w:rsidRPr="00BA4F73" w:rsidRDefault="00BA36F4" w:rsidP="00BA36F4">
      <w:pPr>
        <w:spacing w:after="0" w:line="240" w:lineRule="auto"/>
        <w:rPr>
          <w:rFonts w:eastAsia="Arial" w:cs="Times New Roman"/>
          <w:b/>
          <w:noProof/>
          <w:color w:val="000000" w:themeColor="text1"/>
          <w:lang w:eastAsia="en-GB"/>
        </w:rPr>
      </w:pPr>
    </w:p>
    <w:p w:rsidR="00BA36F4" w:rsidRPr="00BA4F73" w:rsidRDefault="00495AF2" w:rsidP="00BA36F4">
      <w:pPr>
        <w:spacing w:after="0" w:line="240" w:lineRule="auto"/>
        <w:rPr>
          <w:rFonts w:ascii="Arial" w:eastAsia="Arial" w:hAnsi="Arial" w:cs="Times New Roman"/>
          <w:noProof/>
          <w:color w:val="000000" w:themeColor="text1"/>
          <w:sz w:val="24"/>
          <w:szCs w:val="24"/>
          <w:lang w:eastAsia="en-GB"/>
        </w:rPr>
      </w:pPr>
      <w:r w:rsidRPr="00BA4F73">
        <w:rPr>
          <w:noProof/>
          <w:color w:val="000000" w:themeColor="text1"/>
          <w:bdr w:val="single" w:sz="4" w:space="0" w:color="auto"/>
          <w:lang w:eastAsia="en-GB"/>
        </w:rPr>
        <w:drawing>
          <wp:inline distT="0" distB="0" distL="0" distR="0" wp14:anchorId="0667A855" wp14:editId="51B16BD7">
            <wp:extent cx="5734050" cy="2295525"/>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F845CA" w:rsidRPr="00BA4F73" w:rsidRDefault="00F845CA" w:rsidP="00BA36F4">
      <w:pPr>
        <w:spacing w:after="0" w:line="240" w:lineRule="auto"/>
        <w:rPr>
          <w:rFonts w:ascii="Arial" w:eastAsia="Arial" w:hAnsi="Arial" w:cs="Times New Roman"/>
          <w:noProof/>
          <w:color w:val="000000" w:themeColor="text1"/>
          <w:sz w:val="24"/>
          <w:szCs w:val="24"/>
          <w:lang w:eastAsia="en-GB"/>
        </w:rPr>
      </w:pPr>
    </w:p>
    <w:p w:rsidR="00F845CA" w:rsidRPr="00BA4F73" w:rsidRDefault="00F845CA" w:rsidP="00BA36F4">
      <w:pPr>
        <w:spacing w:after="0" w:line="240" w:lineRule="auto"/>
        <w:rPr>
          <w:rFonts w:ascii="Arial" w:eastAsia="Arial" w:hAnsi="Arial" w:cs="Times New Roman"/>
          <w:noProof/>
          <w:color w:val="000000" w:themeColor="text1"/>
          <w:sz w:val="24"/>
          <w:szCs w:val="24"/>
          <w:lang w:eastAsia="en-GB"/>
        </w:rPr>
      </w:pPr>
    </w:p>
    <w:p w:rsidR="00BA36F4" w:rsidRPr="00BA4F73" w:rsidRDefault="00C87A5F" w:rsidP="00BA36F4">
      <w:pPr>
        <w:spacing w:after="0" w:line="240" w:lineRule="auto"/>
        <w:rPr>
          <w:rFonts w:eastAsia="Arial" w:cs="Times New Roman"/>
          <w:b/>
          <w:color w:val="000000" w:themeColor="text1"/>
          <w:lang w:val="en-US" w:bidi="en-US"/>
        </w:rPr>
      </w:pPr>
      <w:r w:rsidRPr="00BA4F73">
        <w:rPr>
          <w:rFonts w:eastAsia="Arial" w:cs="Times New Roman"/>
          <w:b/>
          <w:color w:val="000000" w:themeColor="text1"/>
          <w:lang w:val="en-US" w:bidi="en-US"/>
        </w:rPr>
        <w:t xml:space="preserve">Figure 12 </w:t>
      </w:r>
      <w:r w:rsidR="00BA36F4" w:rsidRPr="00BA4F73">
        <w:rPr>
          <w:rFonts w:eastAsia="Arial" w:cs="Times New Roman"/>
          <w:b/>
          <w:color w:val="000000" w:themeColor="text1"/>
          <w:lang w:val="en-US" w:bidi="en-US"/>
        </w:rPr>
        <w:t>– Concluded enquiries</w:t>
      </w:r>
      <w:r w:rsidR="00F845CA" w:rsidRPr="00BA4F73">
        <w:rPr>
          <w:rFonts w:eastAsia="Arial" w:cs="Times New Roman"/>
          <w:b/>
          <w:color w:val="000000" w:themeColor="text1"/>
          <w:lang w:val="en-US" w:bidi="en-US"/>
        </w:rPr>
        <w:t xml:space="preserve"> by expressed outcomes achieved, 2015/16</w:t>
      </w:r>
    </w:p>
    <w:p w:rsidR="00BA36F4" w:rsidRPr="00BA4F73" w:rsidRDefault="00BA36F4" w:rsidP="00BA36F4">
      <w:pPr>
        <w:spacing w:after="0" w:line="240" w:lineRule="auto"/>
        <w:rPr>
          <w:rFonts w:eastAsia="Arial" w:cs="Times New Roman"/>
          <w:b/>
          <w:noProof/>
          <w:color w:val="000000" w:themeColor="text1"/>
          <w:highlight w:val="yellow"/>
          <w:lang w:val="en-US" w:bidi="en-US"/>
        </w:rPr>
      </w:pPr>
    </w:p>
    <w:p w:rsidR="00BA36F4" w:rsidRPr="00BA4F73" w:rsidRDefault="00C87A5F" w:rsidP="00BA36F4">
      <w:pPr>
        <w:spacing w:after="0" w:line="240" w:lineRule="auto"/>
        <w:rPr>
          <w:rFonts w:eastAsia="Arial" w:cs="Times New Roman"/>
          <w:noProof/>
          <w:color w:val="000000" w:themeColor="text1"/>
          <w:highlight w:val="yellow"/>
          <w:lang w:val="en-US" w:bidi="en-US"/>
        </w:rPr>
      </w:pPr>
      <w:r w:rsidRPr="00BA4F73">
        <w:rPr>
          <w:noProof/>
          <w:color w:val="000000" w:themeColor="text1"/>
          <w:lang w:eastAsia="en-GB"/>
        </w:rPr>
        <w:drawing>
          <wp:inline distT="0" distB="0" distL="0" distR="0" wp14:anchorId="1E830255" wp14:editId="22FD2796">
            <wp:extent cx="5362575" cy="2919413"/>
            <wp:effectExtent l="0" t="0" r="9525" b="1460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F845CA" w:rsidRPr="00BA4F73" w:rsidRDefault="00F845CA" w:rsidP="00BA36F4">
      <w:pPr>
        <w:keepNext/>
        <w:spacing w:before="240" w:after="60" w:line="240" w:lineRule="auto"/>
        <w:outlineLvl w:val="1"/>
        <w:rPr>
          <w:rFonts w:eastAsia="Times New Roman" w:cs="Times New Roman"/>
          <w:bCs/>
          <w:iCs/>
          <w:color w:val="000000" w:themeColor="text1"/>
          <w:lang w:val="en-US" w:bidi="en-US"/>
        </w:rPr>
      </w:pPr>
    </w:p>
    <w:p w:rsidR="00BA36F4" w:rsidRPr="00BA4F73" w:rsidRDefault="00BA36F4" w:rsidP="00BA36F4">
      <w:pPr>
        <w:keepNext/>
        <w:spacing w:before="240" w:after="60" w:line="240" w:lineRule="auto"/>
        <w:outlineLvl w:val="1"/>
        <w:rPr>
          <w:rFonts w:eastAsia="Times New Roman" w:cs="Times New Roman"/>
          <w:bCs/>
          <w:iCs/>
          <w:color w:val="000000" w:themeColor="text1"/>
          <w:lang w:val="en-US" w:bidi="en-US"/>
        </w:rPr>
      </w:pPr>
      <w:r w:rsidRPr="00BA4F73">
        <w:rPr>
          <w:rFonts w:eastAsia="Times New Roman" w:cs="Times New Roman"/>
          <w:bCs/>
          <w:iCs/>
          <w:color w:val="000000" w:themeColor="text1"/>
          <w:lang w:val="en-US" w:bidi="en-US"/>
        </w:rPr>
        <w:t xml:space="preserve">Of those who were asked and expressed a desired outcome, </w:t>
      </w:r>
      <w:r w:rsidR="00F845CA" w:rsidRPr="00BA4F73">
        <w:rPr>
          <w:rFonts w:eastAsia="Times New Roman" w:cs="Times New Roman"/>
          <w:bCs/>
          <w:iCs/>
          <w:color w:val="000000" w:themeColor="text1"/>
          <w:lang w:val="en-US" w:bidi="en-US"/>
        </w:rPr>
        <w:t>45</w:t>
      </w:r>
      <w:r w:rsidRPr="00BA4F73">
        <w:rPr>
          <w:rFonts w:eastAsia="Times New Roman" w:cs="Times New Roman"/>
          <w:bCs/>
          <w:iCs/>
          <w:color w:val="000000" w:themeColor="text1"/>
          <w:lang w:val="en-US" w:bidi="en-US"/>
        </w:rPr>
        <w:t>% were able to achieve those o</w:t>
      </w:r>
      <w:r w:rsidR="00F845CA" w:rsidRPr="00BA4F73">
        <w:rPr>
          <w:rFonts w:eastAsia="Times New Roman" w:cs="Times New Roman"/>
          <w:bCs/>
          <w:iCs/>
          <w:color w:val="000000" w:themeColor="text1"/>
          <w:lang w:val="en-US" w:bidi="en-US"/>
        </w:rPr>
        <w:t>utcomes fully, with a further 49</w:t>
      </w:r>
      <w:r w:rsidRPr="00BA4F73">
        <w:rPr>
          <w:rFonts w:eastAsia="Times New Roman" w:cs="Times New Roman"/>
          <w:bCs/>
          <w:iCs/>
          <w:color w:val="000000" w:themeColor="text1"/>
          <w:lang w:val="en-US" w:bidi="en-US"/>
        </w:rPr>
        <w:t xml:space="preserve">% partially achieved.  </w:t>
      </w:r>
      <w:r w:rsidR="00F845CA" w:rsidRPr="00BA4F73">
        <w:rPr>
          <w:rFonts w:eastAsia="Times New Roman" w:cs="Times New Roman"/>
          <w:bCs/>
          <w:iCs/>
          <w:color w:val="000000" w:themeColor="text1"/>
          <w:lang w:val="en-US" w:bidi="en-US"/>
        </w:rPr>
        <w:t>Only 6% did not achieve their outcomes.</w:t>
      </w:r>
    </w:p>
    <w:p w:rsidR="00BA36F4" w:rsidRPr="00BA4F73" w:rsidRDefault="00BA36F4" w:rsidP="00DB4AB6">
      <w:pPr>
        <w:rPr>
          <w:color w:val="000000" w:themeColor="text1"/>
          <w:sz w:val="20"/>
          <w:szCs w:val="20"/>
        </w:rPr>
      </w:pPr>
    </w:p>
    <w:sectPr w:rsidR="00BA36F4" w:rsidRPr="00BA4F73" w:rsidSect="00C81EAC">
      <w:footerReference w:type="default" r:id="rId21"/>
      <w:pgSz w:w="11906" w:h="16838" w:code="9"/>
      <w:pgMar w:top="510" w:right="1440" w:bottom="510" w:left="1440" w:header="397"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07B7" w:rsidRDefault="000907B7" w:rsidP="001424A5">
      <w:pPr>
        <w:spacing w:after="0" w:line="240" w:lineRule="auto"/>
      </w:pPr>
      <w:r>
        <w:separator/>
      </w:r>
    </w:p>
  </w:endnote>
  <w:endnote w:type="continuationSeparator" w:id="0">
    <w:p w:rsidR="000907B7" w:rsidRDefault="000907B7" w:rsidP="00142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7E7" w:rsidRDefault="003937E7">
    <w:pPr>
      <w:pStyle w:val="Footer"/>
    </w:pPr>
    <w:r>
      <w:rPr>
        <w:noProof/>
      </w:rPr>
      <w:tab/>
    </w:r>
    <w:r>
      <w:rPr>
        <w:noProof/>
      </w:rPr>
      <w:tab/>
      <w:t xml:space="preserve">Page </w:t>
    </w:r>
    <w:r w:rsidRPr="0088067F">
      <w:rPr>
        <w:b/>
        <w:noProof/>
      </w:rPr>
      <w:fldChar w:fldCharType="begin"/>
    </w:r>
    <w:r w:rsidRPr="0088067F">
      <w:rPr>
        <w:b/>
        <w:noProof/>
      </w:rPr>
      <w:instrText xml:space="preserve"> PAGE  \* Arabic  \* MERGEFORMAT </w:instrText>
    </w:r>
    <w:r w:rsidRPr="0088067F">
      <w:rPr>
        <w:b/>
        <w:noProof/>
      </w:rPr>
      <w:fldChar w:fldCharType="separate"/>
    </w:r>
    <w:r w:rsidR="00D62D84">
      <w:rPr>
        <w:b/>
        <w:noProof/>
      </w:rPr>
      <w:t>1</w:t>
    </w:r>
    <w:r w:rsidRPr="0088067F">
      <w:rPr>
        <w:b/>
        <w:noProof/>
      </w:rPr>
      <w:fldChar w:fldCharType="end"/>
    </w:r>
    <w:r>
      <w:rPr>
        <w:noProof/>
      </w:rPr>
      <w:t xml:space="preserve"> of </w:t>
    </w:r>
    <w:fldSimple w:instr=" NUMPAGES  \* Arabic  \* MERGEFORMAT ">
      <w:r w:rsidR="00D62D84" w:rsidRPr="00D62D84">
        <w:rPr>
          <w:b/>
          <w:noProof/>
        </w:rPr>
        <w:t>12</w:t>
      </w:r>
    </w:fldSimple>
  </w:p>
  <w:p w:rsidR="003937E7" w:rsidRDefault="003937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07B7" w:rsidRDefault="000907B7" w:rsidP="001424A5">
      <w:pPr>
        <w:spacing w:after="0" w:line="240" w:lineRule="auto"/>
      </w:pPr>
      <w:r>
        <w:separator/>
      </w:r>
    </w:p>
  </w:footnote>
  <w:footnote w:type="continuationSeparator" w:id="0">
    <w:p w:rsidR="000907B7" w:rsidRDefault="000907B7" w:rsidP="001424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662F94"/>
    <w:multiLevelType w:val="hybridMultilevel"/>
    <w:tmpl w:val="EA6E3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A1761"/>
    <w:rsid w:val="00001870"/>
    <w:rsid w:val="00010711"/>
    <w:rsid w:val="000164C7"/>
    <w:rsid w:val="000258B6"/>
    <w:rsid w:val="00026FE0"/>
    <w:rsid w:val="00040053"/>
    <w:rsid w:val="0004087E"/>
    <w:rsid w:val="00061C6E"/>
    <w:rsid w:val="00072246"/>
    <w:rsid w:val="000731B8"/>
    <w:rsid w:val="000762AC"/>
    <w:rsid w:val="00080665"/>
    <w:rsid w:val="000907B7"/>
    <w:rsid w:val="00095DC8"/>
    <w:rsid w:val="000A01FE"/>
    <w:rsid w:val="000A062F"/>
    <w:rsid w:val="000B0AA2"/>
    <w:rsid w:val="000B6B63"/>
    <w:rsid w:val="000C07E2"/>
    <w:rsid w:val="000E5F87"/>
    <w:rsid w:val="000F3200"/>
    <w:rsid w:val="000F6FC3"/>
    <w:rsid w:val="0011454A"/>
    <w:rsid w:val="00115000"/>
    <w:rsid w:val="001424A5"/>
    <w:rsid w:val="00150ACB"/>
    <w:rsid w:val="00153949"/>
    <w:rsid w:val="001553F6"/>
    <w:rsid w:val="00164AFF"/>
    <w:rsid w:val="00170FB9"/>
    <w:rsid w:val="00173280"/>
    <w:rsid w:val="00173B0E"/>
    <w:rsid w:val="00186055"/>
    <w:rsid w:val="001975CE"/>
    <w:rsid w:val="001A0E92"/>
    <w:rsid w:val="001A1DE2"/>
    <w:rsid w:val="001A2C73"/>
    <w:rsid w:val="001A4EE8"/>
    <w:rsid w:val="001B0228"/>
    <w:rsid w:val="001C7DCF"/>
    <w:rsid w:val="001D1AB4"/>
    <w:rsid w:val="001D3736"/>
    <w:rsid w:val="001E4FE9"/>
    <w:rsid w:val="001E73BB"/>
    <w:rsid w:val="001E7CE9"/>
    <w:rsid w:val="001F17D1"/>
    <w:rsid w:val="001F1AC4"/>
    <w:rsid w:val="001F4F92"/>
    <w:rsid w:val="0021019F"/>
    <w:rsid w:val="00215E51"/>
    <w:rsid w:val="00220719"/>
    <w:rsid w:val="0022252A"/>
    <w:rsid w:val="002301B7"/>
    <w:rsid w:val="00246E9B"/>
    <w:rsid w:val="00252E94"/>
    <w:rsid w:val="00264349"/>
    <w:rsid w:val="0027416C"/>
    <w:rsid w:val="00280317"/>
    <w:rsid w:val="00297B1E"/>
    <w:rsid w:val="002B0A94"/>
    <w:rsid w:val="002B4E8C"/>
    <w:rsid w:val="002C201D"/>
    <w:rsid w:val="002D24FA"/>
    <w:rsid w:val="002E5525"/>
    <w:rsid w:val="002E7AB2"/>
    <w:rsid w:val="00317409"/>
    <w:rsid w:val="003227AB"/>
    <w:rsid w:val="00323A20"/>
    <w:rsid w:val="00326F62"/>
    <w:rsid w:val="0033151E"/>
    <w:rsid w:val="0033390C"/>
    <w:rsid w:val="00345139"/>
    <w:rsid w:val="00347DA0"/>
    <w:rsid w:val="00365728"/>
    <w:rsid w:val="00377AEA"/>
    <w:rsid w:val="003937E7"/>
    <w:rsid w:val="003A4D93"/>
    <w:rsid w:val="003C6FF2"/>
    <w:rsid w:val="003D14E0"/>
    <w:rsid w:val="003D63C5"/>
    <w:rsid w:val="003D77B0"/>
    <w:rsid w:val="003F5951"/>
    <w:rsid w:val="00406728"/>
    <w:rsid w:val="00413F7F"/>
    <w:rsid w:val="004259C4"/>
    <w:rsid w:val="00466CAC"/>
    <w:rsid w:val="00470B4D"/>
    <w:rsid w:val="004719FA"/>
    <w:rsid w:val="00471BB7"/>
    <w:rsid w:val="004765E2"/>
    <w:rsid w:val="0047674F"/>
    <w:rsid w:val="0048155D"/>
    <w:rsid w:val="00486F59"/>
    <w:rsid w:val="004875F7"/>
    <w:rsid w:val="00487A89"/>
    <w:rsid w:val="00494708"/>
    <w:rsid w:val="00495AF2"/>
    <w:rsid w:val="004A37FC"/>
    <w:rsid w:val="004B08C0"/>
    <w:rsid w:val="004C38DD"/>
    <w:rsid w:val="004D2610"/>
    <w:rsid w:val="004E6991"/>
    <w:rsid w:val="004F2688"/>
    <w:rsid w:val="004F3B07"/>
    <w:rsid w:val="004F699C"/>
    <w:rsid w:val="00506835"/>
    <w:rsid w:val="00512DE9"/>
    <w:rsid w:val="00513B76"/>
    <w:rsid w:val="00515C94"/>
    <w:rsid w:val="005219B5"/>
    <w:rsid w:val="00533C9F"/>
    <w:rsid w:val="00535A3B"/>
    <w:rsid w:val="00543891"/>
    <w:rsid w:val="00543B7F"/>
    <w:rsid w:val="00543C35"/>
    <w:rsid w:val="00563E33"/>
    <w:rsid w:val="00580D62"/>
    <w:rsid w:val="00581245"/>
    <w:rsid w:val="00582890"/>
    <w:rsid w:val="005829C1"/>
    <w:rsid w:val="005A03EC"/>
    <w:rsid w:val="005A10D5"/>
    <w:rsid w:val="005A74DA"/>
    <w:rsid w:val="005B3F46"/>
    <w:rsid w:val="005C19C0"/>
    <w:rsid w:val="005C3784"/>
    <w:rsid w:val="005D32EA"/>
    <w:rsid w:val="005D7BF1"/>
    <w:rsid w:val="005E05D8"/>
    <w:rsid w:val="005E6382"/>
    <w:rsid w:val="005E6BE5"/>
    <w:rsid w:val="005F7DEE"/>
    <w:rsid w:val="0060168C"/>
    <w:rsid w:val="00602DBC"/>
    <w:rsid w:val="00606463"/>
    <w:rsid w:val="006153E7"/>
    <w:rsid w:val="006236D5"/>
    <w:rsid w:val="00625DD3"/>
    <w:rsid w:val="006275AC"/>
    <w:rsid w:val="00632A62"/>
    <w:rsid w:val="0065126C"/>
    <w:rsid w:val="006517A1"/>
    <w:rsid w:val="00656164"/>
    <w:rsid w:val="006A1AB1"/>
    <w:rsid w:val="006B16C8"/>
    <w:rsid w:val="006B65F2"/>
    <w:rsid w:val="006D4DE3"/>
    <w:rsid w:val="006D74BC"/>
    <w:rsid w:val="006E46DA"/>
    <w:rsid w:val="00701957"/>
    <w:rsid w:val="0071627B"/>
    <w:rsid w:val="00740CE3"/>
    <w:rsid w:val="00747E66"/>
    <w:rsid w:val="007511F3"/>
    <w:rsid w:val="0075286F"/>
    <w:rsid w:val="007637AF"/>
    <w:rsid w:val="00765332"/>
    <w:rsid w:val="00773935"/>
    <w:rsid w:val="00773DC8"/>
    <w:rsid w:val="007864B2"/>
    <w:rsid w:val="00794C0C"/>
    <w:rsid w:val="007A4A7D"/>
    <w:rsid w:val="007B1DF6"/>
    <w:rsid w:val="007D6E4E"/>
    <w:rsid w:val="007E034A"/>
    <w:rsid w:val="007F5F7F"/>
    <w:rsid w:val="00802337"/>
    <w:rsid w:val="00820880"/>
    <w:rsid w:val="00821203"/>
    <w:rsid w:val="0082512F"/>
    <w:rsid w:val="00832503"/>
    <w:rsid w:val="00832FDB"/>
    <w:rsid w:val="00855B81"/>
    <w:rsid w:val="00874B3D"/>
    <w:rsid w:val="008769F0"/>
    <w:rsid w:val="0088067F"/>
    <w:rsid w:val="00884A8B"/>
    <w:rsid w:val="00885CAD"/>
    <w:rsid w:val="0089581E"/>
    <w:rsid w:val="008A1761"/>
    <w:rsid w:val="008A2C54"/>
    <w:rsid w:val="008A5AC0"/>
    <w:rsid w:val="008C43FC"/>
    <w:rsid w:val="008D517D"/>
    <w:rsid w:val="008D7F72"/>
    <w:rsid w:val="008E4055"/>
    <w:rsid w:val="008E7FCA"/>
    <w:rsid w:val="008F63BD"/>
    <w:rsid w:val="009004AA"/>
    <w:rsid w:val="00901E77"/>
    <w:rsid w:val="00902349"/>
    <w:rsid w:val="00904EB3"/>
    <w:rsid w:val="0090514E"/>
    <w:rsid w:val="00906E8D"/>
    <w:rsid w:val="00915D39"/>
    <w:rsid w:val="00926423"/>
    <w:rsid w:val="009275A9"/>
    <w:rsid w:val="00934387"/>
    <w:rsid w:val="00945687"/>
    <w:rsid w:val="00965F8B"/>
    <w:rsid w:val="009759BD"/>
    <w:rsid w:val="009803C8"/>
    <w:rsid w:val="009859B2"/>
    <w:rsid w:val="00994DEE"/>
    <w:rsid w:val="00996D52"/>
    <w:rsid w:val="009A0426"/>
    <w:rsid w:val="009B0187"/>
    <w:rsid w:val="009B4695"/>
    <w:rsid w:val="009D1085"/>
    <w:rsid w:val="009E4165"/>
    <w:rsid w:val="00A15E1C"/>
    <w:rsid w:val="00A17CFA"/>
    <w:rsid w:val="00A20E05"/>
    <w:rsid w:val="00A2767F"/>
    <w:rsid w:val="00A33EBC"/>
    <w:rsid w:val="00A41099"/>
    <w:rsid w:val="00A41EAD"/>
    <w:rsid w:val="00A43A7B"/>
    <w:rsid w:val="00A50669"/>
    <w:rsid w:val="00A51DCD"/>
    <w:rsid w:val="00A525FB"/>
    <w:rsid w:val="00A558BF"/>
    <w:rsid w:val="00A561DF"/>
    <w:rsid w:val="00A6680E"/>
    <w:rsid w:val="00AA1618"/>
    <w:rsid w:val="00AA48FA"/>
    <w:rsid w:val="00AA4B5B"/>
    <w:rsid w:val="00AB0C96"/>
    <w:rsid w:val="00AC1E02"/>
    <w:rsid w:val="00B03914"/>
    <w:rsid w:val="00B05E4E"/>
    <w:rsid w:val="00B22510"/>
    <w:rsid w:val="00B23D7F"/>
    <w:rsid w:val="00B30DD0"/>
    <w:rsid w:val="00B33934"/>
    <w:rsid w:val="00B41EFF"/>
    <w:rsid w:val="00B5129D"/>
    <w:rsid w:val="00B64383"/>
    <w:rsid w:val="00B741F7"/>
    <w:rsid w:val="00BA36F4"/>
    <w:rsid w:val="00BA4F73"/>
    <w:rsid w:val="00BC4E6D"/>
    <w:rsid w:val="00BD2C27"/>
    <w:rsid w:val="00BE4309"/>
    <w:rsid w:val="00BE4ACA"/>
    <w:rsid w:val="00BE7A73"/>
    <w:rsid w:val="00BF4619"/>
    <w:rsid w:val="00C24C47"/>
    <w:rsid w:val="00C274F0"/>
    <w:rsid w:val="00C36445"/>
    <w:rsid w:val="00C5623F"/>
    <w:rsid w:val="00C75B6E"/>
    <w:rsid w:val="00C81EAC"/>
    <w:rsid w:val="00C87A5F"/>
    <w:rsid w:val="00C95162"/>
    <w:rsid w:val="00CA0252"/>
    <w:rsid w:val="00CA043F"/>
    <w:rsid w:val="00CB1962"/>
    <w:rsid w:val="00CB7554"/>
    <w:rsid w:val="00CB7AAA"/>
    <w:rsid w:val="00CC65A5"/>
    <w:rsid w:val="00CE7909"/>
    <w:rsid w:val="00D0259F"/>
    <w:rsid w:val="00D16317"/>
    <w:rsid w:val="00D1653E"/>
    <w:rsid w:val="00D4603E"/>
    <w:rsid w:val="00D62D84"/>
    <w:rsid w:val="00D65DEB"/>
    <w:rsid w:val="00D6759D"/>
    <w:rsid w:val="00D74C09"/>
    <w:rsid w:val="00D755CF"/>
    <w:rsid w:val="00D770D9"/>
    <w:rsid w:val="00D773EE"/>
    <w:rsid w:val="00D9449E"/>
    <w:rsid w:val="00DA12FD"/>
    <w:rsid w:val="00DA2DAE"/>
    <w:rsid w:val="00DB4AB6"/>
    <w:rsid w:val="00DC0238"/>
    <w:rsid w:val="00DC30C1"/>
    <w:rsid w:val="00DC7338"/>
    <w:rsid w:val="00DD5824"/>
    <w:rsid w:val="00DE6A3F"/>
    <w:rsid w:val="00DF4B27"/>
    <w:rsid w:val="00E11747"/>
    <w:rsid w:val="00E2318F"/>
    <w:rsid w:val="00E26CB7"/>
    <w:rsid w:val="00E33B6E"/>
    <w:rsid w:val="00E5129A"/>
    <w:rsid w:val="00E54397"/>
    <w:rsid w:val="00E57C52"/>
    <w:rsid w:val="00E67115"/>
    <w:rsid w:val="00E77A93"/>
    <w:rsid w:val="00E806ED"/>
    <w:rsid w:val="00E810E2"/>
    <w:rsid w:val="00E879DD"/>
    <w:rsid w:val="00EA0BEE"/>
    <w:rsid w:val="00EB40EB"/>
    <w:rsid w:val="00F021FE"/>
    <w:rsid w:val="00F04B7A"/>
    <w:rsid w:val="00F150B9"/>
    <w:rsid w:val="00F23777"/>
    <w:rsid w:val="00F32718"/>
    <w:rsid w:val="00F33098"/>
    <w:rsid w:val="00F539C8"/>
    <w:rsid w:val="00F845CA"/>
    <w:rsid w:val="00F90C03"/>
    <w:rsid w:val="00F935AF"/>
    <w:rsid w:val="00F9552D"/>
    <w:rsid w:val="00FD04FE"/>
    <w:rsid w:val="00FD2C76"/>
    <w:rsid w:val="00FD60C1"/>
    <w:rsid w:val="00FE7482"/>
    <w:rsid w:val="00FF0059"/>
    <w:rsid w:val="00FF0812"/>
    <w:rsid w:val="00FF4E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D93"/>
  </w:style>
  <w:style w:type="paragraph" w:styleId="Heading1">
    <w:name w:val="heading 1"/>
    <w:basedOn w:val="Normal"/>
    <w:next w:val="Normal"/>
    <w:link w:val="Heading1Char"/>
    <w:uiPriority w:val="9"/>
    <w:qFormat/>
    <w:rsid w:val="000731B8"/>
    <w:pPr>
      <w:keepNext/>
      <w:keepLines/>
      <w:spacing w:before="480" w:after="0"/>
      <w:outlineLvl w:val="0"/>
    </w:pPr>
    <w:rPr>
      <w:rFonts w:ascii="Calibri" w:eastAsiaTheme="majorEastAsia" w:hAnsi="Calibri" w:cstheme="majorBidi"/>
      <w:b/>
      <w:bCs/>
      <w:sz w:val="32"/>
      <w:szCs w:val="28"/>
    </w:rPr>
  </w:style>
  <w:style w:type="paragraph" w:styleId="Heading2">
    <w:name w:val="heading 2"/>
    <w:basedOn w:val="Normal"/>
    <w:next w:val="Normal"/>
    <w:link w:val="Heading2Char"/>
    <w:uiPriority w:val="9"/>
    <w:unhideWhenUsed/>
    <w:qFormat/>
    <w:rsid w:val="000731B8"/>
    <w:pPr>
      <w:keepNext/>
      <w:keepLines/>
      <w:spacing w:before="200" w:after="0"/>
      <w:outlineLvl w:val="1"/>
    </w:pPr>
    <w:rPr>
      <w:rFonts w:ascii="Calibri" w:eastAsiaTheme="majorEastAsia" w:hAnsi="Calibri" w:cstheme="majorBidi"/>
      <w:b/>
      <w:bCs/>
      <w:sz w:val="28"/>
      <w:szCs w:val="28"/>
    </w:rPr>
  </w:style>
  <w:style w:type="paragraph" w:styleId="Heading3">
    <w:name w:val="heading 3"/>
    <w:basedOn w:val="Normal"/>
    <w:next w:val="Normal"/>
    <w:link w:val="Heading3Char"/>
    <w:uiPriority w:val="9"/>
    <w:unhideWhenUsed/>
    <w:qFormat/>
    <w:rsid w:val="00773D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32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280"/>
    <w:rPr>
      <w:rFonts w:ascii="Tahoma" w:hAnsi="Tahoma" w:cs="Tahoma"/>
      <w:sz w:val="16"/>
      <w:szCs w:val="16"/>
    </w:rPr>
  </w:style>
  <w:style w:type="paragraph" w:styleId="Header">
    <w:name w:val="header"/>
    <w:basedOn w:val="Normal"/>
    <w:link w:val="HeaderChar"/>
    <w:uiPriority w:val="99"/>
    <w:unhideWhenUsed/>
    <w:rsid w:val="001424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24A5"/>
  </w:style>
  <w:style w:type="paragraph" w:styleId="Footer">
    <w:name w:val="footer"/>
    <w:basedOn w:val="Normal"/>
    <w:link w:val="FooterChar"/>
    <w:uiPriority w:val="99"/>
    <w:unhideWhenUsed/>
    <w:rsid w:val="001424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24A5"/>
  </w:style>
  <w:style w:type="table" w:styleId="TableGrid">
    <w:name w:val="Table Grid"/>
    <w:basedOn w:val="TableNormal"/>
    <w:uiPriority w:val="59"/>
    <w:rsid w:val="00A56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731B8"/>
    <w:rPr>
      <w:rFonts w:ascii="Calibri" w:eastAsiaTheme="majorEastAsia" w:hAnsi="Calibri" w:cstheme="majorBidi"/>
      <w:b/>
      <w:bCs/>
      <w:sz w:val="28"/>
      <w:szCs w:val="28"/>
    </w:rPr>
  </w:style>
  <w:style w:type="character" w:customStyle="1" w:styleId="Heading3Char">
    <w:name w:val="Heading 3 Char"/>
    <w:basedOn w:val="DefaultParagraphFont"/>
    <w:link w:val="Heading3"/>
    <w:uiPriority w:val="9"/>
    <w:rsid w:val="00773DC8"/>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0731B8"/>
    <w:rPr>
      <w:rFonts w:ascii="Calibri" w:eastAsiaTheme="majorEastAsia" w:hAnsi="Calibri" w:cstheme="majorBidi"/>
      <w:b/>
      <w:bCs/>
      <w:sz w:val="32"/>
      <w:szCs w:val="28"/>
    </w:rPr>
  </w:style>
  <w:style w:type="paragraph" w:styleId="ListParagraph">
    <w:name w:val="List Paragraph"/>
    <w:basedOn w:val="Normal"/>
    <w:uiPriority w:val="34"/>
    <w:qFormat/>
    <w:rsid w:val="00215E51"/>
    <w:pPr>
      <w:ind w:left="720"/>
      <w:contextualSpacing/>
    </w:pPr>
  </w:style>
  <w:style w:type="paragraph" w:styleId="Title">
    <w:name w:val="Title"/>
    <w:basedOn w:val="Normal"/>
    <w:next w:val="Normal"/>
    <w:link w:val="TitleChar"/>
    <w:uiPriority w:val="10"/>
    <w:qFormat/>
    <w:rsid w:val="00E543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439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5439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397"/>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E54397"/>
    <w:rPr>
      <w:i/>
      <w:iCs/>
      <w:color w:val="808080" w:themeColor="text1" w:themeTint="7F"/>
    </w:rPr>
  </w:style>
  <w:style w:type="character" w:styleId="Emphasis">
    <w:name w:val="Emphasis"/>
    <w:basedOn w:val="DefaultParagraphFont"/>
    <w:uiPriority w:val="20"/>
    <w:qFormat/>
    <w:rsid w:val="00E54397"/>
    <w:rPr>
      <w:i/>
      <w:iCs/>
    </w:rPr>
  </w:style>
  <w:style w:type="paragraph" w:customStyle="1" w:styleId="Default">
    <w:name w:val="Default"/>
    <w:rsid w:val="00740CE3"/>
    <w:pPr>
      <w:autoSpaceDE w:val="0"/>
      <w:autoSpaceDN w:val="0"/>
      <w:adjustRightInd w:val="0"/>
      <w:spacing w:after="0" w:line="240" w:lineRule="auto"/>
    </w:pPr>
    <w:rPr>
      <w:rFonts w:ascii="Arial" w:hAnsi="Arial" w:cs="Arial"/>
      <w:color w:val="000000"/>
      <w:sz w:val="24"/>
      <w:szCs w:val="24"/>
    </w:rPr>
  </w:style>
  <w:style w:type="paragraph" w:styleId="Caption">
    <w:name w:val="caption"/>
    <w:basedOn w:val="Normal"/>
    <w:next w:val="Normal"/>
    <w:uiPriority w:val="35"/>
    <w:unhideWhenUsed/>
    <w:qFormat/>
    <w:rsid w:val="009B4695"/>
    <w:pPr>
      <w:spacing w:line="240" w:lineRule="auto"/>
    </w:pPr>
    <w:rPr>
      <w:b/>
      <w:bCs/>
      <w:color w:val="4F81BD" w:themeColor="accent1"/>
      <w:sz w:val="18"/>
      <w:szCs w:val="18"/>
    </w:rPr>
  </w:style>
  <w:style w:type="character" w:customStyle="1" w:styleId="search-result-match">
    <w:name w:val="search-result-match"/>
    <w:basedOn w:val="DefaultParagraphFont"/>
    <w:rsid w:val="00D6759D"/>
  </w:style>
  <w:style w:type="paragraph" w:styleId="NoSpacing">
    <w:name w:val="No Spacing"/>
    <w:uiPriority w:val="1"/>
    <w:qFormat/>
    <w:rsid w:val="001A4EE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1B8"/>
    <w:pPr>
      <w:keepNext/>
      <w:keepLines/>
      <w:spacing w:before="480" w:after="0"/>
      <w:outlineLvl w:val="0"/>
    </w:pPr>
    <w:rPr>
      <w:rFonts w:ascii="Calibri" w:eastAsiaTheme="majorEastAsia" w:hAnsi="Calibri" w:cstheme="majorBidi"/>
      <w:b/>
      <w:bCs/>
      <w:sz w:val="32"/>
      <w:szCs w:val="28"/>
    </w:rPr>
  </w:style>
  <w:style w:type="paragraph" w:styleId="Heading2">
    <w:name w:val="heading 2"/>
    <w:basedOn w:val="Normal"/>
    <w:next w:val="Normal"/>
    <w:link w:val="Heading2Char"/>
    <w:uiPriority w:val="9"/>
    <w:unhideWhenUsed/>
    <w:qFormat/>
    <w:rsid w:val="000731B8"/>
    <w:pPr>
      <w:keepNext/>
      <w:keepLines/>
      <w:spacing w:before="200" w:after="0"/>
      <w:outlineLvl w:val="1"/>
    </w:pPr>
    <w:rPr>
      <w:rFonts w:ascii="Calibri" w:eastAsiaTheme="majorEastAsia" w:hAnsi="Calibri" w:cstheme="majorBidi"/>
      <w:b/>
      <w:bCs/>
      <w:sz w:val="28"/>
      <w:szCs w:val="28"/>
    </w:rPr>
  </w:style>
  <w:style w:type="paragraph" w:styleId="Heading3">
    <w:name w:val="heading 3"/>
    <w:basedOn w:val="Normal"/>
    <w:next w:val="Normal"/>
    <w:link w:val="Heading3Char"/>
    <w:uiPriority w:val="9"/>
    <w:unhideWhenUsed/>
    <w:qFormat/>
    <w:rsid w:val="00773D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32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280"/>
    <w:rPr>
      <w:rFonts w:ascii="Tahoma" w:hAnsi="Tahoma" w:cs="Tahoma"/>
      <w:sz w:val="16"/>
      <w:szCs w:val="16"/>
    </w:rPr>
  </w:style>
  <w:style w:type="paragraph" w:styleId="Header">
    <w:name w:val="header"/>
    <w:basedOn w:val="Normal"/>
    <w:link w:val="HeaderChar"/>
    <w:uiPriority w:val="99"/>
    <w:unhideWhenUsed/>
    <w:rsid w:val="001424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24A5"/>
  </w:style>
  <w:style w:type="paragraph" w:styleId="Footer">
    <w:name w:val="footer"/>
    <w:basedOn w:val="Normal"/>
    <w:link w:val="FooterChar"/>
    <w:uiPriority w:val="99"/>
    <w:unhideWhenUsed/>
    <w:rsid w:val="001424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24A5"/>
  </w:style>
  <w:style w:type="table" w:styleId="TableGrid">
    <w:name w:val="Table Grid"/>
    <w:basedOn w:val="TableNormal"/>
    <w:uiPriority w:val="59"/>
    <w:rsid w:val="00A56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731B8"/>
    <w:rPr>
      <w:rFonts w:ascii="Calibri" w:eastAsiaTheme="majorEastAsia" w:hAnsi="Calibri" w:cstheme="majorBidi"/>
      <w:b/>
      <w:bCs/>
      <w:sz w:val="28"/>
      <w:szCs w:val="28"/>
    </w:rPr>
  </w:style>
  <w:style w:type="character" w:customStyle="1" w:styleId="Heading3Char">
    <w:name w:val="Heading 3 Char"/>
    <w:basedOn w:val="DefaultParagraphFont"/>
    <w:link w:val="Heading3"/>
    <w:uiPriority w:val="9"/>
    <w:rsid w:val="00773DC8"/>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0731B8"/>
    <w:rPr>
      <w:rFonts w:ascii="Calibri" w:eastAsiaTheme="majorEastAsia" w:hAnsi="Calibri" w:cstheme="majorBidi"/>
      <w:b/>
      <w:bCs/>
      <w:sz w:val="32"/>
      <w:szCs w:val="28"/>
    </w:rPr>
  </w:style>
  <w:style w:type="paragraph" w:styleId="ListParagraph">
    <w:name w:val="List Paragraph"/>
    <w:basedOn w:val="Normal"/>
    <w:uiPriority w:val="34"/>
    <w:qFormat/>
    <w:rsid w:val="00215E51"/>
    <w:pPr>
      <w:ind w:left="720"/>
      <w:contextualSpacing/>
    </w:pPr>
  </w:style>
  <w:style w:type="paragraph" w:styleId="Title">
    <w:name w:val="Title"/>
    <w:basedOn w:val="Normal"/>
    <w:next w:val="Normal"/>
    <w:link w:val="TitleChar"/>
    <w:uiPriority w:val="10"/>
    <w:qFormat/>
    <w:rsid w:val="00E543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439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5439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397"/>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E54397"/>
    <w:rPr>
      <w:i/>
      <w:iCs/>
      <w:color w:val="808080" w:themeColor="text1" w:themeTint="7F"/>
    </w:rPr>
  </w:style>
  <w:style w:type="character" w:styleId="Emphasis">
    <w:name w:val="Emphasis"/>
    <w:basedOn w:val="DefaultParagraphFont"/>
    <w:uiPriority w:val="20"/>
    <w:qFormat/>
    <w:rsid w:val="00E54397"/>
    <w:rPr>
      <w:i/>
      <w:iCs/>
    </w:rPr>
  </w:style>
  <w:style w:type="paragraph" w:customStyle="1" w:styleId="Default">
    <w:name w:val="Default"/>
    <w:rsid w:val="00740CE3"/>
    <w:pPr>
      <w:autoSpaceDE w:val="0"/>
      <w:autoSpaceDN w:val="0"/>
      <w:adjustRightInd w:val="0"/>
      <w:spacing w:after="0" w:line="240" w:lineRule="auto"/>
    </w:pPr>
    <w:rPr>
      <w:rFonts w:ascii="Arial" w:hAnsi="Arial" w:cs="Arial"/>
      <w:color w:val="000000"/>
      <w:sz w:val="24"/>
      <w:szCs w:val="24"/>
    </w:rPr>
  </w:style>
  <w:style w:type="paragraph" w:styleId="Caption">
    <w:name w:val="caption"/>
    <w:basedOn w:val="Normal"/>
    <w:next w:val="Normal"/>
    <w:uiPriority w:val="35"/>
    <w:unhideWhenUsed/>
    <w:qFormat/>
    <w:rsid w:val="009B4695"/>
    <w:pPr>
      <w:spacing w:line="240" w:lineRule="auto"/>
    </w:pPr>
    <w:rPr>
      <w:b/>
      <w:bCs/>
      <w:color w:val="4F81BD" w:themeColor="accent1"/>
      <w:sz w:val="18"/>
      <w:szCs w:val="18"/>
    </w:rPr>
  </w:style>
  <w:style w:type="character" w:customStyle="1" w:styleId="search-result-match">
    <w:name w:val="search-result-match"/>
    <w:basedOn w:val="DefaultParagraphFont"/>
    <w:rsid w:val="00D67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55130">
      <w:bodyDiv w:val="1"/>
      <w:marLeft w:val="0"/>
      <w:marRight w:val="0"/>
      <w:marTop w:val="0"/>
      <w:marBottom w:val="0"/>
      <w:divBdr>
        <w:top w:val="none" w:sz="0" w:space="0" w:color="auto"/>
        <w:left w:val="none" w:sz="0" w:space="0" w:color="auto"/>
        <w:bottom w:val="none" w:sz="0" w:space="0" w:color="auto"/>
        <w:right w:val="none" w:sz="0" w:space="0" w:color="auto"/>
      </w:divBdr>
    </w:div>
    <w:div w:id="103307429">
      <w:bodyDiv w:val="1"/>
      <w:marLeft w:val="0"/>
      <w:marRight w:val="0"/>
      <w:marTop w:val="0"/>
      <w:marBottom w:val="0"/>
      <w:divBdr>
        <w:top w:val="none" w:sz="0" w:space="0" w:color="auto"/>
        <w:left w:val="none" w:sz="0" w:space="0" w:color="auto"/>
        <w:bottom w:val="none" w:sz="0" w:space="0" w:color="auto"/>
        <w:right w:val="none" w:sz="0" w:space="0" w:color="auto"/>
      </w:divBdr>
    </w:div>
    <w:div w:id="105584626">
      <w:bodyDiv w:val="1"/>
      <w:marLeft w:val="0"/>
      <w:marRight w:val="0"/>
      <w:marTop w:val="0"/>
      <w:marBottom w:val="0"/>
      <w:divBdr>
        <w:top w:val="none" w:sz="0" w:space="0" w:color="auto"/>
        <w:left w:val="none" w:sz="0" w:space="0" w:color="auto"/>
        <w:bottom w:val="none" w:sz="0" w:space="0" w:color="auto"/>
        <w:right w:val="none" w:sz="0" w:space="0" w:color="auto"/>
      </w:divBdr>
    </w:div>
    <w:div w:id="219171946">
      <w:bodyDiv w:val="1"/>
      <w:marLeft w:val="0"/>
      <w:marRight w:val="0"/>
      <w:marTop w:val="0"/>
      <w:marBottom w:val="0"/>
      <w:divBdr>
        <w:top w:val="none" w:sz="0" w:space="0" w:color="auto"/>
        <w:left w:val="none" w:sz="0" w:space="0" w:color="auto"/>
        <w:bottom w:val="none" w:sz="0" w:space="0" w:color="auto"/>
        <w:right w:val="none" w:sz="0" w:space="0" w:color="auto"/>
      </w:divBdr>
    </w:div>
    <w:div w:id="251401334">
      <w:bodyDiv w:val="1"/>
      <w:marLeft w:val="0"/>
      <w:marRight w:val="0"/>
      <w:marTop w:val="0"/>
      <w:marBottom w:val="0"/>
      <w:divBdr>
        <w:top w:val="none" w:sz="0" w:space="0" w:color="auto"/>
        <w:left w:val="none" w:sz="0" w:space="0" w:color="auto"/>
        <w:bottom w:val="none" w:sz="0" w:space="0" w:color="auto"/>
        <w:right w:val="none" w:sz="0" w:space="0" w:color="auto"/>
      </w:divBdr>
    </w:div>
    <w:div w:id="253633167">
      <w:bodyDiv w:val="1"/>
      <w:marLeft w:val="0"/>
      <w:marRight w:val="0"/>
      <w:marTop w:val="0"/>
      <w:marBottom w:val="0"/>
      <w:divBdr>
        <w:top w:val="none" w:sz="0" w:space="0" w:color="auto"/>
        <w:left w:val="none" w:sz="0" w:space="0" w:color="auto"/>
        <w:bottom w:val="none" w:sz="0" w:space="0" w:color="auto"/>
        <w:right w:val="none" w:sz="0" w:space="0" w:color="auto"/>
      </w:divBdr>
    </w:div>
    <w:div w:id="260646498">
      <w:bodyDiv w:val="1"/>
      <w:marLeft w:val="0"/>
      <w:marRight w:val="0"/>
      <w:marTop w:val="0"/>
      <w:marBottom w:val="0"/>
      <w:divBdr>
        <w:top w:val="none" w:sz="0" w:space="0" w:color="auto"/>
        <w:left w:val="none" w:sz="0" w:space="0" w:color="auto"/>
        <w:bottom w:val="none" w:sz="0" w:space="0" w:color="auto"/>
        <w:right w:val="none" w:sz="0" w:space="0" w:color="auto"/>
      </w:divBdr>
    </w:div>
    <w:div w:id="277950506">
      <w:bodyDiv w:val="1"/>
      <w:marLeft w:val="0"/>
      <w:marRight w:val="0"/>
      <w:marTop w:val="0"/>
      <w:marBottom w:val="0"/>
      <w:divBdr>
        <w:top w:val="none" w:sz="0" w:space="0" w:color="auto"/>
        <w:left w:val="none" w:sz="0" w:space="0" w:color="auto"/>
        <w:bottom w:val="none" w:sz="0" w:space="0" w:color="auto"/>
        <w:right w:val="none" w:sz="0" w:space="0" w:color="auto"/>
      </w:divBdr>
    </w:div>
    <w:div w:id="288048387">
      <w:bodyDiv w:val="1"/>
      <w:marLeft w:val="0"/>
      <w:marRight w:val="0"/>
      <w:marTop w:val="0"/>
      <w:marBottom w:val="0"/>
      <w:divBdr>
        <w:top w:val="none" w:sz="0" w:space="0" w:color="auto"/>
        <w:left w:val="none" w:sz="0" w:space="0" w:color="auto"/>
        <w:bottom w:val="none" w:sz="0" w:space="0" w:color="auto"/>
        <w:right w:val="none" w:sz="0" w:space="0" w:color="auto"/>
      </w:divBdr>
    </w:div>
    <w:div w:id="441725876">
      <w:bodyDiv w:val="1"/>
      <w:marLeft w:val="0"/>
      <w:marRight w:val="0"/>
      <w:marTop w:val="0"/>
      <w:marBottom w:val="0"/>
      <w:divBdr>
        <w:top w:val="none" w:sz="0" w:space="0" w:color="auto"/>
        <w:left w:val="none" w:sz="0" w:space="0" w:color="auto"/>
        <w:bottom w:val="none" w:sz="0" w:space="0" w:color="auto"/>
        <w:right w:val="none" w:sz="0" w:space="0" w:color="auto"/>
      </w:divBdr>
    </w:div>
    <w:div w:id="483817670">
      <w:bodyDiv w:val="1"/>
      <w:marLeft w:val="0"/>
      <w:marRight w:val="0"/>
      <w:marTop w:val="0"/>
      <w:marBottom w:val="0"/>
      <w:divBdr>
        <w:top w:val="none" w:sz="0" w:space="0" w:color="auto"/>
        <w:left w:val="none" w:sz="0" w:space="0" w:color="auto"/>
        <w:bottom w:val="none" w:sz="0" w:space="0" w:color="auto"/>
        <w:right w:val="none" w:sz="0" w:space="0" w:color="auto"/>
      </w:divBdr>
    </w:div>
    <w:div w:id="569578753">
      <w:bodyDiv w:val="1"/>
      <w:marLeft w:val="0"/>
      <w:marRight w:val="0"/>
      <w:marTop w:val="0"/>
      <w:marBottom w:val="0"/>
      <w:divBdr>
        <w:top w:val="none" w:sz="0" w:space="0" w:color="auto"/>
        <w:left w:val="none" w:sz="0" w:space="0" w:color="auto"/>
        <w:bottom w:val="none" w:sz="0" w:space="0" w:color="auto"/>
        <w:right w:val="none" w:sz="0" w:space="0" w:color="auto"/>
      </w:divBdr>
    </w:div>
    <w:div w:id="570238899">
      <w:bodyDiv w:val="1"/>
      <w:marLeft w:val="0"/>
      <w:marRight w:val="0"/>
      <w:marTop w:val="0"/>
      <w:marBottom w:val="0"/>
      <w:divBdr>
        <w:top w:val="none" w:sz="0" w:space="0" w:color="auto"/>
        <w:left w:val="none" w:sz="0" w:space="0" w:color="auto"/>
        <w:bottom w:val="none" w:sz="0" w:space="0" w:color="auto"/>
        <w:right w:val="none" w:sz="0" w:space="0" w:color="auto"/>
      </w:divBdr>
    </w:div>
    <w:div w:id="578171932">
      <w:bodyDiv w:val="1"/>
      <w:marLeft w:val="0"/>
      <w:marRight w:val="0"/>
      <w:marTop w:val="0"/>
      <w:marBottom w:val="0"/>
      <w:divBdr>
        <w:top w:val="none" w:sz="0" w:space="0" w:color="auto"/>
        <w:left w:val="none" w:sz="0" w:space="0" w:color="auto"/>
        <w:bottom w:val="none" w:sz="0" w:space="0" w:color="auto"/>
        <w:right w:val="none" w:sz="0" w:space="0" w:color="auto"/>
      </w:divBdr>
    </w:div>
    <w:div w:id="611015261">
      <w:bodyDiv w:val="1"/>
      <w:marLeft w:val="0"/>
      <w:marRight w:val="0"/>
      <w:marTop w:val="0"/>
      <w:marBottom w:val="0"/>
      <w:divBdr>
        <w:top w:val="none" w:sz="0" w:space="0" w:color="auto"/>
        <w:left w:val="none" w:sz="0" w:space="0" w:color="auto"/>
        <w:bottom w:val="none" w:sz="0" w:space="0" w:color="auto"/>
        <w:right w:val="none" w:sz="0" w:space="0" w:color="auto"/>
      </w:divBdr>
    </w:div>
    <w:div w:id="658113822">
      <w:bodyDiv w:val="1"/>
      <w:marLeft w:val="0"/>
      <w:marRight w:val="0"/>
      <w:marTop w:val="0"/>
      <w:marBottom w:val="0"/>
      <w:divBdr>
        <w:top w:val="none" w:sz="0" w:space="0" w:color="auto"/>
        <w:left w:val="none" w:sz="0" w:space="0" w:color="auto"/>
        <w:bottom w:val="none" w:sz="0" w:space="0" w:color="auto"/>
        <w:right w:val="none" w:sz="0" w:space="0" w:color="auto"/>
      </w:divBdr>
    </w:div>
    <w:div w:id="681250489">
      <w:bodyDiv w:val="1"/>
      <w:marLeft w:val="0"/>
      <w:marRight w:val="0"/>
      <w:marTop w:val="0"/>
      <w:marBottom w:val="0"/>
      <w:divBdr>
        <w:top w:val="none" w:sz="0" w:space="0" w:color="auto"/>
        <w:left w:val="none" w:sz="0" w:space="0" w:color="auto"/>
        <w:bottom w:val="none" w:sz="0" w:space="0" w:color="auto"/>
        <w:right w:val="none" w:sz="0" w:space="0" w:color="auto"/>
      </w:divBdr>
    </w:div>
    <w:div w:id="830295893">
      <w:bodyDiv w:val="1"/>
      <w:marLeft w:val="0"/>
      <w:marRight w:val="0"/>
      <w:marTop w:val="0"/>
      <w:marBottom w:val="0"/>
      <w:divBdr>
        <w:top w:val="none" w:sz="0" w:space="0" w:color="auto"/>
        <w:left w:val="none" w:sz="0" w:space="0" w:color="auto"/>
        <w:bottom w:val="none" w:sz="0" w:space="0" w:color="auto"/>
        <w:right w:val="none" w:sz="0" w:space="0" w:color="auto"/>
      </w:divBdr>
    </w:div>
    <w:div w:id="995569487">
      <w:bodyDiv w:val="1"/>
      <w:marLeft w:val="0"/>
      <w:marRight w:val="0"/>
      <w:marTop w:val="0"/>
      <w:marBottom w:val="0"/>
      <w:divBdr>
        <w:top w:val="none" w:sz="0" w:space="0" w:color="auto"/>
        <w:left w:val="none" w:sz="0" w:space="0" w:color="auto"/>
        <w:bottom w:val="none" w:sz="0" w:space="0" w:color="auto"/>
        <w:right w:val="none" w:sz="0" w:space="0" w:color="auto"/>
      </w:divBdr>
    </w:div>
    <w:div w:id="1022173915">
      <w:bodyDiv w:val="1"/>
      <w:marLeft w:val="0"/>
      <w:marRight w:val="0"/>
      <w:marTop w:val="0"/>
      <w:marBottom w:val="0"/>
      <w:divBdr>
        <w:top w:val="none" w:sz="0" w:space="0" w:color="auto"/>
        <w:left w:val="none" w:sz="0" w:space="0" w:color="auto"/>
        <w:bottom w:val="none" w:sz="0" w:space="0" w:color="auto"/>
        <w:right w:val="none" w:sz="0" w:space="0" w:color="auto"/>
      </w:divBdr>
    </w:div>
    <w:div w:id="1335454464">
      <w:bodyDiv w:val="1"/>
      <w:marLeft w:val="0"/>
      <w:marRight w:val="0"/>
      <w:marTop w:val="0"/>
      <w:marBottom w:val="0"/>
      <w:divBdr>
        <w:top w:val="none" w:sz="0" w:space="0" w:color="auto"/>
        <w:left w:val="none" w:sz="0" w:space="0" w:color="auto"/>
        <w:bottom w:val="none" w:sz="0" w:space="0" w:color="auto"/>
        <w:right w:val="none" w:sz="0" w:space="0" w:color="auto"/>
      </w:divBdr>
    </w:div>
    <w:div w:id="1500729467">
      <w:bodyDiv w:val="1"/>
      <w:marLeft w:val="0"/>
      <w:marRight w:val="0"/>
      <w:marTop w:val="0"/>
      <w:marBottom w:val="0"/>
      <w:divBdr>
        <w:top w:val="none" w:sz="0" w:space="0" w:color="auto"/>
        <w:left w:val="none" w:sz="0" w:space="0" w:color="auto"/>
        <w:bottom w:val="none" w:sz="0" w:space="0" w:color="auto"/>
        <w:right w:val="none" w:sz="0" w:space="0" w:color="auto"/>
      </w:divBdr>
    </w:div>
    <w:div w:id="1652059403">
      <w:bodyDiv w:val="1"/>
      <w:marLeft w:val="0"/>
      <w:marRight w:val="0"/>
      <w:marTop w:val="0"/>
      <w:marBottom w:val="0"/>
      <w:divBdr>
        <w:top w:val="none" w:sz="0" w:space="0" w:color="auto"/>
        <w:left w:val="none" w:sz="0" w:space="0" w:color="auto"/>
        <w:bottom w:val="none" w:sz="0" w:space="0" w:color="auto"/>
        <w:right w:val="none" w:sz="0" w:space="0" w:color="auto"/>
      </w:divBdr>
    </w:div>
    <w:div w:id="1743526271">
      <w:bodyDiv w:val="1"/>
      <w:marLeft w:val="0"/>
      <w:marRight w:val="0"/>
      <w:marTop w:val="0"/>
      <w:marBottom w:val="0"/>
      <w:divBdr>
        <w:top w:val="none" w:sz="0" w:space="0" w:color="auto"/>
        <w:left w:val="none" w:sz="0" w:space="0" w:color="auto"/>
        <w:bottom w:val="none" w:sz="0" w:space="0" w:color="auto"/>
        <w:right w:val="none" w:sz="0" w:space="0" w:color="auto"/>
      </w:divBdr>
    </w:div>
    <w:div w:id="1749114491">
      <w:bodyDiv w:val="1"/>
      <w:marLeft w:val="0"/>
      <w:marRight w:val="0"/>
      <w:marTop w:val="0"/>
      <w:marBottom w:val="0"/>
      <w:divBdr>
        <w:top w:val="none" w:sz="0" w:space="0" w:color="auto"/>
        <w:left w:val="none" w:sz="0" w:space="0" w:color="auto"/>
        <w:bottom w:val="none" w:sz="0" w:space="0" w:color="auto"/>
        <w:right w:val="none" w:sz="0" w:space="0" w:color="auto"/>
      </w:divBdr>
    </w:div>
    <w:div w:id="1753811810">
      <w:bodyDiv w:val="1"/>
      <w:marLeft w:val="0"/>
      <w:marRight w:val="0"/>
      <w:marTop w:val="0"/>
      <w:marBottom w:val="0"/>
      <w:divBdr>
        <w:top w:val="none" w:sz="0" w:space="0" w:color="auto"/>
        <w:left w:val="none" w:sz="0" w:space="0" w:color="auto"/>
        <w:bottom w:val="none" w:sz="0" w:space="0" w:color="auto"/>
        <w:right w:val="none" w:sz="0" w:space="0" w:color="auto"/>
      </w:divBdr>
    </w:div>
    <w:div w:id="1833598833">
      <w:bodyDiv w:val="1"/>
      <w:marLeft w:val="0"/>
      <w:marRight w:val="0"/>
      <w:marTop w:val="0"/>
      <w:marBottom w:val="0"/>
      <w:divBdr>
        <w:top w:val="none" w:sz="0" w:space="0" w:color="auto"/>
        <w:left w:val="none" w:sz="0" w:space="0" w:color="auto"/>
        <w:bottom w:val="none" w:sz="0" w:space="0" w:color="auto"/>
        <w:right w:val="none" w:sz="0" w:space="0" w:color="auto"/>
      </w:divBdr>
    </w:div>
    <w:div w:id="1885825564">
      <w:bodyDiv w:val="1"/>
      <w:marLeft w:val="0"/>
      <w:marRight w:val="0"/>
      <w:marTop w:val="0"/>
      <w:marBottom w:val="0"/>
      <w:divBdr>
        <w:top w:val="none" w:sz="0" w:space="0" w:color="auto"/>
        <w:left w:val="none" w:sz="0" w:space="0" w:color="auto"/>
        <w:bottom w:val="none" w:sz="0" w:space="0" w:color="auto"/>
        <w:right w:val="none" w:sz="0" w:space="0" w:color="auto"/>
      </w:divBdr>
    </w:div>
    <w:div w:id="1889100050">
      <w:bodyDiv w:val="1"/>
      <w:marLeft w:val="0"/>
      <w:marRight w:val="0"/>
      <w:marTop w:val="0"/>
      <w:marBottom w:val="0"/>
      <w:divBdr>
        <w:top w:val="none" w:sz="0" w:space="0" w:color="auto"/>
        <w:left w:val="none" w:sz="0" w:space="0" w:color="auto"/>
        <w:bottom w:val="none" w:sz="0" w:space="0" w:color="auto"/>
        <w:right w:val="none" w:sz="0" w:space="0" w:color="auto"/>
      </w:divBdr>
    </w:div>
    <w:div w:id="1963339225">
      <w:bodyDiv w:val="1"/>
      <w:marLeft w:val="0"/>
      <w:marRight w:val="0"/>
      <w:marTop w:val="0"/>
      <w:marBottom w:val="0"/>
      <w:divBdr>
        <w:top w:val="none" w:sz="0" w:space="0" w:color="auto"/>
        <w:left w:val="none" w:sz="0" w:space="0" w:color="auto"/>
        <w:bottom w:val="none" w:sz="0" w:space="0" w:color="auto"/>
        <w:right w:val="none" w:sz="0" w:space="0" w:color="auto"/>
      </w:divBdr>
    </w:div>
    <w:div w:id="1975138091">
      <w:bodyDiv w:val="1"/>
      <w:marLeft w:val="0"/>
      <w:marRight w:val="0"/>
      <w:marTop w:val="0"/>
      <w:marBottom w:val="0"/>
      <w:divBdr>
        <w:top w:val="none" w:sz="0" w:space="0" w:color="auto"/>
        <w:left w:val="none" w:sz="0" w:space="0" w:color="auto"/>
        <w:bottom w:val="none" w:sz="0" w:space="0" w:color="auto"/>
        <w:right w:val="none" w:sz="0" w:space="0" w:color="auto"/>
      </w:divBdr>
    </w:div>
    <w:div w:id="2045977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chart" Target="charts/chart7.xml"/><Relationship Id="rId23"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chart" Target="charts/chart11.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2.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Sheet1!$I$25</c:f>
              <c:strCache>
                <c:ptCount val="1"/>
                <c:pt idx="0">
                  <c:v>Number</c:v>
                </c:pt>
              </c:strCache>
            </c:strRef>
          </c:tx>
          <c:dLbls>
            <c:dLbl>
              <c:idx val="0"/>
              <c:layout>
                <c:manualLayout>
                  <c:x val="-0.18055555555555555"/>
                  <c:y val="0.13405106394849348"/>
                </c:manualLayout>
              </c:layout>
              <c:dLblPos val="bestFit"/>
              <c:showLegendKey val="0"/>
              <c:showVal val="0"/>
              <c:showCatName val="1"/>
              <c:showSerName val="0"/>
              <c:showPercent val="1"/>
              <c:showBubbleSize val="0"/>
            </c:dLbl>
            <c:dLbl>
              <c:idx val="1"/>
              <c:layout>
                <c:manualLayout>
                  <c:x val="-4.4444444444444446E-2"/>
                  <c:y val="-0.21065226430450629"/>
                </c:manualLayout>
              </c:layout>
              <c:dLblPos val="bestFit"/>
              <c:showLegendKey val="0"/>
              <c:showVal val="0"/>
              <c:showCatName val="1"/>
              <c:showSerName val="0"/>
              <c:showPercent val="1"/>
              <c:showBubbleSize val="0"/>
            </c:dLbl>
            <c:dLbl>
              <c:idx val="2"/>
              <c:layout>
                <c:manualLayout>
                  <c:x val="1.1111111111111112E-2"/>
                  <c:y val="4.3087963153194485E-2"/>
                </c:manualLayout>
              </c:layout>
              <c:dLblPos val="bestFit"/>
              <c:showLegendKey val="0"/>
              <c:showVal val="0"/>
              <c:showCatName val="1"/>
              <c:showSerName val="0"/>
              <c:showPercent val="1"/>
              <c:showBubbleSize val="0"/>
            </c:dLbl>
            <c:dLbl>
              <c:idx val="3"/>
              <c:layout>
                <c:manualLayout>
                  <c:x val="-3.3333333333333333E-2"/>
                  <c:y val="-9.5751029229321077E-3"/>
                </c:manualLayout>
              </c:layout>
              <c:dLblPos val="bestFit"/>
              <c:showLegendKey val="0"/>
              <c:showVal val="0"/>
              <c:showCatName val="1"/>
              <c:showSerName val="0"/>
              <c:showPercent val="1"/>
              <c:showBubbleSize val="0"/>
            </c:dLbl>
            <c:dLbl>
              <c:idx val="4"/>
              <c:layout>
                <c:manualLayout>
                  <c:x val="-2.4999999999999988E-2"/>
                  <c:y val="3.8300411691728431E-2"/>
                </c:manualLayout>
              </c:layout>
              <c:dLblPos val="bestFit"/>
              <c:showLegendKey val="0"/>
              <c:showVal val="0"/>
              <c:showCatName val="1"/>
              <c:showSerName val="0"/>
              <c:showPercent val="1"/>
              <c:showBubbleSize val="0"/>
            </c:dLbl>
            <c:dLbl>
              <c:idx val="5"/>
              <c:layout>
                <c:manualLayout>
                  <c:x val="-7.4999999999999969E-2"/>
                  <c:y val="0.12926388945958345"/>
                </c:manualLayout>
              </c:layout>
              <c:dLblPos val="bestFit"/>
              <c:showLegendKey val="0"/>
              <c:showVal val="0"/>
              <c:showCatName val="1"/>
              <c:showSerName val="0"/>
              <c:showPercent val="1"/>
              <c:showBubbleSize val="0"/>
            </c:dLbl>
            <c:dLbl>
              <c:idx val="6"/>
              <c:layout>
                <c:manualLayout>
                  <c:x val="-8.3333333333333072E-3"/>
                  <c:y val="9.5751029229321077E-3"/>
                </c:manualLayout>
              </c:layout>
              <c:dLblPos val="bestFit"/>
              <c:showLegendKey val="0"/>
              <c:showVal val="0"/>
              <c:showCatName val="1"/>
              <c:showSerName val="0"/>
              <c:showPercent val="1"/>
              <c:showBubbleSize val="0"/>
            </c:dLbl>
            <c:dLbl>
              <c:idx val="7"/>
              <c:layout>
                <c:manualLayout>
                  <c:x val="4.166666666666672E-2"/>
                  <c:y val="0.1436265438439816"/>
                </c:manualLayout>
              </c:layout>
              <c:dLblPos val="bestFit"/>
              <c:showLegendKey val="0"/>
              <c:showVal val="0"/>
              <c:showCatName val="1"/>
              <c:showSerName val="0"/>
              <c:showPercent val="1"/>
              <c:showBubbleSize val="0"/>
            </c:dLbl>
            <c:txPr>
              <a:bodyPr/>
              <a:lstStyle/>
              <a:p>
                <a:pPr>
                  <a:defRPr sz="900" b="1"/>
                </a:pPr>
                <a:endParaRPr lang="en-US"/>
              </a:p>
            </c:txPr>
            <c:dLblPos val="outEnd"/>
            <c:showLegendKey val="0"/>
            <c:showVal val="0"/>
            <c:showCatName val="1"/>
            <c:showSerName val="0"/>
            <c:showPercent val="1"/>
            <c:showBubbleSize val="0"/>
            <c:showLeaderLines val="1"/>
          </c:dLbls>
          <c:cat>
            <c:strRef>
              <c:f>Sheet1!$H$26:$H$34</c:f>
              <c:strCache>
                <c:ptCount val="9"/>
                <c:pt idx="0">
                  <c:v>Social Care Staff</c:v>
                </c:pt>
                <c:pt idx="1">
                  <c:v>Health Staff</c:v>
                </c:pt>
                <c:pt idx="2">
                  <c:v>Self Referral</c:v>
                </c:pt>
                <c:pt idx="3">
                  <c:v>Police</c:v>
                </c:pt>
                <c:pt idx="4">
                  <c:v>Family Member</c:v>
                </c:pt>
                <c:pt idx="5">
                  <c:v>Housing</c:v>
                </c:pt>
                <c:pt idx="6">
                  <c:v>Friend/Neighbour</c:v>
                </c:pt>
                <c:pt idx="7">
                  <c:v>Other</c:v>
                </c:pt>
                <c:pt idx="8">
                  <c:v>Total</c:v>
                </c:pt>
              </c:strCache>
            </c:strRef>
          </c:cat>
          <c:val>
            <c:numRef>
              <c:f>Sheet1!$I$26:$I$33</c:f>
              <c:numCache>
                <c:formatCode>General</c:formatCode>
                <c:ptCount val="8"/>
                <c:pt idx="0">
                  <c:v>180</c:v>
                </c:pt>
                <c:pt idx="1">
                  <c:v>144</c:v>
                </c:pt>
                <c:pt idx="2">
                  <c:v>21</c:v>
                </c:pt>
                <c:pt idx="3">
                  <c:v>39</c:v>
                </c:pt>
                <c:pt idx="4">
                  <c:v>89</c:v>
                </c:pt>
                <c:pt idx="5">
                  <c:v>15</c:v>
                </c:pt>
                <c:pt idx="6">
                  <c:v>9</c:v>
                </c:pt>
                <c:pt idx="7">
                  <c:v>41</c:v>
                </c:pt>
              </c:numCache>
            </c:numRef>
          </c:val>
        </c:ser>
        <c:dLbls>
          <c:showLegendKey val="0"/>
          <c:showVal val="0"/>
          <c:showCatName val="0"/>
          <c:showSerName val="0"/>
          <c:showPercent val="0"/>
          <c:showBubbleSize val="0"/>
          <c:showLeaderLines val="1"/>
        </c:dLbls>
        <c:firstSliceAng val="0"/>
      </c:pieChart>
    </c:plotArea>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percentStacked"/>
        <c:varyColors val="0"/>
        <c:ser>
          <c:idx val="0"/>
          <c:order val="0"/>
          <c:tx>
            <c:strRef>
              <c:f>Sheet1!$A$343</c:f>
              <c:strCache>
                <c:ptCount val="1"/>
                <c:pt idx="0">
                  <c:v>Yes</c:v>
                </c:pt>
              </c:strCache>
            </c:strRef>
          </c:tx>
          <c:invertIfNegative val="0"/>
          <c:dLbls>
            <c:txPr>
              <a:bodyPr/>
              <a:lstStyle/>
              <a:p>
                <a:pPr>
                  <a:defRPr b="1"/>
                </a:pPr>
                <a:endParaRPr lang="en-US"/>
              </a:p>
            </c:txPr>
            <c:dLblPos val="ctr"/>
            <c:showLegendKey val="0"/>
            <c:showVal val="1"/>
            <c:showCatName val="0"/>
            <c:showSerName val="0"/>
            <c:showPercent val="0"/>
            <c:showBubbleSize val="0"/>
            <c:showLeaderLines val="0"/>
          </c:dLbls>
          <c:cat>
            <c:strRef>
              <c:f>Sheet1!$B$342:$G$342</c:f>
              <c:strCache>
                <c:ptCount val="6"/>
                <c:pt idx="0">
                  <c:v>18-64</c:v>
                </c:pt>
                <c:pt idx="1">
                  <c:v>65-74</c:v>
                </c:pt>
                <c:pt idx="2">
                  <c:v>75-84</c:v>
                </c:pt>
                <c:pt idx="3">
                  <c:v>85-94</c:v>
                </c:pt>
                <c:pt idx="4">
                  <c:v>95+</c:v>
                </c:pt>
                <c:pt idx="5">
                  <c:v>Not Known</c:v>
                </c:pt>
              </c:strCache>
            </c:strRef>
          </c:cat>
          <c:val>
            <c:numRef>
              <c:f>Sheet1!$B$343:$G$343</c:f>
              <c:numCache>
                <c:formatCode>0%</c:formatCode>
                <c:ptCount val="6"/>
                <c:pt idx="0">
                  <c:v>0.15584415584415584</c:v>
                </c:pt>
                <c:pt idx="1">
                  <c:v>0.14666666666666667</c:v>
                </c:pt>
                <c:pt idx="2">
                  <c:v>0.24545454545454545</c:v>
                </c:pt>
                <c:pt idx="3">
                  <c:v>0.28000000000000003</c:v>
                </c:pt>
                <c:pt idx="4">
                  <c:v>0.29166666666666669</c:v>
                </c:pt>
                <c:pt idx="5">
                  <c:v>0</c:v>
                </c:pt>
              </c:numCache>
            </c:numRef>
          </c:val>
        </c:ser>
        <c:ser>
          <c:idx val="1"/>
          <c:order val="1"/>
          <c:tx>
            <c:strRef>
              <c:f>Sheet1!$A$344</c:f>
              <c:strCache>
                <c:ptCount val="1"/>
                <c:pt idx="0">
                  <c:v>No</c:v>
                </c:pt>
              </c:strCache>
            </c:strRef>
          </c:tx>
          <c:invertIfNegative val="0"/>
          <c:dLbls>
            <c:txPr>
              <a:bodyPr/>
              <a:lstStyle/>
              <a:p>
                <a:pPr>
                  <a:defRPr b="1"/>
                </a:pPr>
                <a:endParaRPr lang="en-US"/>
              </a:p>
            </c:txPr>
            <c:dLblPos val="ctr"/>
            <c:showLegendKey val="0"/>
            <c:showVal val="1"/>
            <c:showCatName val="0"/>
            <c:showSerName val="0"/>
            <c:showPercent val="0"/>
            <c:showBubbleSize val="0"/>
            <c:showLeaderLines val="0"/>
          </c:dLbls>
          <c:cat>
            <c:strRef>
              <c:f>Sheet1!$B$342:$G$342</c:f>
              <c:strCache>
                <c:ptCount val="6"/>
                <c:pt idx="0">
                  <c:v>18-64</c:v>
                </c:pt>
                <c:pt idx="1">
                  <c:v>65-74</c:v>
                </c:pt>
                <c:pt idx="2">
                  <c:v>75-84</c:v>
                </c:pt>
                <c:pt idx="3">
                  <c:v>85-94</c:v>
                </c:pt>
                <c:pt idx="4">
                  <c:v>95+</c:v>
                </c:pt>
                <c:pt idx="5">
                  <c:v>Not Known</c:v>
                </c:pt>
              </c:strCache>
            </c:strRef>
          </c:cat>
          <c:val>
            <c:numRef>
              <c:f>Sheet1!$B$344:$G$344</c:f>
              <c:numCache>
                <c:formatCode>0%</c:formatCode>
                <c:ptCount val="6"/>
                <c:pt idx="0">
                  <c:v>0.69264069264069261</c:v>
                </c:pt>
                <c:pt idx="1">
                  <c:v>0.72</c:v>
                </c:pt>
                <c:pt idx="2">
                  <c:v>0.58181818181818179</c:v>
                </c:pt>
                <c:pt idx="3">
                  <c:v>0.52</c:v>
                </c:pt>
                <c:pt idx="4">
                  <c:v>0.625</c:v>
                </c:pt>
                <c:pt idx="5">
                  <c:v>1</c:v>
                </c:pt>
              </c:numCache>
            </c:numRef>
          </c:val>
        </c:ser>
        <c:ser>
          <c:idx val="2"/>
          <c:order val="2"/>
          <c:tx>
            <c:strRef>
              <c:f>Sheet1!$A$345</c:f>
              <c:strCache>
                <c:ptCount val="1"/>
                <c:pt idx="0">
                  <c:v>DON'T KNOW</c:v>
                </c:pt>
              </c:strCache>
            </c:strRef>
          </c:tx>
          <c:invertIfNegative val="0"/>
          <c:dLbls>
            <c:txPr>
              <a:bodyPr/>
              <a:lstStyle/>
              <a:p>
                <a:pPr>
                  <a:defRPr b="1"/>
                </a:pPr>
                <a:endParaRPr lang="en-US"/>
              </a:p>
            </c:txPr>
            <c:dLblPos val="ctr"/>
            <c:showLegendKey val="0"/>
            <c:showVal val="1"/>
            <c:showCatName val="0"/>
            <c:showSerName val="0"/>
            <c:showPercent val="0"/>
            <c:showBubbleSize val="0"/>
            <c:showLeaderLines val="0"/>
          </c:dLbls>
          <c:cat>
            <c:strRef>
              <c:f>Sheet1!$B$342:$G$342</c:f>
              <c:strCache>
                <c:ptCount val="6"/>
                <c:pt idx="0">
                  <c:v>18-64</c:v>
                </c:pt>
                <c:pt idx="1">
                  <c:v>65-74</c:v>
                </c:pt>
                <c:pt idx="2">
                  <c:v>75-84</c:v>
                </c:pt>
                <c:pt idx="3">
                  <c:v>85-94</c:v>
                </c:pt>
                <c:pt idx="4">
                  <c:v>95+</c:v>
                </c:pt>
                <c:pt idx="5">
                  <c:v>Not Known</c:v>
                </c:pt>
              </c:strCache>
            </c:strRef>
          </c:cat>
          <c:val>
            <c:numRef>
              <c:f>Sheet1!$B$345:$G$345</c:f>
              <c:numCache>
                <c:formatCode>0%</c:formatCode>
                <c:ptCount val="6"/>
                <c:pt idx="0">
                  <c:v>0.15151515151515152</c:v>
                </c:pt>
                <c:pt idx="1">
                  <c:v>0.13333333333333333</c:v>
                </c:pt>
                <c:pt idx="2">
                  <c:v>0.17272727272727273</c:v>
                </c:pt>
                <c:pt idx="3">
                  <c:v>0.2</c:v>
                </c:pt>
                <c:pt idx="4">
                  <c:v>8.3333333333333329E-2</c:v>
                </c:pt>
                <c:pt idx="5">
                  <c:v>0</c:v>
                </c:pt>
              </c:numCache>
            </c:numRef>
          </c:val>
        </c:ser>
        <c:dLbls>
          <c:dLblPos val="ctr"/>
          <c:showLegendKey val="0"/>
          <c:showVal val="1"/>
          <c:showCatName val="0"/>
          <c:showSerName val="0"/>
          <c:showPercent val="0"/>
          <c:showBubbleSize val="0"/>
        </c:dLbls>
        <c:gapWidth val="150"/>
        <c:overlap val="100"/>
        <c:axId val="266044160"/>
        <c:axId val="266045696"/>
      </c:barChart>
      <c:catAx>
        <c:axId val="266044160"/>
        <c:scaling>
          <c:orientation val="minMax"/>
        </c:scaling>
        <c:delete val="0"/>
        <c:axPos val="b"/>
        <c:majorTickMark val="out"/>
        <c:minorTickMark val="none"/>
        <c:tickLblPos val="nextTo"/>
        <c:crossAx val="266045696"/>
        <c:crosses val="autoZero"/>
        <c:auto val="1"/>
        <c:lblAlgn val="ctr"/>
        <c:lblOffset val="100"/>
        <c:noMultiLvlLbl val="0"/>
      </c:catAx>
      <c:valAx>
        <c:axId val="266045696"/>
        <c:scaling>
          <c:orientation val="minMax"/>
        </c:scaling>
        <c:delete val="0"/>
        <c:axPos val="l"/>
        <c:majorGridlines/>
        <c:numFmt formatCode="0%" sourceLinked="1"/>
        <c:majorTickMark val="out"/>
        <c:minorTickMark val="none"/>
        <c:tickLblPos val="nextTo"/>
        <c:crossAx val="266044160"/>
        <c:crosses val="autoZero"/>
        <c:crossBetween val="between"/>
        <c:majorUnit val="0.2"/>
      </c:valAx>
    </c:plotArea>
    <c:legend>
      <c:legendPos val="r"/>
      <c:overlay val="0"/>
    </c:legend>
    <c:plotVisOnly val="1"/>
    <c:dispBlanksAs val="gap"/>
    <c:showDLblsOverMax val="0"/>
  </c:chart>
  <c:txPr>
    <a:bodyPr/>
    <a:lstStyle/>
    <a:p>
      <a:pPr>
        <a:defRPr sz="9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sz="1100"/>
            </a:pPr>
            <a:r>
              <a:rPr lang="en-GB" sz="1100"/>
              <a:t>Making Safeguarding Personal: Expression of Outcomes</a:t>
            </a:r>
          </a:p>
        </c:rich>
      </c:tx>
      <c:overlay val="1"/>
    </c:title>
    <c:autoTitleDeleted val="0"/>
    <c:plotArea>
      <c:layout>
        <c:manualLayout>
          <c:layoutTarget val="inner"/>
          <c:xMode val="edge"/>
          <c:yMode val="edge"/>
          <c:x val="5.4328092709341566E-2"/>
          <c:y val="0.18352838675248584"/>
          <c:w val="0.92573835247338265"/>
          <c:h val="0.61384302065976193"/>
        </c:manualLayout>
      </c:layout>
      <c:barChart>
        <c:barDir val="col"/>
        <c:grouping val="clustered"/>
        <c:varyColors val="0"/>
        <c:ser>
          <c:idx val="0"/>
          <c:order val="0"/>
          <c:invertIfNegative val="0"/>
          <c:cat>
            <c:strRef>
              <c:f>Sheet1!$A$365:$A$368</c:f>
              <c:strCache>
                <c:ptCount val="4"/>
                <c:pt idx="0">
                  <c:v>Yes they were asked and outcomes were expressed</c:v>
                </c:pt>
                <c:pt idx="1">
                  <c:v>Yes they were asked but no outcomes were expressed</c:v>
                </c:pt>
                <c:pt idx="2">
                  <c:v>No they were not asked</c:v>
                </c:pt>
                <c:pt idx="3">
                  <c:v>Not Recorded (Data not available for 6 months)</c:v>
                </c:pt>
              </c:strCache>
            </c:strRef>
          </c:cat>
          <c:val>
            <c:numRef>
              <c:f>Sheet1!$B$365:$B$368</c:f>
              <c:numCache>
                <c:formatCode>General</c:formatCode>
                <c:ptCount val="4"/>
              </c:numCache>
            </c:numRef>
          </c:val>
        </c:ser>
        <c:ser>
          <c:idx val="1"/>
          <c:order val="1"/>
          <c:invertIfNegative val="0"/>
          <c:cat>
            <c:strRef>
              <c:f>Sheet1!$A$365:$A$368</c:f>
              <c:strCache>
                <c:ptCount val="4"/>
                <c:pt idx="0">
                  <c:v>Yes they were asked and outcomes were expressed</c:v>
                </c:pt>
                <c:pt idx="1">
                  <c:v>Yes they were asked but no outcomes were expressed</c:v>
                </c:pt>
                <c:pt idx="2">
                  <c:v>No they were not asked</c:v>
                </c:pt>
                <c:pt idx="3">
                  <c:v>Not Recorded (Data not available for 6 months)</c:v>
                </c:pt>
              </c:strCache>
            </c:strRef>
          </c:cat>
          <c:val>
            <c:numRef>
              <c:f>Sheet1!$C$365:$C$368</c:f>
              <c:numCache>
                <c:formatCode>General</c:formatCode>
                <c:ptCount val="4"/>
              </c:numCache>
            </c:numRef>
          </c:val>
        </c:ser>
        <c:ser>
          <c:idx val="2"/>
          <c:order val="2"/>
          <c:spPr>
            <a:solidFill>
              <a:srgbClr val="0070C0"/>
            </a:solidFill>
          </c:spPr>
          <c:invertIfNegative val="0"/>
          <c:dLbls>
            <c:txPr>
              <a:bodyPr/>
              <a:lstStyle/>
              <a:p>
                <a:pPr>
                  <a:defRPr b="1"/>
                </a:pPr>
                <a:endParaRPr lang="en-US"/>
              </a:p>
            </c:txPr>
            <c:showLegendKey val="0"/>
            <c:showVal val="1"/>
            <c:showCatName val="0"/>
            <c:showSerName val="0"/>
            <c:showPercent val="0"/>
            <c:showBubbleSize val="0"/>
            <c:showLeaderLines val="0"/>
          </c:dLbls>
          <c:cat>
            <c:strRef>
              <c:f>Sheet1!$A$365:$A$368</c:f>
              <c:strCache>
                <c:ptCount val="4"/>
                <c:pt idx="0">
                  <c:v>Yes they were asked and outcomes were expressed</c:v>
                </c:pt>
                <c:pt idx="1">
                  <c:v>Yes they were asked but no outcomes were expressed</c:v>
                </c:pt>
                <c:pt idx="2">
                  <c:v>No they were not asked</c:v>
                </c:pt>
                <c:pt idx="3">
                  <c:v>Not Recorded (Data not available for 6 months)</c:v>
                </c:pt>
              </c:strCache>
            </c:strRef>
          </c:cat>
          <c:val>
            <c:numRef>
              <c:f>Sheet1!$E$365:$E$368</c:f>
              <c:numCache>
                <c:formatCode>0%</c:formatCode>
                <c:ptCount val="4"/>
                <c:pt idx="0">
                  <c:v>0.42253521126760563</c:v>
                </c:pt>
                <c:pt idx="1">
                  <c:v>3.6971830985915492E-2</c:v>
                </c:pt>
                <c:pt idx="2">
                  <c:v>0.10739436619718309</c:v>
                </c:pt>
                <c:pt idx="3">
                  <c:v>0.43309859154929575</c:v>
                </c:pt>
              </c:numCache>
            </c:numRef>
          </c:val>
        </c:ser>
        <c:dLbls>
          <c:showLegendKey val="0"/>
          <c:showVal val="0"/>
          <c:showCatName val="0"/>
          <c:showSerName val="0"/>
          <c:showPercent val="0"/>
          <c:showBubbleSize val="0"/>
        </c:dLbls>
        <c:gapWidth val="65"/>
        <c:overlap val="100"/>
        <c:axId val="266146176"/>
        <c:axId val="266147712"/>
      </c:barChart>
      <c:catAx>
        <c:axId val="266146176"/>
        <c:scaling>
          <c:orientation val="minMax"/>
        </c:scaling>
        <c:delete val="0"/>
        <c:axPos val="b"/>
        <c:majorTickMark val="out"/>
        <c:minorTickMark val="none"/>
        <c:tickLblPos val="nextTo"/>
        <c:txPr>
          <a:bodyPr/>
          <a:lstStyle/>
          <a:p>
            <a:pPr>
              <a:defRPr sz="900"/>
            </a:pPr>
            <a:endParaRPr lang="en-US"/>
          </a:p>
        </c:txPr>
        <c:crossAx val="266147712"/>
        <c:crosses val="autoZero"/>
        <c:auto val="1"/>
        <c:lblAlgn val="ctr"/>
        <c:lblOffset val="100"/>
        <c:noMultiLvlLbl val="0"/>
      </c:catAx>
      <c:valAx>
        <c:axId val="266147712"/>
        <c:scaling>
          <c:orientation val="minMax"/>
        </c:scaling>
        <c:delete val="1"/>
        <c:axPos val="l"/>
        <c:majorGridlines>
          <c:spPr>
            <a:ln>
              <a:noFill/>
            </a:ln>
          </c:spPr>
        </c:majorGridlines>
        <c:numFmt formatCode="0%" sourceLinked="0"/>
        <c:majorTickMark val="out"/>
        <c:minorTickMark val="none"/>
        <c:tickLblPos val="nextTo"/>
        <c:crossAx val="266146176"/>
        <c:crosses val="autoZero"/>
        <c:crossBetween val="between"/>
      </c:valAx>
      <c:spPr>
        <a:ln>
          <a:solidFill>
            <a:schemeClr val="accent1"/>
          </a:solidFill>
        </a:ln>
      </c:spPr>
    </c:plotArea>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GB" sz="1200"/>
              <a:t>Making</a:t>
            </a:r>
            <a:r>
              <a:rPr lang="en-GB" sz="1200" baseline="0"/>
              <a:t> Safeguarding Personal: Outcomes Achieved</a:t>
            </a:r>
            <a:endParaRPr lang="en-GB" sz="1200"/>
          </a:p>
        </c:rich>
      </c:tx>
      <c:layout>
        <c:manualLayout>
          <c:xMode val="edge"/>
          <c:yMode val="edge"/>
          <c:x val="0.14525699912510937"/>
          <c:y val="4.350189575781159E-2"/>
        </c:manualLayout>
      </c:layout>
      <c:overlay val="1"/>
    </c:title>
    <c:autoTitleDeleted val="0"/>
    <c:plotArea>
      <c:layout>
        <c:manualLayout>
          <c:layoutTarget val="inner"/>
          <c:xMode val="edge"/>
          <c:yMode val="edge"/>
          <c:x val="9.7599518810148722E-2"/>
          <c:y val="0.17445356309641699"/>
          <c:w val="0.87759492563429575"/>
          <c:h val="0.55728428968426191"/>
        </c:manualLayout>
      </c:layout>
      <c:barChart>
        <c:barDir val="col"/>
        <c:grouping val="clustered"/>
        <c:varyColors val="0"/>
        <c:ser>
          <c:idx val="0"/>
          <c:order val="0"/>
          <c:invertIfNegative val="0"/>
          <c:dLbls>
            <c:txPr>
              <a:bodyPr/>
              <a:lstStyle/>
              <a:p>
                <a:pPr>
                  <a:defRPr b="1" i="0"/>
                </a:pPr>
                <a:endParaRPr lang="en-US"/>
              </a:p>
            </c:txPr>
            <c:showLegendKey val="0"/>
            <c:showVal val="1"/>
            <c:showCatName val="0"/>
            <c:showSerName val="0"/>
            <c:showPercent val="0"/>
            <c:showBubbleSize val="0"/>
            <c:showLeaderLines val="0"/>
          </c:dLbls>
          <c:cat>
            <c:strRef>
              <c:f>Sheet1!$A$394:$C$396</c:f>
              <c:strCache>
                <c:ptCount val="3"/>
                <c:pt idx="0">
                  <c:v>Fully Achieved - all outcomes were achieved</c:v>
                </c:pt>
                <c:pt idx="1">
                  <c:v>Partially Achieved - some outcomes have been achieved or partially fulfilled</c:v>
                </c:pt>
                <c:pt idx="2">
                  <c:v>Not Achieved - none of the outcomes were achieved</c:v>
                </c:pt>
              </c:strCache>
            </c:strRef>
          </c:cat>
          <c:val>
            <c:numRef>
              <c:f>Sheet1!$E$394:$E$396</c:f>
              <c:numCache>
                <c:formatCode>0%</c:formatCode>
                <c:ptCount val="3"/>
                <c:pt idx="0">
                  <c:v>0.44583333333333336</c:v>
                </c:pt>
                <c:pt idx="1">
                  <c:v>0.49166666666666664</c:v>
                </c:pt>
                <c:pt idx="2">
                  <c:v>6.25E-2</c:v>
                </c:pt>
              </c:numCache>
            </c:numRef>
          </c:val>
        </c:ser>
        <c:dLbls>
          <c:showLegendKey val="0"/>
          <c:showVal val="0"/>
          <c:showCatName val="0"/>
          <c:showSerName val="0"/>
          <c:showPercent val="0"/>
          <c:showBubbleSize val="0"/>
        </c:dLbls>
        <c:gapWidth val="150"/>
        <c:axId val="267974528"/>
        <c:axId val="267976064"/>
      </c:barChart>
      <c:catAx>
        <c:axId val="267974528"/>
        <c:scaling>
          <c:orientation val="minMax"/>
        </c:scaling>
        <c:delete val="0"/>
        <c:axPos val="b"/>
        <c:majorTickMark val="out"/>
        <c:minorTickMark val="none"/>
        <c:tickLblPos val="nextTo"/>
        <c:crossAx val="267976064"/>
        <c:crosses val="autoZero"/>
        <c:auto val="1"/>
        <c:lblAlgn val="ctr"/>
        <c:lblOffset val="100"/>
        <c:noMultiLvlLbl val="0"/>
      </c:catAx>
      <c:valAx>
        <c:axId val="267976064"/>
        <c:scaling>
          <c:orientation val="minMax"/>
          <c:max val="1"/>
        </c:scaling>
        <c:delete val="0"/>
        <c:axPos val="l"/>
        <c:numFmt formatCode="0%" sourceLinked="1"/>
        <c:majorTickMark val="out"/>
        <c:minorTickMark val="none"/>
        <c:tickLblPos val="nextTo"/>
        <c:crossAx val="267974528"/>
        <c:crosses val="autoZero"/>
        <c:crossBetween val="between"/>
        <c:majorUnit val="0.2"/>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Lbls>
            <c:dLbl>
              <c:idx val="0"/>
              <c:layout>
                <c:manualLayout>
                  <c:x val="-0.26388888888888884"/>
                  <c:y val="1.8518518518518517E-2"/>
                </c:manualLayout>
              </c:layout>
              <c:dLblPos val="bestFit"/>
              <c:showLegendKey val="0"/>
              <c:showVal val="0"/>
              <c:showCatName val="1"/>
              <c:showSerName val="0"/>
              <c:showPercent val="1"/>
              <c:showBubbleSize val="0"/>
            </c:dLbl>
            <c:dLbl>
              <c:idx val="1"/>
              <c:layout>
                <c:manualLayout>
                  <c:x val="-2.7777777777777776E-2"/>
                  <c:y val="0"/>
                </c:manualLayout>
              </c:layout>
              <c:dLblPos val="bestFit"/>
              <c:showLegendKey val="0"/>
              <c:showVal val="0"/>
              <c:showCatName val="1"/>
              <c:showSerName val="0"/>
              <c:showPercent val="1"/>
              <c:showBubbleSize val="0"/>
            </c:dLbl>
            <c:dLbl>
              <c:idx val="2"/>
              <c:layout>
                <c:manualLayout>
                  <c:x val="0.16388888888888889"/>
                  <c:y val="-1.3888888888888888E-2"/>
                </c:manualLayout>
              </c:layout>
              <c:dLblPos val="bestFit"/>
              <c:showLegendKey val="0"/>
              <c:showVal val="0"/>
              <c:showCatName val="1"/>
              <c:showSerName val="0"/>
              <c:showPercent val="1"/>
              <c:showBubbleSize val="0"/>
            </c:dLbl>
            <c:dLbl>
              <c:idx val="3"/>
              <c:layout>
                <c:manualLayout>
                  <c:x val="0.11944444444444445"/>
                  <c:y val="0.10185185185185183"/>
                </c:manualLayout>
              </c:layout>
              <c:dLblPos val="bestFit"/>
              <c:showLegendKey val="0"/>
              <c:showVal val="0"/>
              <c:showCatName val="1"/>
              <c:showSerName val="0"/>
              <c:showPercent val="1"/>
              <c:showBubbleSize val="0"/>
            </c:dLbl>
            <c:dLbl>
              <c:idx val="4"/>
              <c:layout>
                <c:manualLayout>
                  <c:x val="0.05"/>
                  <c:y val="0.2361111111111111"/>
                </c:manualLayout>
              </c:layout>
              <c:dLblPos val="bestFit"/>
              <c:showLegendKey val="0"/>
              <c:showVal val="0"/>
              <c:showCatName val="1"/>
              <c:showSerName val="0"/>
              <c:showPercent val="1"/>
              <c:showBubbleSize val="0"/>
            </c:dLbl>
            <c:dLbl>
              <c:idx val="5"/>
              <c:layout>
                <c:manualLayout>
                  <c:x val="0.11388888888888889"/>
                  <c:y val="-0.26107465733449986"/>
                </c:manualLayout>
              </c:layout>
              <c:dLblPos val="bestFit"/>
              <c:showLegendKey val="0"/>
              <c:showVal val="0"/>
              <c:showCatName val="1"/>
              <c:showSerName val="0"/>
              <c:showPercent val="1"/>
              <c:showBubbleSize val="0"/>
            </c:dLbl>
            <c:dLbl>
              <c:idx val="6"/>
              <c:layout>
                <c:manualLayout>
                  <c:x val="0.1"/>
                  <c:y val="-0.26388888888888878"/>
                </c:manualLayout>
              </c:layout>
              <c:dLblPos val="bestFit"/>
              <c:showLegendKey val="0"/>
              <c:showVal val="0"/>
              <c:showCatName val="1"/>
              <c:showSerName val="0"/>
              <c:showPercent val="1"/>
              <c:showBubbleSize val="0"/>
            </c:dLbl>
            <c:dLblPos val="outEnd"/>
            <c:showLegendKey val="0"/>
            <c:showVal val="0"/>
            <c:showCatName val="1"/>
            <c:showSerName val="0"/>
            <c:showPercent val="1"/>
            <c:showBubbleSize val="0"/>
            <c:showLeaderLines val="1"/>
          </c:dLbls>
          <c:cat>
            <c:strRef>
              <c:f>Sheet1!$E$85:$E$90</c:f>
              <c:strCache>
                <c:ptCount val="6"/>
                <c:pt idx="0">
                  <c:v>Asian or Asian British</c:v>
                </c:pt>
                <c:pt idx="1">
                  <c:v>Black or Black British</c:v>
                </c:pt>
                <c:pt idx="2">
                  <c:v>Mixed</c:v>
                </c:pt>
                <c:pt idx="3">
                  <c:v>Not Known / Not Stated</c:v>
                </c:pt>
                <c:pt idx="4">
                  <c:v>Other Ethnic Groups</c:v>
                </c:pt>
                <c:pt idx="5">
                  <c:v>White</c:v>
                </c:pt>
              </c:strCache>
            </c:strRef>
          </c:cat>
          <c:val>
            <c:numRef>
              <c:f>Sheet1!$F$85:$F$90</c:f>
              <c:numCache>
                <c:formatCode>General</c:formatCode>
                <c:ptCount val="6"/>
                <c:pt idx="0">
                  <c:v>27</c:v>
                </c:pt>
                <c:pt idx="1">
                  <c:v>28</c:v>
                </c:pt>
                <c:pt idx="2">
                  <c:v>7</c:v>
                </c:pt>
                <c:pt idx="3">
                  <c:v>22</c:v>
                </c:pt>
                <c:pt idx="4">
                  <c:v>2</c:v>
                </c:pt>
                <c:pt idx="5">
                  <c:v>425</c:v>
                </c:pt>
              </c:numCache>
            </c:numRef>
          </c:val>
        </c:ser>
        <c:ser>
          <c:idx val="1"/>
          <c:order val="1"/>
          <c:dLbls>
            <c:showLegendKey val="0"/>
            <c:showVal val="1"/>
            <c:showCatName val="0"/>
            <c:showSerName val="0"/>
            <c:showPercent val="0"/>
            <c:showBubbleSize val="0"/>
            <c:showLeaderLines val="1"/>
          </c:dLbls>
          <c:cat>
            <c:strRef>
              <c:f>Sheet1!$E$85:$E$90</c:f>
              <c:strCache>
                <c:ptCount val="6"/>
                <c:pt idx="0">
                  <c:v>Asian or Asian British</c:v>
                </c:pt>
                <c:pt idx="1">
                  <c:v>Black or Black British</c:v>
                </c:pt>
                <c:pt idx="2">
                  <c:v>Mixed</c:v>
                </c:pt>
                <c:pt idx="3">
                  <c:v>Not Known / Not Stated</c:v>
                </c:pt>
                <c:pt idx="4">
                  <c:v>Other Ethnic Groups</c:v>
                </c:pt>
                <c:pt idx="5">
                  <c:v>White</c:v>
                </c:pt>
              </c:strCache>
            </c:strRef>
          </c:cat>
          <c:val>
            <c:numRef>
              <c:f>Sheet1!$G$85:$G$90</c:f>
              <c:numCache>
                <c:formatCode>0.0%</c:formatCode>
                <c:ptCount val="6"/>
                <c:pt idx="0">
                  <c:v>5.2837573385518588E-2</c:v>
                </c:pt>
                <c:pt idx="1">
                  <c:v>5.4794520547945202E-2</c:v>
                </c:pt>
                <c:pt idx="2">
                  <c:v>1.3698630136986301E-2</c:v>
                </c:pt>
                <c:pt idx="3">
                  <c:v>4.3052837573385516E-2</c:v>
                </c:pt>
                <c:pt idx="4">
                  <c:v>3.9138943248532287E-3</c:v>
                </c:pt>
                <c:pt idx="5">
                  <c:v>0.83170254403131116</c:v>
                </c:pt>
              </c:numCache>
            </c:numRef>
          </c:val>
        </c:ser>
        <c:dLbls>
          <c:showLegendKey val="0"/>
          <c:showVal val="1"/>
          <c:showCatName val="0"/>
          <c:showSerName val="0"/>
          <c:showPercent val="0"/>
          <c:showBubbleSize val="0"/>
          <c:showLeaderLines val="1"/>
        </c:dLbls>
        <c:firstSliceAng val="0"/>
      </c:pieChart>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Sheet1!$G$131</c:f>
              <c:strCache>
                <c:ptCount val="1"/>
                <c:pt idx="0">
                  <c:v>2015/16</c:v>
                </c:pt>
              </c:strCache>
            </c:strRef>
          </c:tx>
          <c:dLbls>
            <c:dLbl>
              <c:idx val="1"/>
              <c:layout>
                <c:manualLayout>
                  <c:x val="2.1520279017347203E-2"/>
                  <c:y val="2.1584044952127464E-2"/>
                </c:manualLayout>
              </c:layout>
              <c:showLegendKey val="0"/>
              <c:showVal val="0"/>
              <c:showCatName val="1"/>
              <c:showSerName val="0"/>
              <c:showPercent val="1"/>
              <c:showBubbleSize val="0"/>
            </c:dLbl>
            <c:dLbl>
              <c:idx val="3"/>
              <c:layout>
                <c:manualLayout>
                  <c:x val="-3.016717687851881E-2"/>
                  <c:y val="-0.13458430372259805"/>
                </c:manualLayout>
              </c:layout>
              <c:showLegendKey val="0"/>
              <c:showVal val="0"/>
              <c:showCatName val="1"/>
              <c:showSerName val="0"/>
              <c:showPercent val="1"/>
              <c:showBubbleSize val="0"/>
            </c:dLbl>
            <c:dLbl>
              <c:idx val="5"/>
              <c:layout>
                <c:manualLayout>
                  <c:x val="-0.12833305411291673"/>
                  <c:y val="0.18430704964696315"/>
                </c:manualLayout>
              </c:layout>
              <c:showLegendKey val="0"/>
              <c:showVal val="0"/>
              <c:showCatName val="1"/>
              <c:showSerName val="0"/>
              <c:showPercent val="1"/>
              <c:showBubbleSize val="0"/>
            </c:dLbl>
            <c:dLbl>
              <c:idx val="6"/>
              <c:layout>
                <c:manualLayout>
                  <c:x val="-0.13907816648644258"/>
                  <c:y val="9.5333629071014017E-2"/>
                </c:manualLayout>
              </c:layout>
              <c:showLegendKey val="0"/>
              <c:showVal val="0"/>
              <c:showCatName val="1"/>
              <c:showSerName val="0"/>
              <c:showPercent val="1"/>
              <c:showBubbleSize val="0"/>
            </c:dLbl>
            <c:dLbl>
              <c:idx val="9"/>
              <c:layout>
                <c:manualLayout>
                  <c:x val="-0.23645562679906793"/>
                  <c:y val="7.5379838083619831E-3"/>
                </c:manualLayout>
              </c:layout>
              <c:showLegendKey val="0"/>
              <c:showVal val="0"/>
              <c:showCatName val="1"/>
              <c:showSerName val="0"/>
              <c:showPercent val="1"/>
              <c:showBubbleSize val="0"/>
            </c:dLbl>
            <c:numFmt formatCode="0.0%" sourceLinked="0"/>
            <c:txPr>
              <a:bodyPr/>
              <a:lstStyle/>
              <a:p>
                <a:pPr>
                  <a:defRPr sz="800"/>
                </a:pPr>
                <a:endParaRPr lang="en-US"/>
              </a:p>
            </c:txPr>
            <c:showLegendKey val="0"/>
            <c:showVal val="0"/>
            <c:showCatName val="1"/>
            <c:showSerName val="0"/>
            <c:showPercent val="1"/>
            <c:showBubbleSize val="0"/>
            <c:showLeaderLines val="1"/>
          </c:dLbls>
          <c:cat>
            <c:strRef>
              <c:f>Sheet1!$F$132:$F$142</c:f>
              <c:strCache>
                <c:ptCount val="11"/>
                <c:pt idx="0">
                  <c:v>Physical Abuse</c:v>
                </c:pt>
                <c:pt idx="1">
                  <c:v>Sexual Abuse</c:v>
                </c:pt>
                <c:pt idx="2">
                  <c:v>Psychological Abuse</c:v>
                </c:pt>
                <c:pt idx="3">
                  <c:v>Financial or Material Abuse</c:v>
                </c:pt>
                <c:pt idx="4">
                  <c:v>Neglect and Acts of Omission</c:v>
                </c:pt>
                <c:pt idx="5">
                  <c:v>Discriminatory Abuse</c:v>
                </c:pt>
                <c:pt idx="6">
                  <c:v>Organisational Abuse</c:v>
                </c:pt>
                <c:pt idx="7">
                  <c:v>Domestic Abuse</c:v>
                </c:pt>
                <c:pt idx="8">
                  <c:v>Sexual Exploitation</c:v>
                </c:pt>
                <c:pt idx="9">
                  <c:v>Modern Slavery</c:v>
                </c:pt>
                <c:pt idx="10">
                  <c:v>Self-Neglect</c:v>
                </c:pt>
              </c:strCache>
            </c:strRef>
          </c:cat>
          <c:val>
            <c:numRef>
              <c:f>Sheet1!$G$132:$G$142</c:f>
              <c:numCache>
                <c:formatCode>General</c:formatCode>
                <c:ptCount val="11"/>
                <c:pt idx="0">
                  <c:v>149</c:v>
                </c:pt>
                <c:pt idx="1">
                  <c:v>34</c:v>
                </c:pt>
                <c:pt idx="2">
                  <c:v>153</c:v>
                </c:pt>
                <c:pt idx="3">
                  <c:v>117</c:v>
                </c:pt>
                <c:pt idx="4">
                  <c:v>215</c:v>
                </c:pt>
                <c:pt idx="5">
                  <c:v>5</c:v>
                </c:pt>
                <c:pt idx="6">
                  <c:v>43</c:v>
                </c:pt>
                <c:pt idx="7">
                  <c:v>53</c:v>
                </c:pt>
                <c:pt idx="8">
                  <c:v>0</c:v>
                </c:pt>
                <c:pt idx="9">
                  <c:v>1</c:v>
                </c:pt>
                <c:pt idx="10">
                  <c:v>49</c:v>
                </c:pt>
              </c:numCache>
            </c:numRef>
          </c:val>
        </c:ser>
        <c:dLbls>
          <c:showLegendKey val="0"/>
          <c:showVal val="1"/>
          <c:showCatName val="0"/>
          <c:showSerName val="0"/>
          <c:showPercent val="0"/>
          <c:showBubbleSize val="0"/>
          <c:showLeaderLines val="1"/>
        </c:dLbls>
        <c:firstSliceAng val="0"/>
      </c:pieChart>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percentStacked"/>
        <c:varyColors val="0"/>
        <c:ser>
          <c:idx val="0"/>
          <c:order val="0"/>
          <c:tx>
            <c:strRef>
              <c:f>Sheet1!$B$185</c:f>
              <c:strCache>
                <c:ptCount val="1"/>
                <c:pt idx="0">
                  <c:v>SOCIAL CARE SUPPORT</c:v>
                </c:pt>
              </c:strCache>
            </c:strRef>
          </c:tx>
          <c:invertIfNegative val="0"/>
          <c:dLbls>
            <c:numFmt formatCode="0%" sourceLinked="0"/>
            <c:txPr>
              <a:bodyPr/>
              <a:lstStyle/>
              <a:p>
                <a:pPr>
                  <a:defRPr b="1"/>
                </a:pPr>
                <a:endParaRPr lang="en-US"/>
              </a:p>
            </c:txPr>
            <c:showLegendKey val="0"/>
            <c:showVal val="1"/>
            <c:showCatName val="0"/>
            <c:showSerName val="0"/>
            <c:showPercent val="0"/>
            <c:showBubbleSize val="0"/>
            <c:showLeaderLines val="0"/>
          </c:dLbls>
          <c:cat>
            <c:strRef>
              <c:f>Sheet1!$A$186:$A$190</c:f>
              <c:strCache>
                <c:ptCount val="5"/>
                <c:pt idx="0">
                  <c:v>Count of OWN HOME</c:v>
                </c:pt>
                <c:pt idx="1">
                  <c:v>Count of COMMUNITY SERVICE</c:v>
                </c:pt>
                <c:pt idx="2">
                  <c:v>Count of CARE HOME</c:v>
                </c:pt>
                <c:pt idx="3">
                  <c:v>Count of HOSPITAL</c:v>
                </c:pt>
                <c:pt idx="4">
                  <c:v>Count of OTHER</c:v>
                </c:pt>
              </c:strCache>
            </c:strRef>
          </c:cat>
          <c:val>
            <c:numRef>
              <c:f>Sheet1!$B$186:$B$190</c:f>
              <c:numCache>
                <c:formatCode>0%</c:formatCode>
                <c:ptCount val="5"/>
                <c:pt idx="0">
                  <c:v>0.26486486486486488</c:v>
                </c:pt>
                <c:pt idx="1">
                  <c:v>0.7142857142857143</c:v>
                </c:pt>
                <c:pt idx="2">
                  <c:v>0.65</c:v>
                </c:pt>
                <c:pt idx="3">
                  <c:v>0.32142857142857145</c:v>
                </c:pt>
                <c:pt idx="4">
                  <c:v>0.16666666666666666</c:v>
                </c:pt>
              </c:numCache>
            </c:numRef>
          </c:val>
        </c:ser>
        <c:ser>
          <c:idx val="1"/>
          <c:order val="1"/>
          <c:tx>
            <c:strRef>
              <c:f>Sheet1!$C$185</c:f>
              <c:strCache>
                <c:ptCount val="1"/>
                <c:pt idx="0">
                  <c:v>OTHER - KNOWN TO INDIVIDUAL</c:v>
                </c:pt>
              </c:strCache>
            </c:strRef>
          </c:tx>
          <c:invertIfNegative val="0"/>
          <c:dLbls>
            <c:txPr>
              <a:bodyPr/>
              <a:lstStyle/>
              <a:p>
                <a:pPr>
                  <a:defRPr b="1"/>
                </a:pPr>
                <a:endParaRPr lang="en-US"/>
              </a:p>
            </c:txPr>
            <c:showLegendKey val="0"/>
            <c:showVal val="1"/>
            <c:showCatName val="0"/>
            <c:showSerName val="0"/>
            <c:showPercent val="0"/>
            <c:showBubbleSize val="0"/>
            <c:showLeaderLines val="0"/>
          </c:dLbls>
          <c:cat>
            <c:strRef>
              <c:f>Sheet1!$A$186:$A$190</c:f>
              <c:strCache>
                <c:ptCount val="5"/>
                <c:pt idx="0">
                  <c:v>Count of OWN HOME</c:v>
                </c:pt>
                <c:pt idx="1">
                  <c:v>Count of COMMUNITY SERVICE</c:v>
                </c:pt>
                <c:pt idx="2">
                  <c:v>Count of CARE HOME</c:v>
                </c:pt>
                <c:pt idx="3">
                  <c:v>Count of HOSPITAL</c:v>
                </c:pt>
                <c:pt idx="4">
                  <c:v>Count of OTHER</c:v>
                </c:pt>
              </c:strCache>
            </c:strRef>
          </c:cat>
          <c:val>
            <c:numRef>
              <c:f>Sheet1!$C$186:$C$190</c:f>
              <c:numCache>
                <c:formatCode>0%</c:formatCode>
                <c:ptCount val="5"/>
                <c:pt idx="0">
                  <c:v>0.65135135135135136</c:v>
                </c:pt>
                <c:pt idx="1">
                  <c:v>0.2857142857142857</c:v>
                </c:pt>
                <c:pt idx="2">
                  <c:v>0.28000000000000003</c:v>
                </c:pt>
                <c:pt idx="3">
                  <c:v>0.4642857142857143</c:v>
                </c:pt>
                <c:pt idx="4">
                  <c:v>0.65</c:v>
                </c:pt>
              </c:numCache>
            </c:numRef>
          </c:val>
        </c:ser>
        <c:ser>
          <c:idx val="2"/>
          <c:order val="2"/>
          <c:tx>
            <c:strRef>
              <c:f>Sheet1!$D$185</c:f>
              <c:strCache>
                <c:ptCount val="1"/>
                <c:pt idx="0">
                  <c:v>OTHER - UNKNOWN TO INDIVIDUAL</c:v>
                </c:pt>
              </c:strCache>
            </c:strRef>
          </c:tx>
          <c:invertIfNegative val="0"/>
          <c:dLbls>
            <c:numFmt formatCode="0%" sourceLinked="0"/>
            <c:txPr>
              <a:bodyPr/>
              <a:lstStyle/>
              <a:p>
                <a:pPr>
                  <a:defRPr b="1"/>
                </a:pPr>
                <a:endParaRPr lang="en-US"/>
              </a:p>
            </c:txPr>
            <c:showLegendKey val="0"/>
            <c:showVal val="1"/>
            <c:showCatName val="0"/>
            <c:showSerName val="0"/>
            <c:showPercent val="0"/>
            <c:showBubbleSize val="0"/>
            <c:showLeaderLines val="0"/>
          </c:dLbls>
          <c:cat>
            <c:strRef>
              <c:f>Sheet1!$A$186:$A$190</c:f>
              <c:strCache>
                <c:ptCount val="5"/>
                <c:pt idx="0">
                  <c:v>Count of OWN HOME</c:v>
                </c:pt>
                <c:pt idx="1">
                  <c:v>Count of COMMUNITY SERVICE</c:v>
                </c:pt>
                <c:pt idx="2">
                  <c:v>Count of CARE HOME</c:v>
                </c:pt>
                <c:pt idx="3">
                  <c:v>Count of HOSPITAL</c:v>
                </c:pt>
                <c:pt idx="4">
                  <c:v>Count of OTHER</c:v>
                </c:pt>
              </c:strCache>
            </c:strRef>
          </c:cat>
          <c:val>
            <c:numRef>
              <c:f>Sheet1!$D$186:$D$190</c:f>
              <c:numCache>
                <c:formatCode>0%</c:formatCode>
                <c:ptCount val="5"/>
                <c:pt idx="0">
                  <c:v>8.3783783783783788E-2</c:v>
                </c:pt>
                <c:pt idx="1">
                  <c:v>0</c:v>
                </c:pt>
                <c:pt idx="2">
                  <c:v>7.0000000000000007E-2</c:v>
                </c:pt>
                <c:pt idx="3">
                  <c:v>0.21428571428571427</c:v>
                </c:pt>
                <c:pt idx="4">
                  <c:v>0.18333333333333332</c:v>
                </c:pt>
              </c:numCache>
            </c:numRef>
          </c:val>
        </c:ser>
        <c:dLbls>
          <c:showLegendKey val="0"/>
          <c:showVal val="1"/>
          <c:showCatName val="0"/>
          <c:showSerName val="0"/>
          <c:showPercent val="0"/>
          <c:showBubbleSize val="0"/>
        </c:dLbls>
        <c:gapWidth val="150"/>
        <c:overlap val="100"/>
        <c:axId val="239903488"/>
        <c:axId val="239905024"/>
      </c:barChart>
      <c:catAx>
        <c:axId val="239903488"/>
        <c:scaling>
          <c:orientation val="minMax"/>
        </c:scaling>
        <c:delete val="0"/>
        <c:axPos val="b"/>
        <c:majorTickMark val="out"/>
        <c:minorTickMark val="none"/>
        <c:tickLblPos val="nextTo"/>
        <c:txPr>
          <a:bodyPr/>
          <a:lstStyle/>
          <a:p>
            <a:pPr>
              <a:defRPr sz="900"/>
            </a:pPr>
            <a:endParaRPr lang="en-US"/>
          </a:p>
        </c:txPr>
        <c:crossAx val="239905024"/>
        <c:crosses val="autoZero"/>
        <c:auto val="1"/>
        <c:lblAlgn val="ctr"/>
        <c:lblOffset val="100"/>
        <c:noMultiLvlLbl val="0"/>
      </c:catAx>
      <c:valAx>
        <c:axId val="239905024"/>
        <c:scaling>
          <c:orientation val="minMax"/>
        </c:scaling>
        <c:delete val="0"/>
        <c:axPos val="l"/>
        <c:majorGridlines/>
        <c:numFmt formatCode="0%" sourceLinked="1"/>
        <c:majorTickMark val="out"/>
        <c:minorTickMark val="none"/>
        <c:tickLblPos val="nextTo"/>
        <c:txPr>
          <a:bodyPr/>
          <a:lstStyle/>
          <a:p>
            <a:pPr>
              <a:defRPr sz="900"/>
            </a:pPr>
            <a:endParaRPr lang="en-US"/>
          </a:p>
        </c:txPr>
        <c:crossAx val="239903488"/>
        <c:crosses val="autoZero"/>
        <c:crossBetween val="between"/>
        <c:majorUnit val="0.2"/>
      </c:valAx>
    </c:plotArea>
    <c:legend>
      <c:legendPos val="r"/>
      <c:overlay val="0"/>
      <c:txPr>
        <a:bodyPr/>
        <a:lstStyle/>
        <a:p>
          <a:pPr>
            <a:defRPr sz="900"/>
          </a:pPr>
          <a:endParaRPr lang="en-US"/>
        </a:p>
      </c:txPr>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Lbls>
            <c:dLbl>
              <c:idx val="0"/>
              <c:layout>
                <c:manualLayout>
                  <c:x val="-0.18311284799473776"/>
                  <c:y val="-7.0272849562740464E-2"/>
                </c:manualLayout>
              </c:layout>
              <c:showLegendKey val="0"/>
              <c:showVal val="0"/>
              <c:showCatName val="1"/>
              <c:showSerName val="0"/>
              <c:showPercent val="1"/>
              <c:showBubbleSize val="0"/>
            </c:dLbl>
            <c:dLbl>
              <c:idx val="1"/>
              <c:layout>
                <c:manualLayout>
                  <c:x val="0.1988610592380109"/>
                  <c:y val="-2.424151957308654E-2"/>
                </c:manualLayout>
              </c:layout>
              <c:showLegendKey val="0"/>
              <c:showVal val="0"/>
              <c:showCatName val="1"/>
              <c:showSerName val="0"/>
              <c:showPercent val="1"/>
              <c:showBubbleSize val="0"/>
            </c:dLbl>
            <c:dLbl>
              <c:idx val="2"/>
              <c:layout>
                <c:manualLayout>
                  <c:x val="0.11066700200558469"/>
                  <c:y val="7.4074089233542431E-2"/>
                </c:manualLayout>
              </c:layout>
              <c:showLegendKey val="0"/>
              <c:showVal val="0"/>
              <c:showCatName val="1"/>
              <c:showSerName val="0"/>
              <c:showPercent val="1"/>
              <c:showBubbleSize val="0"/>
            </c:dLbl>
            <c:txPr>
              <a:bodyPr/>
              <a:lstStyle/>
              <a:p>
                <a:pPr>
                  <a:defRPr sz="900" b="0"/>
                </a:pPr>
                <a:endParaRPr lang="en-US"/>
              </a:p>
            </c:txPr>
            <c:showLegendKey val="0"/>
            <c:showVal val="0"/>
            <c:showCatName val="1"/>
            <c:showSerName val="0"/>
            <c:showPercent val="1"/>
            <c:showBubbleSize val="0"/>
            <c:showLeaderLines val="1"/>
          </c:dLbls>
          <c:cat>
            <c:strRef>
              <c:f>Sheet1!$C$212:$E$212</c:f>
              <c:strCache>
                <c:ptCount val="3"/>
                <c:pt idx="0">
                  <c:v>SOCIAL CARE SUPPORT</c:v>
                </c:pt>
                <c:pt idx="1">
                  <c:v>OTHER - KNOWN TO INDIVIDUAL</c:v>
                </c:pt>
                <c:pt idx="2">
                  <c:v>OTHER - UNKNOWN TO INDIVIDUAL</c:v>
                </c:pt>
              </c:strCache>
            </c:strRef>
          </c:cat>
          <c:val>
            <c:numRef>
              <c:f>Sheet1!$C$213:$E$213</c:f>
              <c:numCache>
                <c:formatCode>General</c:formatCode>
                <c:ptCount val="3"/>
                <c:pt idx="0">
                  <c:v>196</c:v>
                </c:pt>
                <c:pt idx="1">
                  <c:v>336</c:v>
                </c:pt>
                <c:pt idx="2">
                  <c:v>61</c:v>
                </c:pt>
              </c:numCache>
            </c:numRef>
          </c:val>
        </c:ser>
        <c:dLbls>
          <c:showLegendKey val="0"/>
          <c:showVal val="1"/>
          <c:showCatName val="0"/>
          <c:showSerName val="0"/>
          <c:showPercent val="0"/>
          <c:showBubbleSize val="0"/>
          <c:showLeaderLines val="1"/>
        </c:dLbls>
        <c:firstSliceAng val="52"/>
      </c:pieChart>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Lbls>
            <c:dLbl>
              <c:idx val="1"/>
              <c:layout>
                <c:manualLayout>
                  <c:x val="6.9286307961504812E-2"/>
                  <c:y val="-3.4975094913168803E-2"/>
                </c:manualLayout>
              </c:layout>
              <c:showLegendKey val="0"/>
              <c:showVal val="0"/>
              <c:showCatName val="1"/>
              <c:showSerName val="0"/>
              <c:showPercent val="1"/>
              <c:showBubbleSize val="0"/>
            </c:dLbl>
            <c:dLbl>
              <c:idx val="3"/>
              <c:layout>
                <c:manualLayout>
                  <c:x val="3.3867016622922135E-3"/>
                  <c:y val="-0.16356078646868796"/>
                </c:manualLayout>
              </c:layout>
              <c:showLegendKey val="0"/>
              <c:showVal val="0"/>
              <c:showCatName val="1"/>
              <c:showSerName val="0"/>
              <c:showPercent val="1"/>
              <c:showBubbleSize val="0"/>
            </c:dLbl>
            <c:showLegendKey val="0"/>
            <c:showVal val="0"/>
            <c:showCatName val="1"/>
            <c:showSerName val="0"/>
            <c:showPercent val="1"/>
            <c:showBubbleSize val="0"/>
            <c:showLeaderLines val="1"/>
          </c:dLbls>
          <c:cat>
            <c:strRef>
              <c:f>Sheet1!$A$226:$A$229</c:f>
              <c:strCache>
                <c:ptCount val="4"/>
                <c:pt idx="0">
                  <c:v>Action Under Safeguarding: Risk Removed</c:v>
                </c:pt>
                <c:pt idx="1">
                  <c:v>Action Under Safeguarding: Risk Reduced</c:v>
                </c:pt>
                <c:pt idx="2">
                  <c:v>Action Under Safeguarding: Risk Remains</c:v>
                </c:pt>
                <c:pt idx="3">
                  <c:v>No Further Action Under Safeguarding</c:v>
                </c:pt>
              </c:strCache>
            </c:strRef>
          </c:cat>
          <c:val>
            <c:numRef>
              <c:f>Sheet1!$F$226:$F$229</c:f>
              <c:numCache>
                <c:formatCode>General</c:formatCode>
                <c:ptCount val="4"/>
                <c:pt idx="0">
                  <c:v>54</c:v>
                </c:pt>
                <c:pt idx="1">
                  <c:v>214</c:v>
                </c:pt>
                <c:pt idx="2">
                  <c:v>58</c:v>
                </c:pt>
                <c:pt idx="3">
                  <c:v>242</c:v>
                </c:pt>
              </c:numCache>
            </c:numRef>
          </c:val>
        </c:ser>
        <c:dLbls>
          <c:showLegendKey val="0"/>
          <c:showVal val="1"/>
          <c:showCatName val="0"/>
          <c:showSerName val="0"/>
          <c:showPercent val="0"/>
          <c:showBubbleSize val="0"/>
          <c:showLeaderLines val="1"/>
        </c:dLbls>
        <c:firstSliceAng val="0"/>
      </c:pieChart>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042128435722747E-2"/>
          <c:y val="5.0925925925925923E-2"/>
          <c:w val="0.5772420889249309"/>
          <c:h val="0.73996135899679205"/>
        </c:manualLayout>
      </c:layout>
      <c:barChart>
        <c:barDir val="col"/>
        <c:grouping val="percentStacked"/>
        <c:varyColors val="0"/>
        <c:ser>
          <c:idx val="0"/>
          <c:order val="0"/>
          <c:tx>
            <c:strRef>
              <c:f>Sheet1!$B$257</c:f>
              <c:strCache>
                <c:ptCount val="1"/>
                <c:pt idx="0">
                  <c:v>SOCIAL CARE SUPPORT</c:v>
                </c:pt>
              </c:strCache>
            </c:strRef>
          </c:tx>
          <c:invertIfNegative val="0"/>
          <c:dLbls>
            <c:txPr>
              <a:bodyPr/>
              <a:lstStyle/>
              <a:p>
                <a:pPr>
                  <a:defRPr sz="900" b="1"/>
                </a:pPr>
                <a:endParaRPr lang="en-US"/>
              </a:p>
            </c:txPr>
            <c:dLblPos val="ctr"/>
            <c:showLegendKey val="0"/>
            <c:showVal val="1"/>
            <c:showCatName val="0"/>
            <c:showSerName val="0"/>
            <c:showPercent val="0"/>
            <c:showBubbleSize val="0"/>
            <c:showLeaderLines val="0"/>
          </c:dLbls>
          <c:cat>
            <c:strRef>
              <c:f>Sheet1!$A$258:$A$261</c:f>
              <c:strCache>
                <c:ptCount val="4"/>
                <c:pt idx="0">
                  <c:v>NO ACTION TAKEN</c:v>
                </c:pt>
                <c:pt idx="1">
                  <c:v>ACTION TAKEN AND RISK REMAINS</c:v>
                </c:pt>
                <c:pt idx="2">
                  <c:v>ACTION TAKEN AND RISK REDUCED</c:v>
                </c:pt>
                <c:pt idx="3">
                  <c:v>ACTION TAKEN AND RISK REMOVED</c:v>
                </c:pt>
              </c:strCache>
            </c:strRef>
          </c:cat>
          <c:val>
            <c:numRef>
              <c:f>Sheet1!$B$258:$B$261</c:f>
              <c:numCache>
                <c:formatCode>0%</c:formatCode>
                <c:ptCount val="4"/>
                <c:pt idx="0">
                  <c:v>0.38016528925619836</c:v>
                </c:pt>
                <c:pt idx="1">
                  <c:v>6.8965517241379309E-2</c:v>
                </c:pt>
                <c:pt idx="2">
                  <c:v>0.30841121495327101</c:v>
                </c:pt>
                <c:pt idx="3">
                  <c:v>0.5</c:v>
                </c:pt>
              </c:numCache>
            </c:numRef>
          </c:val>
        </c:ser>
        <c:ser>
          <c:idx val="1"/>
          <c:order val="1"/>
          <c:tx>
            <c:strRef>
              <c:f>Sheet1!$C$257</c:f>
              <c:strCache>
                <c:ptCount val="1"/>
                <c:pt idx="0">
                  <c:v>OTHER - KNOWN TO INDIVIDUAL</c:v>
                </c:pt>
              </c:strCache>
            </c:strRef>
          </c:tx>
          <c:invertIfNegative val="0"/>
          <c:dLbls>
            <c:txPr>
              <a:bodyPr/>
              <a:lstStyle/>
              <a:p>
                <a:pPr>
                  <a:defRPr b="1"/>
                </a:pPr>
                <a:endParaRPr lang="en-US"/>
              </a:p>
            </c:txPr>
            <c:dLblPos val="ctr"/>
            <c:showLegendKey val="0"/>
            <c:showVal val="1"/>
            <c:showCatName val="0"/>
            <c:showSerName val="0"/>
            <c:showPercent val="0"/>
            <c:showBubbleSize val="0"/>
            <c:showLeaderLines val="0"/>
          </c:dLbls>
          <c:cat>
            <c:strRef>
              <c:f>Sheet1!$A$258:$A$261</c:f>
              <c:strCache>
                <c:ptCount val="4"/>
                <c:pt idx="0">
                  <c:v>NO ACTION TAKEN</c:v>
                </c:pt>
                <c:pt idx="1">
                  <c:v>ACTION TAKEN AND RISK REMAINS</c:v>
                </c:pt>
                <c:pt idx="2">
                  <c:v>ACTION TAKEN AND RISK REDUCED</c:v>
                </c:pt>
                <c:pt idx="3">
                  <c:v>ACTION TAKEN AND RISK REMOVED</c:v>
                </c:pt>
              </c:strCache>
            </c:strRef>
          </c:cat>
          <c:val>
            <c:numRef>
              <c:f>Sheet1!$C$258:$C$261</c:f>
              <c:numCache>
                <c:formatCode>0%</c:formatCode>
                <c:ptCount val="4"/>
                <c:pt idx="0">
                  <c:v>0.50826446280991733</c:v>
                </c:pt>
                <c:pt idx="1">
                  <c:v>0.87931034482758619</c:v>
                </c:pt>
                <c:pt idx="2">
                  <c:v>0.59345794392523366</c:v>
                </c:pt>
                <c:pt idx="3">
                  <c:v>0.37037037037037035</c:v>
                </c:pt>
              </c:numCache>
            </c:numRef>
          </c:val>
        </c:ser>
        <c:ser>
          <c:idx val="2"/>
          <c:order val="2"/>
          <c:tx>
            <c:strRef>
              <c:f>Sheet1!$D$257</c:f>
              <c:strCache>
                <c:ptCount val="1"/>
                <c:pt idx="0">
                  <c:v>OTHER - UNKNOWN TO INDIVIDUAL</c:v>
                </c:pt>
              </c:strCache>
            </c:strRef>
          </c:tx>
          <c:invertIfNegative val="0"/>
          <c:dLbls>
            <c:txPr>
              <a:bodyPr/>
              <a:lstStyle/>
              <a:p>
                <a:pPr>
                  <a:defRPr sz="900" b="1"/>
                </a:pPr>
                <a:endParaRPr lang="en-US"/>
              </a:p>
            </c:txPr>
            <c:dLblPos val="ctr"/>
            <c:showLegendKey val="0"/>
            <c:showVal val="1"/>
            <c:showCatName val="0"/>
            <c:showSerName val="0"/>
            <c:showPercent val="0"/>
            <c:showBubbleSize val="0"/>
            <c:showLeaderLines val="0"/>
          </c:dLbls>
          <c:cat>
            <c:strRef>
              <c:f>Sheet1!$A$258:$A$261</c:f>
              <c:strCache>
                <c:ptCount val="4"/>
                <c:pt idx="0">
                  <c:v>NO ACTION TAKEN</c:v>
                </c:pt>
                <c:pt idx="1">
                  <c:v>ACTION TAKEN AND RISK REMAINS</c:v>
                </c:pt>
                <c:pt idx="2">
                  <c:v>ACTION TAKEN AND RISK REDUCED</c:v>
                </c:pt>
                <c:pt idx="3">
                  <c:v>ACTION TAKEN AND RISK REMOVED</c:v>
                </c:pt>
              </c:strCache>
            </c:strRef>
          </c:cat>
          <c:val>
            <c:numRef>
              <c:f>Sheet1!$D$258:$D$261</c:f>
              <c:numCache>
                <c:formatCode>0%</c:formatCode>
                <c:ptCount val="4"/>
                <c:pt idx="0">
                  <c:v>0.1115702479338843</c:v>
                </c:pt>
                <c:pt idx="1">
                  <c:v>5.1724137931034482E-2</c:v>
                </c:pt>
                <c:pt idx="2">
                  <c:v>9.8130841121495324E-2</c:v>
                </c:pt>
                <c:pt idx="3">
                  <c:v>0.12962962962962962</c:v>
                </c:pt>
              </c:numCache>
            </c:numRef>
          </c:val>
        </c:ser>
        <c:dLbls>
          <c:dLblPos val="ctr"/>
          <c:showLegendKey val="0"/>
          <c:showVal val="1"/>
          <c:showCatName val="0"/>
          <c:showSerName val="0"/>
          <c:showPercent val="0"/>
          <c:showBubbleSize val="0"/>
        </c:dLbls>
        <c:gapWidth val="150"/>
        <c:overlap val="100"/>
        <c:axId val="259330816"/>
        <c:axId val="259332352"/>
      </c:barChart>
      <c:catAx>
        <c:axId val="259330816"/>
        <c:scaling>
          <c:orientation val="minMax"/>
        </c:scaling>
        <c:delete val="0"/>
        <c:axPos val="b"/>
        <c:majorTickMark val="out"/>
        <c:minorTickMark val="none"/>
        <c:tickLblPos val="nextTo"/>
        <c:txPr>
          <a:bodyPr/>
          <a:lstStyle/>
          <a:p>
            <a:pPr>
              <a:defRPr sz="900"/>
            </a:pPr>
            <a:endParaRPr lang="en-US"/>
          </a:p>
        </c:txPr>
        <c:crossAx val="259332352"/>
        <c:crosses val="autoZero"/>
        <c:auto val="1"/>
        <c:lblAlgn val="ctr"/>
        <c:lblOffset val="100"/>
        <c:noMultiLvlLbl val="0"/>
      </c:catAx>
      <c:valAx>
        <c:axId val="259332352"/>
        <c:scaling>
          <c:orientation val="minMax"/>
        </c:scaling>
        <c:delete val="0"/>
        <c:axPos val="l"/>
        <c:majorGridlines/>
        <c:numFmt formatCode="0%" sourceLinked="1"/>
        <c:majorTickMark val="out"/>
        <c:minorTickMark val="none"/>
        <c:tickLblPos val="nextTo"/>
        <c:txPr>
          <a:bodyPr/>
          <a:lstStyle/>
          <a:p>
            <a:pPr>
              <a:defRPr sz="900"/>
            </a:pPr>
            <a:endParaRPr lang="en-US"/>
          </a:p>
        </c:txPr>
        <c:crossAx val="259330816"/>
        <c:crosses val="autoZero"/>
        <c:crossBetween val="between"/>
        <c:majorUnit val="0.2"/>
      </c:valAx>
    </c:plotArea>
    <c:legend>
      <c:legendPos val="r"/>
      <c:layout>
        <c:manualLayout>
          <c:xMode val="edge"/>
          <c:yMode val="edge"/>
          <c:x val="0.66464247137165333"/>
          <c:y val="0.37442403032954213"/>
          <c:w val="0.32327293839983212"/>
          <c:h val="0.33297768011556694"/>
        </c:manualLayout>
      </c:layout>
      <c:overlay val="0"/>
      <c:txPr>
        <a:bodyPr/>
        <a:lstStyle/>
        <a:p>
          <a:pPr>
            <a:defRPr sz="900"/>
          </a:pPr>
          <a:endParaRPr lang="en-US"/>
        </a:p>
      </c:txPr>
    </c:legend>
    <c:plotVisOnly val="1"/>
    <c:dispBlanksAs val="gap"/>
    <c:showDLblsOverMax val="0"/>
  </c:chart>
  <c:txPr>
    <a:bodyPr/>
    <a:lstStyle/>
    <a:p>
      <a:pPr>
        <a:defRPr b="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clustered"/>
        <c:varyColors val="0"/>
        <c:ser>
          <c:idx val="0"/>
          <c:order val="0"/>
          <c:invertIfNegative val="0"/>
          <c:dLbls>
            <c:txPr>
              <a:bodyPr/>
              <a:lstStyle/>
              <a:p>
                <a:pPr>
                  <a:defRPr b="1"/>
                </a:pPr>
                <a:endParaRPr lang="en-US"/>
              </a:p>
            </c:txPr>
            <c:dLblPos val="outEnd"/>
            <c:showLegendKey val="0"/>
            <c:showVal val="1"/>
            <c:showCatName val="0"/>
            <c:showSerName val="0"/>
            <c:showPercent val="0"/>
            <c:showBubbleSize val="0"/>
            <c:showLeaderLines val="0"/>
          </c:dLbls>
          <c:cat>
            <c:strRef>
              <c:f>Sheet1!$D$283:$D$300</c:f>
              <c:strCache>
                <c:ptCount val="18"/>
                <c:pt idx="0">
                  <c:v>Protection Plan offered</c:v>
                </c:pt>
                <c:pt idx="1">
                  <c:v>Increased monitoring</c:v>
                </c:pt>
                <c:pt idx="2">
                  <c:v>Removed from property or service</c:v>
                </c:pt>
                <c:pt idx="3">
                  <c:v>Community Care Assessment &amp; Services</c:v>
                </c:pt>
                <c:pt idx="4">
                  <c:v>Civil Action</c:v>
                </c:pt>
                <c:pt idx="5">
                  <c:v>Application to Court of Protection</c:v>
                </c:pt>
                <c:pt idx="6">
                  <c:v>Application to change appointeeship</c:v>
                </c:pt>
                <c:pt idx="7">
                  <c:v>Referral to Advocacy scheme</c:v>
                </c:pt>
                <c:pt idx="8">
                  <c:v>Referral to Counselling / Training</c:v>
                </c:pt>
                <c:pt idx="9">
                  <c:v>Increased / Different Care</c:v>
                </c:pt>
                <c:pt idx="10">
                  <c:v>Management of access to Finances</c:v>
                </c:pt>
                <c:pt idx="11">
                  <c:v>Guardianship / Use of Mental Health Act</c:v>
                </c:pt>
                <c:pt idx="12">
                  <c:v>Review of Self-Directed Support</c:v>
                </c:pt>
                <c:pt idx="13">
                  <c:v>Restriction of access to alleged perpetrator</c:v>
                </c:pt>
                <c:pt idx="14">
                  <c:v>Referral to MARAC</c:v>
                </c:pt>
                <c:pt idx="15">
                  <c:v>Not Known</c:v>
                </c:pt>
                <c:pt idx="16">
                  <c:v>Other</c:v>
                </c:pt>
                <c:pt idx="17">
                  <c:v>No Further Action</c:v>
                </c:pt>
              </c:strCache>
            </c:strRef>
          </c:cat>
          <c:val>
            <c:numRef>
              <c:f>Sheet1!$E$283:$E$300</c:f>
              <c:numCache>
                <c:formatCode>General</c:formatCode>
                <c:ptCount val="18"/>
                <c:pt idx="0">
                  <c:v>73</c:v>
                </c:pt>
                <c:pt idx="1">
                  <c:v>186</c:v>
                </c:pt>
                <c:pt idx="2">
                  <c:v>16</c:v>
                </c:pt>
                <c:pt idx="3">
                  <c:v>94</c:v>
                </c:pt>
                <c:pt idx="4">
                  <c:v>3</c:v>
                </c:pt>
                <c:pt idx="5">
                  <c:v>8</c:v>
                </c:pt>
                <c:pt idx="6">
                  <c:v>3</c:v>
                </c:pt>
                <c:pt idx="7">
                  <c:v>13</c:v>
                </c:pt>
                <c:pt idx="8">
                  <c:v>8</c:v>
                </c:pt>
                <c:pt idx="9">
                  <c:v>49</c:v>
                </c:pt>
                <c:pt idx="10">
                  <c:v>13</c:v>
                </c:pt>
                <c:pt idx="11">
                  <c:v>2</c:v>
                </c:pt>
                <c:pt idx="12">
                  <c:v>6</c:v>
                </c:pt>
                <c:pt idx="13">
                  <c:v>26</c:v>
                </c:pt>
                <c:pt idx="14">
                  <c:v>3</c:v>
                </c:pt>
                <c:pt idx="15">
                  <c:v>0</c:v>
                </c:pt>
                <c:pt idx="16">
                  <c:v>59</c:v>
                </c:pt>
                <c:pt idx="17">
                  <c:v>156</c:v>
                </c:pt>
              </c:numCache>
            </c:numRef>
          </c:val>
        </c:ser>
        <c:dLbls>
          <c:dLblPos val="outEnd"/>
          <c:showLegendKey val="0"/>
          <c:showVal val="1"/>
          <c:showCatName val="0"/>
          <c:showSerName val="0"/>
          <c:showPercent val="0"/>
          <c:showBubbleSize val="0"/>
        </c:dLbls>
        <c:gapWidth val="150"/>
        <c:axId val="259458176"/>
        <c:axId val="259477888"/>
      </c:barChart>
      <c:catAx>
        <c:axId val="259458176"/>
        <c:scaling>
          <c:orientation val="minMax"/>
        </c:scaling>
        <c:delete val="0"/>
        <c:axPos val="l"/>
        <c:title>
          <c:tx>
            <c:rich>
              <a:bodyPr rot="-5400000" vert="horz"/>
              <a:lstStyle/>
              <a:p>
                <a:pPr>
                  <a:defRPr sz="900"/>
                </a:pPr>
                <a:r>
                  <a:rPr lang="en-GB" sz="900"/>
                  <a:t>Outcomes</a:t>
                </a:r>
                <a:r>
                  <a:rPr lang="en-GB" sz="900" baseline="0"/>
                  <a:t> for Person at Risk</a:t>
                </a:r>
                <a:endParaRPr lang="en-GB" sz="900"/>
              </a:p>
            </c:rich>
          </c:tx>
          <c:layout>
            <c:manualLayout>
              <c:xMode val="edge"/>
              <c:yMode val="edge"/>
              <c:x val="1.3295838020247469E-2"/>
              <c:y val="0.23425892546564209"/>
            </c:manualLayout>
          </c:layout>
          <c:overlay val="0"/>
        </c:title>
        <c:majorTickMark val="out"/>
        <c:minorTickMark val="none"/>
        <c:tickLblPos val="nextTo"/>
        <c:txPr>
          <a:bodyPr/>
          <a:lstStyle/>
          <a:p>
            <a:pPr>
              <a:defRPr sz="900"/>
            </a:pPr>
            <a:endParaRPr lang="en-US"/>
          </a:p>
        </c:txPr>
        <c:crossAx val="259477888"/>
        <c:crosses val="autoZero"/>
        <c:auto val="1"/>
        <c:lblAlgn val="ctr"/>
        <c:lblOffset val="100"/>
        <c:tickLblSkip val="1"/>
        <c:noMultiLvlLbl val="0"/>
      </c:catAx>
      <c:valAx>
        <c:axId val="259477888"/>
        <c:scaling>
          <c:orientation val="minMax"/>
        </c:scaling>
        <c:delete val="0"/>
        <c:axPos val="b"/>
        <c:majorGridlines/>
        <c:title>
          <c:tx>
            <c:rich>
              <a:bodyPr/>
              <a:lstStyle/>
              <a:p>
                <a:pPr>
                  <a:defRPr sz="900"/>
                </a:pPr>
                <a:r>
                  <a:rPr lang="en-GB" sz="900"/>
                  <a:t>Total</a:t>
                </a:r>
              </a:p>
            </c:rich>
          </c:tx>
          <c:overlay val="0"/>
        </c:title>
        <c:numFmt formatCode="General" sourceLinked="1"/>
        <c:majorTickMark val="out"/>
        <c:minorTickMark val="none"/>
        <c:tickLblPos val="nextTo"/>
        <c:crossAx val="259458176"/>
        <c:crosses val="autoZero"/>
        <c:crossBetween val="between"/>
        <c:majorUnit val="25"/>
      </c:valAx>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Sheet1!$D$306</c:f>
              <c:strCache>
                <c:ptCount val="1"/>
                <c:pt idx="0">
                  <c:v>Grand Total</c:v>
                </c:pt>
              </c:strCache>
            </c:strRef>
          </c:tx>
          <c:dLbls>
            <c:txPr>
              <a:bodyPr/>
              <a:lstStyle/>
              <a:p>
                <a:pPr>
                  <a:defRPr sz="1050" b="1"/>
                </a:pPr>
                <a:endParaRPr lang="en-US"/>
              </a:p>
            </c:txPr>
            <c:dLblPos val="ctr"/>
            <c:showLegendKey val="0"/>
            <c:showVal val="1"/>
            <c:showCatName val="0"/>
            <c:showSerName val="0"/>
            <c:showPercent val="0"/>
            <c:showBubbleSize val="0"/>
            <c:showLeaderLines val="1"/>
          </c:dLbls>
          <c:cat>
            <c:strRef>
              <c:f>Sheet1!$C$307:$C$309</c:f>
              <c:strCache>
                <c:ptCount val="3"/>
                <c:pt idx="0">
                  <c:v>Yes</c:v>
                </c:pt>
                <c:pt idx="1">
                  <c:v>No</c:v>
                </c:pt>
                <c:pt idx="2">
                  <c:v>DON'T KNOW</c:v>
                </c:pt>
              </c:strCache>
            </c:strRef>
          </c:cat>
          <c:val>
            <c:numRef>
              <c:f>Sheet1!$D$307:$D$309</c:f>
              <c:numCache>
                <c:formatCode>0%</c:formatCode>
                <c:ptCount val="3"/>
                <c:pt idx="0">
                  <c:v>0.20422535211267606</c:v>
                </c:pt>
                <c:pt idx="1">
                  <c:v>0.63556338028169013</c:v>
                </c:pt>
                <c:pt idx="2">
                  <c:v>0.16021126760563381</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6140A2-7588-40BF-988E-1E7068A62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12</Pages>
  <Words>2489</Words>
  <Characters>14191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Wokingham Borough Council</Company>
  <LinksUpToDate>false</LinksUpToDate>
  <CharactersWithSpaces>16647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Saira Parkar</dc:creator>
  <cp:lastModifiedBy>Madden, Natalie</cp:lastModifiedBy>
  <cp:revision>29</cp:revision>
  <cp:lastPrinted>2016-09-12T11:52:00Z</cp:lastPrinted>
  <dcterms:created xsi:type="dcterms:W3CDTF">2016-09-19T09:06:00Z</dcterms:created>
  <dcterms:modified xsi:type="dcterms:W3CDTF">2017-01-02T17:12:00Z</dcterms:modified>
</cp:coreProperties>
</file>