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FEE" w:rsidRDefault="002F4FEE" w:rsidP="002F4FEE">
      <w:pPr>
        <w:pStyle w:val="Default"/>
        <w:jc w:val="center"/>
        <w:rPr>
          <w:b/>
          <w:sz w:val="28"/>
          <w:szCs w:val="28"/>
        </w:rPr>
      </w:pPr>
      <w:r>
        <w:rPr>
          <w:noProof/>
          <w:lang w:eastAsia="en-GB"/>
        </w:rPr>
        <w:drawing>
          <wp:inline distT="0" distB="0" distL="0" distR="0">
            <wp:extent cx="1583871" cy="557636"/>
            <wp:effectExtent l="0" t="0" r="0" b="0"/>
            <wp:docPr id="2" name="Picture 2" descr="C:\SAPB\sap-logo-x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PB\sap-logo-xlr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4027" cy="557691"/>
                    </a:xfrm>
                    <a:prstGeom prst="rect">
                      <a:avLst/>
                    </a:prstGeom>
                    <a:noFill/>
                    <a:ln>
                      <a:noFill/>
                    </a:ln>
                  </pic:spPr>
                </pic:pic>
              </a:graphicData>
            </a:graphic>
          </wp:inline>
        </w:drawing>
      </w:r>
    </w:p>
    <w:p w:rsidR="00070B01" w:rsidRPr="002F4FEE" w:rsidRDefault="00070B01" w:rsidP="002F4FEE">
      <w:pPr>
        <w:pStyle w:val="Default"/>
        <w:jc w:val="center"/>
        <w:rPr>
          <w:b/>
          <w:sz w:val="28"/>
          <w:szCs w:val="28"/>
        </w:rPr>
      </w:pPr>
      <w:r w:rsidRPr="0078428E">
        <w:rPr>
          <w:b/>
          <w:sz w:val="28"/>
          <w:szCs w:val="28"/>
        </w:rPr>
        <w:t xml:space="preserve">West of Berkshire </w:t>
      </w:r>
      <w:r w:rsidR="008A3258" w:rsidRPr="0078428E">
        <w:rPr>
          <w:b/>
          <w:sz w:val="28"/>
          <w:szCs w:val="28"/>
        </w:rPr>
        <w:t>Safeguarding Adults Review Panel</w:t>
      </w:r>
    </w:p>
    <w:p w:rsidR="008A3258" w:rsidRPr="0078428E" w:rsidRDefault="008A3258" w:rsidP="002F4FEE">
      <w:pPr>
        <w:pStyle w:val="Default"/>
        <w:jc w:val="center"/>
        <w:rPr>
          <w:b/>
          <w:sz w:val="28"/>
          <w:szCs w:val="28"/>
        </w:rPr>
      </w:pPr>
      <w:r w:rsidRPr="0078428E">
        <w:rPr>
          <w:b/>
          <w:bCs/>
          <w:sz w:val="28"/>
          <w:szCs w:val="28"/>
        </w:rPr>
        <w:t>Terms of Reference</w:t>
      </w:r>
    </w:p>
    <w:p w:rsidR="008A3258" w:rsidRPr="0078428E" w:rsidRDefault="008A3258" w:rsidP="008A3258">
      <w:pPr>
        <w:pStyle w:val="Default"/>
        <w:rPr>
          <w:b/>
          <w:bCs/>
          <w:sz w:val="22"/>
          <w:szCs w:val="22"/>
        </w:rPr>
      </w:pPr>
    </w:p>
    <w:p w:rsidR="0040535A" w:rsidRPr="0078428E" w:rsidRDefault="0040535A" w:rsidP="008A3258">
      <w:pPr>
        <w:pStyle w:val="Default"/>
        <w:rPr>
          <w:b/>
          <w:sz w:val="22"/>
          <w:szCs w:val="22"/>
        </w:rPr>
      </w:pPr>
      <w:r w:rsidRPr="0078428E">
        <w:rPr>
          <w:b/>
          <w:sz w:val="22"/>
          <w:szCs w:val="22"/>
        </w:rPr>
        <w:t>Legislation</w:t>
      </w:r>
    </w:p>
    <w:p w:rsidR="0040535A" w:rsidRPr="0078428E" w:rsidRDefault="0040535A" w:rsidP="0040535A">
      <w:pPr>
        <w:pStyle w:val="Default"/>
        <w:rPr>
          <w:sz w:val="22"/>
          <w:szCs w:val="22"/>
        </w:rPr>
      </w:pPr>
      <w:r w:rsidRPr="0078428E">
        <w:rPr>
          <w:sz w:val="22"/>
          <w:szCs w:val="22"/>
        </w:rPr>
        <w:t>Section  44 of the Care Act puts a duty upon the Safeguarding Adults Board (SAB) to  arrange for there to be a review of a case involving an adult in its area with needs for care and support (whether or not the local authority has been meeting any of those needs) if:</w:t>
      </w:r>
    </w:p>
    <w:p w:rsidR="0040535A" w:rsidRPr="0078428E" w:rsidRDefault="0040535A" w:rsidP="0040535A">
      <w:pPr>
        <w:pStyle w:val="Default"/>
        <w:numPr>
          <w:ilvl w:val="0"/>
          <w:numId w:val="5"/>
        </w:numPr>
        <w:rPr>
          <w:sz w:val="22"/>
          <w:szCs w:val="22"/>
        </w:rPr>
      </w:pPr>
      <w:r w:rsidRPr="0078428E">
        <w:rPr>
          <w:sz w:val="22"/>
          <w:szCs w:val="22"/>
        </w:rPr>
        <w:t xml:space="preserve">There is reasonable cause for concern about how the SAB, its members or other persons with relevant functions worked together to safeguard the adult, </w:t>
      </w:r>
    </w:p>
    <w:p w:rsidR="0040535A" w:rsidRPr="0078428E" w:rsidRDefault="0040535A" w:rsidP="0040535A">
      <w:pPr>
        <w:pStyle w:val="Default"/>
        <w:ind w:firstLine="360"/>
        <w:rPr>
          <w:sz w:val="22"/>
          <w:szCs w:val="22"/>
        </w:rPr>
      </w:pPr>
      <w:proofErr w:type="gramStart"/>
      <w:r w:rsidRPr="0078428E">
        <w:rPr>
          <w:sz w:val="22"/>
          <w:szCs w:val="22"/>
        </w:rPr>
        <w:t>and</w:t>
      </w:r>
      <w:proofErr w:type="gramEnd"/>
    </w:p>
    <w:p w:rsidR="0040535A" w:rsidRPr="0078428E" w:rsidRDefault="0040535A" w:rsidP="0040535A">
      <w:pPr>
        <w:pStyle w:val="Default"/>
        <w:numPr>
          <w:ilvl w:val="0"/>
          <w:numId w:val="5"/>
        </w:numPr>
        <w:rPr>
          <w:sz w:val="22"/>
          <w:szCs w:val="22"/>
        </w:rPr>
      </w:pPr>
      <w:r w:rsidRPr="0078428E">
        <w:rPr>
          <w:sz w:val="22"/>
          <w:szCs w:val="22"/>
        </w:rPr>
        <w:t>The adult has died, and the SAB knows or suspects that the death resulted from abuse or neglect (whether or not it knew about or suspected the abuse or neglect before the adult died).</w:t>
      </w:r>
    </w:p>
    <w:p w:rsidR="0040535A" w:rsidRPr="0078428E" w:rsidRDefault="0040535A" w:rsidP="0040535A">
      <w:pPr>
        <w:pStyle w:val="Default"/>
        <w:ind w:firstLine="360"/>
        <w:rPr>
          <w:sz w:val="22"/>
          <w:szCs w:val="22"/>
        </w:rPr>
      </w:pPr>
      <w:r w:rsidRPr="0078428E">
        <w:rPr>
          <w:sz w:val="22"/>
          <w:szCs w:val="22"/>
        </w:rPr>
        <w:t>Or</w:t>
      </w:r>
    </w:p>
    <w:p w:rsidR="0040535A" w:rsidRPr="0078428E" w:rsidRDefault="0040535A" w:rsidP="0040535A">
      <w:pPr>
        <w:pStyle w:val="Default"/>
        <w:numPr>
          <w:ilvl w:val="0"/>
          <w:numId w:val="5"/>
        </w:numPr>
        <w:rPr>
          <w:sz w:val="22"/>
          <w:szCs w:val="22"/>
        </w:rPr>
      </w:pPr>
      <w:r w:rsidRPr="0078428E">
        <w:rPr>
          <w:sz w:val="22"/>
          <w:szCs w:val="22"/>
        </w:rPr>
        <w:t>If the adult is still alive, and the SAB knows or suspects that the adult has experienced serious abuse or neglect.</w:t>
      </w:r>
    </w:p>
    <w:p w:rsidR="0040535A" w:rsidRPr="0078428E" w:rsidRDefault="0040535A" w:rsidP="0040535A">
      <w:pPr>
        <w:pStyle w:val="Default"/>
        <w:rPr>
          <w:sz w:val="22"/>
          <w:szCs w:val="22"/>
        </w:rPr>
      </w:pPr>
    </w:p>
    <w:p w:rsidR="0040535A" w:rsidRPr="0078428E" w:rsidRDefault="0040535A" w:rsidP="0040535A">
      <w:pPr>
        <w:pStyle w:val="Default"/>
        <w:rPr>
          <w:sz w:val="22"/>
          <w:szCs w:val="22"/>
        </w:rPr>
      </w:pPr>
      <w:r w:rsidRPr="0078428E">
        <w:rPr>
          <w:sz w:val="22"/>
          <w:szCs w:val="22"/>
        </w:rPr>
        <w:t>Under the Care Act each member of the SAB must co-operate in and contribute to the carrying out of a review with a view to identifying the lessons to be learnt from the adult’s case, and applying those lessons to future cases.</w:t>
      </w:r>
    </w:p>
    <w:p w:rsidR="008A3258" w:rsidRPr="0078428E" w:rsidRDefault="008A3258" w:rsidP="008A3258">
      <w:pPr>
        <w:pStyle w:val="Default"/>
        <w:rPr>
          <w:b/>
          <w:bCs/>
          <w:sz w:val="22"/>
          <w:szCs w:val="22"/>
        </w:rPr>
      </w:pPr>
    </w:p>
    <w:p w:rsidR="008A3258" w:rsidRPr="0078428E" w:rsidRDefault="008A3258" w:rsidP="008A3258">
      <w:pPr>
        <w:pStyle w:val="Default"/>
        <w:rPr>
          <w:sz w:val="22"/>
          <w:szCs w:val="22"/>
        </w:rPr>
      </w:pPr>
      <w:r w:rsidRPr="0078428E">
        <w:rPr>
          <w:b/>
          <w:bCs/>
          <w:sz w:val="22"/>
          <w:szCs w:val="22"/>
        </w:rPr>
        <w:t xml:space="preserve">Aims </w:t>
      </w:r>
    </w:p>
    <w:p w:rsidR="008A3258" w:rsidRPr="0078428E" w:rsidRDefault="008A3258" w:rsidP="008A3258">
      <w:pPr>
        <w:pStyle w:val="Default"/>
        <w:rPr>
          <w:sz w:val="22"/>
          <w:szCs w:val="22"/>
        </w:rPr>
      </w:pPr>
      <w:r w:rsidRPr="0078428E">
        <w:rPr>
          <w:sz w:val="22"/>
          <w:szCs w:val="22"/>
        </w:rPr>
        <w:t>The aims of the SAR Panel are to ensure that:</w:t>
      </w:r>
    </w:p>
    <w:p w:rsidR="008A3258" w:rsidRPr="0078428E" w:rsidRDefault="008A3258" w:rsidP="008A3258">
      <w:pPr>
        <w:pStyle w:val="Default"/>
        <w:numPr>
          <w:ilvl w:val="0"/>
          <w:numId w:val="3"/>
        </w:numPr>
        <w:rPr>
          <w:sz w:val="22"/>
          <w:szCs w:val="22"/>
        </w:rPr>
      </w:pPr>
      <w:r w:rsidRPr="0078428E">
        <w:rPr>
          <w:sz w:val="22"/>
          <w:szCs w:val="22"/>
        </w:rPr>
        <w:t>the SAB has in place sound mechanisms for identification of potential Safeguarding Adults Reviews;</w:t>
      </w:r>
    </w:p>
    <w:p w:rsidR="008A3258" w:rsidRPr="0078428E" w:rsidRDefault="008A3258" w:rsidP="008A3258">
      <w:pPr>
        <w:pStyle w:val="Default"/>
        <w:numPr>
          <w:ilvl w:val="0"/>
          <w:numId w:val="3"/>
        </w:numPr>
        <w:rPr>
          <w:sz w:val="22"/>
          <w:szCs w:val="22"/>
        </w:rPr>
      </w:pPr>
      <w:r w:rsidRPr="0078428E">
        <w:rPr>
          <w:sz w:val="22"/>
          <w:szCs w:val="22"/>
        </w:rPr>
        <w:t xml:space="preserve">proper processes are followed in each case; and that </w:t>
      </w:r>
    </w:p>
    <w:p w:rsidR="008A3258" w:rsidRPr="0078428E" w:rsidRDefault="008A3258" w:rsidP="008A3258">
      <w:pPr>
        <w:pStyle w:val="Default"/>
        <w:numPr>
          <w:ilvl w:val="0"/>
          <w:numId w:val="3"/>
        </w:numPr>
        <w:rPr>
          <w:sz w:val="22"/>
          <w:szCs w:val="22"/>
        </w:rPr>
      </w:pPr>
      <w:proofErr w:type="gramStart"/>
      <w:r w:rsidRPr="0078428E">
        <w:rPr>
          <w:sz w:val="22"/>
          <w:szCs w:val="22"/>
        </w:rPr>
        <w:t>learning</w:t>
      </w:r>
      <w:proofErr w:type="gramEnd"/>
      <w:r w:rsidRPr="0078428E">
        <w:rPr>
          <w:sz w:val="22"/>
          <w:szCs w:val="22"/>
        </w:rPr>
        <w:t xml:space="preserve"> from local, regional and national cases is embedded across the partnership.</w:t>
      </w:r>
    </w:p>
    <w:p w:rsidR="008A3258" w:rsidRPr="0078428E" w:rsidRDefault="008A3258" w:rsidP="008A3258">
      <w:pPr>
        <w:pStyle w:val="Default"/>
        <w:rPr>
          <w:sz w:val="22"/>
          <w:szCs w:val="22"/>
        </w:rPr>
      </w:pPr>
    </w:p>
    <w:p w:rsidR="008A3258" w:rsidRPr="0078428E" w:rsidRDefault="008A3258" w:rsidP="008A3258">
      <w:pPr>
        <w:pStyle w:val="Default"/>
        <w:rPr>
          <w:sz w:val="22"/>
          <w:szCs w:val="22"/>
        </w:rPr>
      </w:pPr>
      <w:r w:rsidRPr="0078428E">
        <w:rPr>
          <w:sz w:val="22"/>
          <w:szCs w:val="22"/>
        </w:rPr>
        <w:t xml:space="preserve">Functions include: </w:t>
      </w:r>
    </w:p>
    <w:p w:rsidR="00EF1482" w:rsidRPr="0078428E" w:rsidRDefault="00EF1482" w:rsidP="00EF1482">
      <w:pPr>
        <w:pStyle w:val="Default"/>
        <w:numPr>
          <w:ilvl w:val="0"/>
          <w:numId w:val="2"/>
        </w:numPr>
        <w:rPr>
          <w:sz w:val="22"/>
          <w:szCs w:val="22"/>
        </w:rPr>
      </w:pPr>
      <w:r w:rsidRPr="0078428E">
        <w:rPr>
          <w:sz w:val="22"/>
          <w:szCs w:val="22"/>
        </w:rPr>
        <w:t xml:space="preserve">To consider, at the request of the Independent Chair of the SAB, whether a SAR should take place, and make recommendations to the SAB Chair who has ultimate responsibility for deciding whether or not such a Review should be conducted. </w:t>
      </w:r>
    </w:p>
    <w:p w:rsidR="008A3258" w:rsidRPr="0078428E" w:rsidRDefault="008A3258" w:rsidP="008A3258">
      <w:pPr>
        <w:pStyle w:val="Default"/>
        <w:numPr>
          <w:ilvl w:val="0"/>
          <w:numId w:val="2"/>
        </w:numPr>
        <w:rPr>
          <w:sz w:val="22"/>
          <w:szCs w:val="22"/>
        </w:rPr>
      </w:pPr>
      <w:r w:rsidRPr="0078428E">
        <w:rPr>
          <w:sz w:val="22"/>
          <w:szCs w:val="22"/>
        </w:rPr>
        <w:t>To consider, in the light of each case, the scope of the learning or review process</w:t>
      </w:r>
      <w:r w:rsidR="00070B01" w:rsidRPr="0078428E">
        <w:rPr>
          <w:sz w:val="22"/>
          <w:szCs w:val="22"/>
        </w:rPr>
        <w:t>,</w:t>
      </w:r>
      <w:r w:rsidRPr="0078428E">
        <w:rPr>
          <w:sz w:val="22"/>
          <w:szCs w:val="22"/>
        </w:rPr>
        <w:t xml:space="preserve"> draw up clear terms of reference and identify any specific expertise needed for the Review Group</w:t>
      </w:r>
      <w:r w:rsidR="00070B01" w:rsidRPr="0078428E">
        <w:rPr>
          <w:sz w:val="22"/>
          <w:szCs w:val="22"/>
        </w:rPr>
        <w:t>,</w:t>
      </w:r>
      <w:r w:rsidRPr="0078428E">
        <w:rPr>
          <w:sz w:val="22"/>
          <w:szCs w:val="22"/>
        </w:rPr>
        <w:t xml:space="preserve"> including nomination for independent Chair and lead reviewers. </w:t>
      </w:r>
    </w:p>
    <w:p w:rsidR="008A3258" w:rsidRPr="0078428E" w:rsidRDefault="008A3258" w:rsidP="008A3258">
      <w:pPr>
        <w:pStyle w:val="Default"/>
        <w:numPr>
          <w:ilvl w:val="0"/>
          <w:numId w:val="2"/>
        </w:numPr>
        <w:rPr>
          <w:sz w:val="22"/>
          <w:szCs w:val="22"/>
        </w:rPr>
      </w:pPr>
      <w:r w:rsidRPr="0078428E">
        <w:rPr>
          <w:sz w:val="22"/>
          <w:szCs w:val="22"/>
        </w:rPr>
        <w:t xml:space="preserve">To monitor the SAR process and to ensure reports are completed in a timely way and are quality assured. </w:t>
      </w:r>
    </w:p>
    <w:p w:rsidR="00702673" w:rsidRPr="0078428E" w:rsidRDefault="0055008F" w:rsidP="0017149E">
      <w:pPr>
        <w:pStyle w:val="Default"/>
        <w:numPr>
          <w:ilvl w:val="0"/>
          <w:numId w:val="2"/>
        </w:numPr>
        <w:rPr>
          <w:sz w:val="22"/>
          <w:szCs w:val="22"/>
        </w:rPr>
      </w:pPr>
      <w:r w:rsidRPr="0078428E">
        <w:rPr>
          <w:sz w:val="22"/>
          <w:szCs w:val="22"/>
        </w:rPr>
        <w:t>Recommending to the SAB when the SAR process is completed.</w:t>
      </w:r>
    </w:p>
    <w:p w:rsidR="0017149E" w:rsidRPr="00850929" w:rsidRDefault="0017149E" w:rsidP="0017149E">
      <w:pPr>
        <w:pStyle w:val="Default"/>
        <w:numPr>
          <w:ilvl w:val="0"/>
          <w:numId w:val="2"/>
        </w:numPr>
        <w:rPr>
          <w:color w:val="auto"/>
          <w:sz w:val="22"/>
          <w:szCs w:val="22"/>
        </w:rPr>
      </w:pPr>
      <w:r w:rsidRPr="0078428E">
        <w:rPr>
          <w:rFonts w:eastAsia="Calibri"/>
          <w:color w:val="auto"/>
          <w:sz w:val="22"/>
          <w:szCs w:val="22"/>
        </w:rPr>
        <w:t>P</w:t>
      </w:r>
      <w:r w:rsidR="00702673" w:rsidRPr="0078428E">
        <w:rPr>
          <w:rFonts w:eastAsia="Calibri"/>
          <w:color w:val="auto"/>
          <w:sz w:val="22"/>
          <w:szCs w:val="22"/>
        </w:rPr>
        <w:t>rovide information about</w:t>
      </w:r>
      <w:r w:rsidRPr="0078428E">
        <w:rPr>
          <w:rFonts w:eastAsia="Calibri"/>
          <w:color w:val="auto"/>
          <w:sz w:val="22"/>
          <w:szCs w:val="22"/>
        </w:rPr>
        <w:t xml:space="preserve"> key learning from SARs in </w:t>
      </w:r>
      <w:r w:rsidR="00702673" w:rsidRPr="0078428E">
        <w:rPr>
          <w:rFonts w:eastAsia="Calibri"/>
          <w:color w:val="auto"/>
          <w:sz w:val="22"/>
          <w:szCs w:val="22"/>
        </w:rPr>
        <w:t xml:space="preserve">the Board’s </w:t>
      </w:r>
      <w:r w:rsidRPr="0078428E">
        <w:rPr>
          <w:rFonts w:eastAsia="Calibri"/>
          <w:color w:val="auto"/>
          <w:sz w:val="22"/>
          <w:szCs w:val="22"/>
        </w:rPr>
        <w:t xml:space="preserve">Annual Report. </w:t>
      </w:r>
    </w:p>
    <w:p w:rsidR="00850929" w:rsidRPr="003E0069" w:rsidRDefault="00850929" w:rsidP="0017149E">
      <w:pPr>
        <w:pStyle w:val="Default"/>
        <w:numPr>
          <w:ilvl w:val="0"/>
          <w:numId w:val="2"/>
        </w:numPr>
        <w:rPr>
          <w:color w:val="auto"/>
          <w:sz w:val="22"/>
          <w:szCs w:val="22"/>
        </w:rPr>
      </w:pPr>
      <w:r w:rsidRPr="00850929">
        <w:rPr>
          <w:rFonts w:eastAsia="Calibri"/>
          <w:color w:val="auto"/>
          <w:sz w:val="22"/>
          <w:szCs w:val="22"/>
        </w:rPr>
        <w:t>Th</w:t>
      </w:r>
      <w:r>
        <w:rPr>
          <w:rFonts w:eastAsia="Calibri"/>
          <w:color w:val="auto"/>
          <w:sz w:val="22"/>
          <w:szCs w:val="22"/>
        </w:rPr>
        <w:t>rough the SAR Panel, th</w:t>
      </w:r>
      <w:r w:rsidRPr="00850929">
        <w:rPr>
          <w:rFonts w:eastAsia="Calibri"/>
          <w:color w:val="auto"/>
          <w:sz w:val="22"/>
          <w:szCs w:val="22"/>
        </w:rPr>
        <w:t>e Board can commission a review to be undertaken by the DAAT</w:t>
      </w:r>
      <w:r>
        <w:rPr>
          <w:rFonts w:eastAsia="Calibri"/>
          <w:color w:val="auto"/>
          <w:sz w:val="22"/>
          <w:szCs w:val="22"/>
        </w:rPr>
        <w:t>.</w:t>
      </w:r>
    </w:p>
    <w:p w:rsidR="003E0069" w:rsidRPr="0078428E" w:rsidRDefault="003E0069" w:rsidP="0017149E">
      <w:pPr>
        <w:pStyle w:val="Default"/>
        <w:numPr>
          <w:ilvl w:val="0"/>
          <w:numId w:val="2"/>
        </w:numPr>
        <w:rPr>
          <w:color w:val="auto"/>
          <w:sz w:val="22"/>
          <w:szCs w:val="22"/>
        </w:rPr>
      </w:pPr>
      <w:r>
        <w:rPr>
          <w:rFonts w:eastAsia="Calibri"/>
          <w:color w:val="auto"/>
          <w:sz w:val="22"/>
          <w:szCs w:val="22"/>
        </w:rPr>
        <w:t xml:space="preserve">Informing Care Quality Commission about all reviews involving regulated services, whether or not CQC have been involved.  </w:t>
      </w:r>
    </w:p>
    <w:p w:rsidR="008A3258" w:rsidRPr="0078428E" w:rsidRDefault="008A3258" w:rsidP="008A3258">
      <w:pPr>
        <w:pStyle w:val="Default"/>
        <w:rPr>
          <w:color w:val="auto"/>
          <w:sz w:val="22"/>
          <w:szCs w:val="22"/>
        </w:rPr>
      </w:pPr>
    </w:p>
    <w:p w:rsidR="008A3258" w:rsidRPr="0078428E" w:rsidRDefault="008A3258" w:rsidP="008A3258">
      <w:pPr>
        <w:pStyle w:val="Default"/>
        <w:rPr>
          <w:color w:val="auto"/>
          <w:sz w:val="22"/>
          <w:szCs w:val="22"/>
        </w:rPr>
      </w:pPr>
      <w:r w:rsidRPr="0078428E">
        <w:rPr>
          <w:b/>
          <w:bCs/>
          <w:color w:val="auto"/>
          <w:sz w:val="22"/>
          <w:szCs w:val="22"/>
        </w:rPr>
        <w:t xml:space="preserve">Membership </w:t>
      </w:r>
    </w:p>
    <w:p w:rsidR="008A3258" w:rsidRPr="0078428E" w:rsidRDefault="008A3258" w:rsidP="008A3258">
      <w:pPr>
        <w:pStyle w:val="Default"/>
        <w:rPr>
          <w:color w:val="auto"/>
          <w:sz w:val="22"/>
          <w:szCs w:val="22"/>
        </w:rPr>
      </w:pPr>
      <w:r w:rsidRPr="0078428E">
        <w:rPr>
          <w:color w:val="auto"/>
          <w:sz w:val="22"/>
          <w:szCs w:val="22"/>
        </w:rPr>
        <w:t xml:space="preserve">Core membership includes: </w:t>
      </w:r>
    </w:p>
    <w:p w:rsidR="008A3258" w:rsidRPr="0078428E" w:rsidRDefault="008A3258" w:rsidP="008A3258">
      <w:pPr>
        <w:pStyle w:val="Default"/>
        <w:numPr>
          <w:ilvl w:val="0"/>
          <w:numId w:val="4"/>
        </w:numPr>
        <w:rPr>
          <w:color w:val="auto"/>
          <w:sz w:val="22"/>
          <w:szCs w:val="22"/>
        </w:rPr>
      </w:pPr>
      <w:r w:rsidRPr="0078428E">
        <w:rPr>
          <w:color w:val="auto"/>
          <w:sz w:val="22"/>
          <w:szCs w:val="22"/>
        </w:rPr>
        <w:t>Reading Borough Council</w:t>
      </w:r>
    </w:p>
    <w:p w:rsidR="008A3258" w:rsidRPr="0078428E" w:rsidRDefault="008A3258" w:rsidP="008A3258">
      <w:pPr>
        <w:pStyle w:val="Default"/>
        <w:numPr>
          <w:ilvl w:val="0"/>
          <w:numId w:val="4"/>
        </w:numPr>
        <w:rPr>
          <w:color w:val="auto"/>
          <w:sz w:val="22"/>
          <w:szCs w:val="22"/>
        </w:rPr>
      </w:pPr>
      <w:r w:rsidRPr="0078428E">
        <w:rPr>
          <w:color w:val="auto"/>
          <w:sz w:val="22"/>
          <w:szCs w:val="22"/>
        </w:rPr>
        <w:t>West Berkshire District Council</w:t>
      </w:r>
    </w:p>
    <w:p w:rsidR="008A3258" w:rsidRPr="0078428E" w:rsidRDefault="008A3258" w:rsidP="008A3258">
      <w:pPr>
        <w:pStyle w:val="Default"/>
        <w:numPr>
          <w:ilvl w:val="0"/>
          <w:numId w:val="4"/>
        </w:numPr>
        <w:rPr>
          <w:color w:val="auto"/>
          <w:sz w:val="22"/>
          <w:szCs w:val="22"/>
        </w:rPr>
      </w:pPr>
      <w:r w:rsidRPr="0078428E">
        <w:rPr>
          <w:color w:val="auto"/>
          <w:sz w:val="22"/>
          <w:szCs w:val="22"/>
        </w:rPr>
        <w:t>Wokingham Borough Council</w:t>
      </w:r>
    </w:p>
    <w:p w:rsidR="008A3258" w:rsidRPr="0078428E" w:rsidRDefault="008A3258" w:rsidP="008A3258">
      <w:pPr>
        <w:pStyle w:val="Default"/>
        <w:numPr>
          <w:ilvl w:val="0"/>
          <w:numId w:val="4"/>
        </w:numPr>
        <w:rPr>
          <w:color w:val="auto"/>
          <w:sz w:val="22"/>
          <w:szCs w:val="22"/>
        </w:rPr>
      </w:pPr>
      <w:r w:rsidRPr="0078428E">
        <w:rPr>
          <w:color w:val="auto"/>
          <w:sz w:val="22"/>
          <w:szCs w:val="22"/>
        </w:rPr>
        <w:t>Clinical Commissioning Groups</w:t>
      </w:r>
    </w:p>
    <w:p w:rsidR="008A3258" w:rsidRDefault="008A3258" w:rsidP="008A3258">
      <w:pPr>
        <w:pStyle w:val="Default"/>
        <w:numPr>
          <w:ilvl w:val="0"/>
          <w:numId w:val="4"/>
        </w:numPr>
        <w:rPr>
          <w:color w:val="auto"/>
          <w:sz w:val="22"/>
          <w:szCs w:val="22"/>
        </w:rPr>
      </w:pPr>
      <w:r w:rsidRPr="0078428E">
        <w:rPr>
          <w:color w:val="auto"/>
          <w:sz w:val="22"/>
          <w:szCs w:val="22"/>
        </w:rPr>
        <w:t>Thames Valley Police</w:t>
      </w:r>
    </w:p>
    <w:p w:rsidR="004B3C69" w:rsidRDefault="00A53791" w:rsidP="004B3C69">
      <w:pPr>
        <w:pStyle w:val="Default"/>
        <w:numPr>
          <w:ilvl w:val="0"/>
          <w:numId w:val="4"/>
        </w:numPr>
        <w:rPr>
          <w:color w:val="auto"/>
          <w:sz w:val="22"/>
          <w:szCs w:val="22"/>
        </w:rPr>
      </w:pPr>
      <w:r w:rsidRPr="0078428E">
        <w:rPr>
          <w:color w:val="auto"/>
          <w:sz w:val="22"/>
          <w:szCs w:val="22"/>
        </w:rPr>
        <w:t xml:space="preserve">A representative from the </w:t>
      </w:r>
      <w:r w:rsidR="008A3258" w:rsidRPr="0078428E">
        <w:rPr>
          <w:color w:val="auto"/>
          <w:sz w:val="22"/>
          <w:szCs w:val="22"/>
        </w:rPr>
        <w:t>Joint Legal Team</w:t>
      </w:r>
      <w:r w:rsidR="006D7759" w:rsidRPr="0078428E">
        <w:rPr>
          <w:color w:val="auto"/>
          <w:sz w:val="22"/>
          <w:szCs w:val="22"/>
        </w:rPr>
        <w:t xml:space="preserve"> </w:t>
      </w:r>
      <w:r w:rsidR="00C847D2" w:rsidRPr="0078428E">
        <w:rPr>
          <w:color w:val="auto"/>
          <w:sz w:val="22"/>
          <w:szCs w:val="22"/>
        </w:rPr>
        <w:t>will attend</w:t>
      </w:r>
      <w:r w:rsidR="006D7759" w:rsidRPr="0078428E">
        <w:rPr>
          <w:color w:val="auto"/>
          <w:sz w:val="22"/>
          <w:szCs w:val="22"/>
        </w:rPr>
        <w:t xml:space="preserve"> as required on </w:t>
      </w:r>
      <w:r w:rsidRPr="0078428E">
        <w:rPr>
          <w:color w:val="auto"/>
          <w:sz w:val="22"/>
          <w:szCs w:val="22"/>
        </w:rPr>
        <w:t xml:space="preserve">a </w:t>
      </w:r>
      <w:r w:rsidR="006D7759" w:rsidRPr="0078428E">
        <w:rPr>
          <w:color w:val="auto"/>
          <w:sz w:val="22"/>
          <w:szCs w:val="22"/>
        </w:rPr>
        <w:t xml:space="preserve">case by case </w:t>
      </w:r>
      <w:r w:rsidR="004B3C69">
        <w:rPr>
          <w:color w:val="auto"/>
          <w:sz w:val="22"/>
          <w:szCs w:val="22"/>
        </w:rPr>
        <w:t>basis.</w:t>
      </w:r>
    </w:p>
    <w:p w:rsidR="004B3C69" w:rsidRDefault="004B3C69" w:rsidP="004B3C69">
      <w:pPr>
        <w:pStyle w:val="Default"/>
        <w:rPr>
          <w:color w:val="auto"/>
          <w:sz w:val="22"/>
          <w:szCs w:val="22"/>
        </w:rPr>
      </w:pPr>
    </w:p>
    <w:p w:rsidR="008A3258" w:rsidRPr="0078428E" w:rsidRDefault="00C847D2" w:rsidP="004B3C69">
      <w:pPr>
        <w:pStyle w:val="Default"/>
        <w:rPr>
          <w:color w:val="auto"/>
          <w:sz w:val="22"/>
          <w:szCs w:val="22"/>
        </w:rPr>
      </w:pPr>
      <w:r w:rsidRPr="0078428E">
        <w:rPr>
          <w:color w:val="auto"/>
          <w:sz w:val="22"/>
          <w:szCs w:val="22"/>
        </w:rPr>
        <w:t xml:space="preserve">The Chair of the Panel will review the agenda and cases in advance of each meeting and liaise with the Joint Legal Team, requesting </w:t>
      </w:r>
      <w:r w:rsidR="00A53791" w:rsidRPr="0078428E">
        <w:rPr>
          <w:color w:val="auto"/>
          <w:sz w:val="22"/>
          <w:szCs w:val="22"/>
        </w:rPr>
        <w:t xml:space="preserve">attendance at the meeting, </w:t>
      </w:r>
      <w:r w:rsidRPr="0078428E">
        <w:rPr>
          <w:color w:val="auto"/>
          <w:sz w:val="22"/>
          <w:szCs w:val="22"/>
        </w:rPr>
        <w:t>support and advice as required.</w:t>
      </w:r>
    </w:p>
    <w:p w:rsidR="008A3258" w:rsidRPr="0078428E" w:rsidRDefault="008A3258" w:rsidP="008A3258">
      <w:pPr>
        <w:pStyle w:val="Default"/>
        <w:rPr>
          <w:color w:val="auto"/>
          <w:sz w:val="22"/>
          <w:szCs w:val="22"/>
        </w:rPr>
      </w:pPr>
    </w:p>
    <w:p w:rsidR="008A3258" w:rsidRPr="0078428E" w:rsidRDefault="008A3258" w:rsidP="008A3258">
      <w:pPr>
        <w:pStyle w:val="Default"/>
        <w:rPr>
          <w:color w:val="auto"/>
          <w:sz w:val="22"/>
          <w:szCs w:val="22"/>
        </w:rPr>
      </w:pPr>
      <w:r w:rsidRPr="0078428E">
        <w:rPr>
          <w:color w:val="auto"/>
          <w:sz w:val="22"/>
          <w:szCs w:val="22"/>
        </w:rPr>
        <w:t xml:space="preserve">Members will have appropriate seniority within their agencies to lead and coordinate the work on behalf of their agency. The Panel may co-opt other agencies and representatives to complete or contribute to specific pieces of work. To ensure consistency and timeframes, when members are unable to attend scheduled meetings, they will ensure a representative attends on their behalf. </w:t>
      </w:r>
    </w:p>
    <w:p w:rsidR="008A3258" w:rsidRPr="0078428E" w:rsidRDefault="008A3258" w:rsidP="008A3258">
      <w:pPr>
        <w:pStyle w:val="Default"/>
        <w:rPr>
          <w:b/>
          <w:bCs/>
          <w:color w:val="auto"/>
          <w:sz w:val="22"/>
          <w:szCs w:val="22"/>
        </w:rPr>
      </w:pPr>
    </w:p>
    <w:p w:rsidR="008A3258" w:rsidRPr="0078428E" w:rsidRDefault="008A3258" w:rsidP="008A3258">
      <w:pPr>
        <w:pStyle w:val="Default"/>
        <w:rPr>
          <w:color w:val="auto"/>
          <w:sz w:val="22"/>
          <w:szCs w:val="22"/>
        </w:rPr>
      </w:pPr>
      <w:r w:rsidRPr="0078428E">
        <w:rPr>
          <w:b/>
          <w:bCs/>
          <w:color w:val="auto"/>
          <w:sz w:val="22"/>
          <w:szCs w:val="22"/>
        </w:rPr>
        <w:t xml:space="preserve">Operational arrangements </w:t>
      </w:r>
    </w:p>
    <w:p w:rsidR="008A3258" w:rsidRPr="0078428E" w:rsidRDefault="008A3258" w:rsidP="008A3258">
      <w:pPr>
        <w:pStyle w:val="Default"/>
        <w:rPr>
          <w:color w:val="auto"/>
          <w:sz w:val="22"/>
          <w:szCs w:val="22"/>
        </w:rPr>
      </w:pPr>
      <w:r w:rsidRPr="0078428E">
        <w:rPr>
          <w:color w:val="auto"/>
          <w:sz w:val="22"/>
          <w:szCs w:val="22"/>
        </w:rPr>
        <w:t xml:space="preserve">The sub group will be supported by the SAB Business Manager. </w:t>
      </w:r>
    </w:p>
    <w:p w:rsidR="008A3258" w:rsidRPr="0078428E" w:rsidRDefault="008A3258" w:rsidP="008A3258">
      <w:pPr>
        <w:pStyle w:val="Default"/>
        <w:rPr>
          <w:color w:val="auto"/>
          <w:sz w:val="22"/>
          <w:szCs w:val="22"/>
        </w:rPr>
      </w:pPr>
    </w:p>
    <w:p w:rsidR="00C847D2" w:rsidRDefault="008A3258" w:rsidP="008A3258">
      <w:pPr>
        <w:pStyle w:val="Default"/>
        <w:rPr>
          <w:color w:val="auto"/>
          <w:sz w:val="22"/>
          <w:szCs w:val="22"/>
        </w:rPr>
      </w:pPr>
      <w:r w:rsidRPr="0078428E">
        <w:rPr>
          <w:color w:val="auto"/>
          <w:sz w:val="22"/>
          <w:szCs w:val="22"/>
        </w:rPr>
        <w:t xml:space="preserve">The Chair of the </w:t>
      </w:r>
      <w:r w:rsidR="0017149E" w:rsidRPr="0078428E">
        <w:rPr>
          <w:color w:val="auto"/>
          <w:sz w:val="22"/>
          <w:szCs w:val="22"/>
        </w:rPr>
        <w:t>SAR Panel</w:t>
      </w:r>
      <w:r w:rsidRPr="0078428E">
        <w:rPr>
          <w:color w:val="auto"/>
          <w:sz w:val="22"/>
          <w:szCs w:val="22"/>
        </w:rPr>
        <w:t xml:space="preserve"> will be nominated on an annual basis. </w:t>
      </w:r>
    </w:p>
    <w:p w:rsidR="001E7AE6" w:rsidRDefault="001E7AE6" w:rsidP="008A3258">
      <w:pPr>
        <w:pStyle w:val="Default"/>
        <w:rPr>
          <w:color w:val="auto"/>
          <w:sz w:val="22"/>
          <w:szCs w:val="22"/>
        </w:rPr>
      </w:pPr>
    </w:p>
    <w:p w:rsidR="001E7AE6" w:rsidRPr="0078428E" w:rsidRDefault="001E7AE6" w:rsidP="008A3258">
      <w:pPr>
        <w:pStyle w:val="Default"/>
        <w:rPr>
          <w:color w:val="auto"/>
          <w:sz w:val="22"/>
          <w:szCs w:val="22"/>
        </w:rPr>
      </w:pPr>
      <w:r w:rsidRPr="003E0069">
        <w:rPr>
          <w:color w:val="auto"/>
          <w:sz w:val="22"/>
          <w:szCs w:val="22"/>
        </w:rPr>
        <w:t xml:space="preserve">The role of the Chair in </w:t>
      </w:r>
      <w:r w:rsidR="00E60DD3" w:rsidRPr="003E0069">
        <w:rPr>
          <w:color w:val="auto"/>
          <w:sz w:val="22"/>
          <w:szCs w:val="22"/>
        </w:rPr>
        <w:t xml:space="preserve">Safeguarding Adults Reviews </w:t>
      </w:r>
      <w:r w:rsidRPr="003E0069">
        <w:rPr>
          <w:color w:val="auto"/>
          <w:sz w:val="22"/>
          <w:szCs w:val="22"/>
        </w:rPr>
        <w:t>is to provide a quality assurance role, receiving regular updates from the lead reviewers and ensuring the review fulfils the agreed scope and is conducted within agreed timeframes. The Chair will not be expected to be part of any review team, but will monitor the process and provide challenge when necessary.</w:t>
      </w:r>
      <w:r>
        <w:rPr>
          <w:color w:val="auto"/>
          <w:sz w:val="22"/>
          <w:szCs w:val="22"/>
        </w:rPr>
        <w:t xml:space="preserve">   </w:t>
      </w:r>
    </w:p>
    <w:p w:rsidR="00C847D2" w:rsidRPr="0078428E" w:rsidRDefault="00C847D2" w:rsidP="008A3258">
      <w:pPr>
        <w:pStyle w:val="Default"/>
        <w:rPr>
          <w:color w:val="auto"/>
          <w:sz w:val="22"/>
          <w:szCs w:val="22"/>
        </w:rPr>
      </w:pPr>
    </w:p>
    <w:p w:rsidR="008A3258" w:rsidRPr="0078428E" w:rsidRDefault="00C847D2" w:rsidP="008A3258">
      <w:pPr>
        <w:pStyle w:val="Default"/>
        <w:rPr>
          <w:color w:val="auto"/>
          <w:sz w:val="22"/>
          <w:szCs w:val="22"/>
        </w:rPr>
      </w:pPr>
      <w:r w:rsidRPr="0078428E">
        <w:rPr>
          <w:color w:val="auto"/>
          <w:sz w:val="22"/>
          <w:szCs w:val="22"/>
        </w:rPr>
        <w:t xml:space="preserve">Panel meetings rotate around the three localities. The Safeguarding Lead from each area will act as the Vice Chair at the relevant meeting. The Vice Chair will chair the meetings if the Chair is not available. The Vice Chair will provide an update on relevant cases at the following Board meeting. </w:t>
      </w:r>
    </w:p>
    <w:p w:rsidR="00C847D2" w:rsidRPr="0078428E" w:rsidRDefault="00C847D2" w:rsidP="008A3258">
      <w:pPr>
        <w:pStyle w:val="Default"/>
        <w:rPr>
          <w:color w:val="auto"/>
          <w:sz w:val="22"/>
          <w:szCs w:val="22"/>
        </w:rPr>
      </w:pPr>
    </w:p>
    <w:p w:rsidR="008A3258" w:rsidRPr="0078428E" w:rsidRDefault="008A3258" w:rsidP="008A3258">
      <w:pPr>
        <w:pStyle w:val="Default"/>
        <w:rPr>
          <w:color w:val="auto"/>
          <w:sz w:val="22"/>
          <w:szCs w:val="22"/>
        </w:rPr>
      </w:pPr>
      <w:proofErr w:type="spellStart"/>
      <w:r w:rsidRPr="0078428E">
        <w:rPr>
          <w:b/>
          <w:color w:val="auto"/>
          <w:sz w:val="22"/>
          <w:szCs w:val="22"/>
        </w:rPr>
        <w:t>Quoracy</w:t>
      </w:r>
      <w:proofErr w:type="spellEnd"/>
    </w:p>
    <w:p w:rsidR="008A3258" w:rsidRPr="0078428E" w:rsidRDefault="008A3258" w:rsidP="008A3258">
      <w:pPr>
        <w:pStyle w:val="Default"/>
        <w:rPr>
          <w:color w:val="auto"/>
          <w:sz w:val="22"/>
          <w:szCs w:val="22"/>
        </w:rPr>
      </w:pPr>
      <w:r w:rsidRPr="0078428E">
        <w:rPr>
          <w:color w:val="auto"/>
          <w:sz w:val="22"/>
          <w:szCs w:val="22"/>
        </w:rPr>
        <w:t xml:space="preserve">The meeting will be deemed quorate if the Chair (or their substitute) and at least three other members of the Sub Group are present. </w:t>
      </w:r>
    </w:p>
    <w:p w:rsidR="008A3258" w:rsidRPr="0078428E" w:rsidRDefault="008A3258" w:rsidP="008A3258">
      <w:pPr>
        <w:pStyle w:val="Default"/>
        <w:rPr>
          <w:color w:val="auto"/>
          <w:sz w:val="22"/>
          <w:szCs w:val="22"/>
        </w:rPr>
      </w:pPr>
    </w:p>
    <w:p w:rsidR="008A3258" w:rsidRPr="0078428E" w:rsidRDefault="008A3258" w:rsidP="008A3258">
      <w:pPr>
        <w:pStyle w:val="Default"/>
        <w:rPr>
          <w:color w:val="auto"/>
          <w:sz w:val="22"/>
          <w:szCs w:val="22"/>
        </w:rPr>
      </w:pPr>
      <w:r w:rsidRPr="0078428E">
        <w:rPr>
          <w:b/>
          <w:color w:val="auto"/>
          <w:sz w:val="22"/>
          <w:szCs w:val="22"/>
        </w:rPr>
        <w:t>Frequency</w:t>
      </w:r>
    </w:p>
    <w:p w:rsidR="008A3258" w:rsidRPr="0078428E" w:rsidRDefault="008A3258" w:rsidP="008A3258">
      <w:pPr>
        <w:pStyle w:val="Default"/>
        <w:rPr>
          <w:color w:val="auto"/>
          <w:sz w:val="22"/>
          <w:szCs w:val="22"/>
        </w:rPr>
      </w:pPr>
      <w:r w:rsidRPr="0078428E">
        <w:rPr>
          <w:color w:val="auto"/>
          <w:sz w:val="22"/>
          <w:szCs w:val="22"/>
        </w:rPr>
        <w:t xml:space="preserve">Standing meetings of </w:t>
      </w:r>
      <w:r w:rsidR="003E74CF">
        <w:rPr>
          <w:color w:val="auto"/>
          <w:sz w:val="22"/>
          <w:szCs w:val="22"/>
        </w:rPr>
        <w:t>the SAR Panel</w:t>
      </w:r>
      <w:r w:rsidRPr="0078428E">
        <w:rPr>
          <w:color w:val="auto"/>
          <w:sz w:val="22"/>
          <w:szCs w:val="22"/>
        </w:rPr>
        <w:t xml:space="preserve"> will be held at least quarterly and additionally as required. </w:t>
      </w:r>
    </w:p>
    <w:p w:rsidR="008A3258" w:rsidRPr="0078428E" w:rsidRDefault="008A3258" w:rsidP="008A3258">
      <w:pPr>
        <w:pStyle w:val="Default"/>
        <w:rPr>
          <w:color w:val="auto"/>
          <w:sz w:val="22"/>
          <w:szCs w:val="22"/>
        </w:rPr>
      </w:pPr>
    </w:p>
    <w:p w:rsidR="008A3258" w:rsidRPr="0078428E" w:rsidRDefault="008A3258" w:rsidP="008A3258">
      <w:pPr>
        <w:pStyle w:val="Default"/>
        <w:rPr>
          <w:b/>
          <w:color w:val="auto"/>
          <w:sz w:val="22"/>
          <w:szCs w:val="22"/>
        </w:rPr>
      </w:pPr>
      <w:r w:rsidRPr="0078428E">
        <w:rPr>
          <w:b/>
          <w:color w:val="auto"/>
          <w:sz w:val="22"/>
          <w:szCs w:val="22"/>
        </w:rPr>
        <w:t>Agendas and minutes</w:t>
      </w:r>
    </w:p>
    <w:p w:rsidR="008A3258" w:rsidRPr="0078428E" w:rsidRDefault="008A3258" w:rsidP="008A3258">
      <w:pPr>
        <w:pStyle w:val="Default"/>
        <w:rPr>
          <w:color w:val="auto"/>
          <w:sz w:val="22"/>
          <w:szCs w:val="22"/>
        </w:rPr>
      </w:pPr>
      <w:r w:rsidRPr="0078428E">
        <w:rPr>
          <w:color w:val="auto"/>
          <w:sz w:val="22"/>
          <w:szCs w:val="22"/>
        </w:rPr>
        <w:t xml:space="preserve">Agendas and associated papers will be circulated </w:t>
      </w:r>
      <w:r w:rsidR="004B3C69">
        <w:rPr>
          <w:color w:val="auto"/>
          <w:sz w:val="22"/>
          <w:szCs w:val="22"/>
        </w:rPr>
        <w:t xml:space="preserve">at least a week </w:t>
      </w:r>
      <w:r w:rsidRPr="0078428E">
        <w:rPr>
          <w:color w:val="auto"/>
          <w:sz w:val="22"/>
          <w:szCs w:val="22"/>
        </w:rPr>
        <w:t xml:space="preserve">in advance of the meeting. </w:t>
      </w:r>
      <w:r w:rsidR="004B3C69">
        <w:rPr>
          <w:color w:val="auto"/>
          <w:sz w:val="22"/>
          <w:szCs w:val="22"/>
        </w:rPr>
        <w:t xml:space="preserve">Minutes will be circulated within two weeks of the Panel meeting. </w:t>
      </w:r>
    </w:p>
    <w:p w:rsidR="008A3258" w:rsidRPr="0078428E" w:rsidRDefault="008A3258" w:rsidP="008A3258">
      <w:pPr>
        <w:pStyle w:val="Default"/>
        <w:rPr>
          <w:b/>
          <w:bCs/>
          <w:color w:val="auto"/>
          <w:sz w:val="22"/>
          <w:szCs w:val="22"/>
        </w:rPr>
      </w:pPr>
    </w:p>
    <w:p w:rsidR="008A3258" w:rsidRPr="0078428E" w:rsidRDefault="008A3258" w:rsidP="008A3258">
      <w:pPr>
        <w:pStyle w:val="Default"/>
        <w:rPr>
          <w:color w:val="auto"/>
          <w:sz w:val="22"/>
          <w:szCs w:val="22"/>
        </w:rPr>
      </w:pPr>
      <w:r w:rsidRPr="0078428E">
        <w:rPr>
          <w:b/>
          <w:bCs/>
          <w:color w:val="auto"/>
          <w:sz w:val="22"/>
          <w:szCs w:val="22"/>
        </w:rPr>
        <w:t xml:space="preserve">Accountability </w:t>
      </w:r>
    </w:p>
    <w:p w:rsidR="008A3258" w:rsidRPr="0078428E" w:rsidRDefault="008A3258" w:rsidP="008A3258">
      <w:pPr>
        <w:pStyle w:val="Default"/>
        <w:rPr>
          <w:color w:val="auto"/>
          <w:sz w:val="23"/>
          <w:szCs w:val="23"/>
        </w:rPr>
      </w:pPr>
      <w:r w:rsidRPr="0078428E">
        <w:rPr>
          <w:color w:val="auto"/>
          <w:sz w:val="23"/>
          <w:szCs w:val="23"/>
        </w:rPr>
        <w:t>The group is accountable to the SAB and will report progress on a regular basis. It will also provide relevant information to the SAB as necessary</w:t>
      </w:r>
      <w:r w:rsidR="004B3C69">
        <w:rPr>
          <w:color w:val="auto"/>
          <w:sz w:val="23"/>
          <w:szCs w:val="23"/>
        </w:rPr>
        <w:t>,</w:t>
      </w:r>
      <w:r w:rsidRPr="0078428E">
        <w:rPr>
          <w:color w:val="auto"/>
          <w:sz w:val="23"/>
          <w:szCs w:val="23"/>
        </w:rPr>
        <w:t xml:space="preserve"> including input into the Annual Report. </w:t>
      </w:r>
    </w:p>
    <w:p w:rsidR="008A3258" w:rsidRPr="0078428E" w:rsidRDefault="008A3258" w:rsidP="008A3258">
      <w:pPr>
        <w:pStyle w:val="Default"/>
        <w:rPr>
          <w:color w:val="auto"/>
          <w:sz w:val="22"/>
          <w:szCs w:val="22"/>
        </w:rPr>
      </w:pPr>
    </w:p>
    <w:p w:rsidR="008A3258" w:rsidRPr="0078428E" w:rsidRDefault="008A3258" w:rsidP="008A3258">
      <w:pPr>
        <w:pStyle w:val="Default"/>
        <w:rPr>
          <w:color w:val="auto"/>
          <w:sz w:val="22"/>
          <w:szCs w:val="22"/>
        </w:rPr>
      </w:pPr>
      <w:r w:rsidRPr="0078428E">
        <w:rPr>
          <w:color w:val="auto"/>
          <w:sz w:val="22"/>
          <w:szCs w:val="22"/>
        </w:rPr>
        <w:t xml:space="preserve">Any professional may refer a case to the SAB if it is believed that there are important lessons for </w:t>
      </w:r>
      <w:r w:rsidR="004B3C69">
        <w:rPr>
          <w:color w:val="auto"/>
          <w:sz w:val="22"/>
          <w:szCs w:val="22"/>
        </w:rPr>
        <w:t>multi</w:t>
      </w:r>
      <w:r w:rsidRPr="0078428E">
        <w:rPr>
          <w:color w:val="auto"/>
          <w:sz w:val="22"/>
          <w:szCs w:val="22"/>
        </w:rPr>
        <w:t xml:space="preserve">-agency working to be learned from the case. It would be the SAB's responsibility to take note of any referral and make a decision as to what action is needed. </w:t>
      </w:r>
    </w:p>
    <w:p w:rsidR="008A3258" w:rsidRPr="0078428E" w:rsidRDefault="008A3258" w:rsidP="008A3258">
      <w:pPr>
        <w:pStyle w:val="Default"/>
        <w:rPr>
          <w:b/>
          <w:bCs/>
          <w:color w:val="auto"/>
          <w:sz w:val="22"/>
          <w:szCs w:val="22"/>
        </w:rPr>
      </w:pPr>
    </w:p>
    <w:p w:rsidR="008A3258" w:rsidRPr="0078428E" w:rsidRDefault="008A3258" w:rsidP="008A3258">
      <w:pPr>
        <w:pStyle w:val="Default"/>
        <w:rPr>
          <w:color w:val="auto"/>
          <w:sz w:val="22"/>
          <w:szCs w:val="22"/>
        </w:rPr>
      </w:pPr>
      <w:r w:rsidRPr="0078428E">
        <w:rPr>
          <w:b/>
          <w:bCs/>
          <w:color w:val="auto"/>
          <w:sz w:val="22"/>
          <w:szCs w:val="22"/>
        </w:rPr>
        <w:t xml:space="preserve">Confidentiality </w:t>
      </w:r>
    </w:p>
    <w:p w:rsidR="008A3258" w:rsidRPr="0078428E" w:rsidRDefault="008A3258" w:rsidP="008A3258">
      <w:pPr>
        <w:pStyle w:val="Default"/>
        <w:rPr>
          <w:color w:val="auto"/>
          <w:sz w:val="22"/>
          <w:szCs w:val="22"/>
        </w:rPr>
      </w:pPr>
      <w:r w:rsidRPr="0078428E">
        <w:rPr>
          <w:color w:val="auto"/>
          <w:sz w:val="22"/>
          <w:szCs w:val="22"/>
        </w:rPr>
        <w:t xml:space="preserve">Panel members shall keep confidential any information obtained as a result of inter-agency co-operation, save to the extent that disclosure of the information is necessary in order to discharge the functions of the SAB. </w:t>
      </w:r>
    </w:p>
    <w:p w:rsidR="008A3258" w:rsidRPr="0078428E" w:rsidRDefault="008A3258" w:rsidP="008A3258">
      <w:pPr>
        <w:pStyle w:val="Default"/>
        <w:rPr>
          <w:color w:val="auto"/>
          <w:sz w:val="22"/>
          <w:szCs w:val="22"/>
        </w:rPr>
      </w:pPr>
    </w:p>
    <w:p w:rsidR="008A3258" w:rsidRPr="0078428E" w:rsidRDefault="008A3258" w:rsidP="008A3258">
      <w:pPr>
        <w:pStyle w:val="Default"/>
        <w:rPr>
          <w:rFonts w:cstheme="minorBidi"/>
          <w:color w:val="auto"/>
          <w:sz w:val="22"/>
          <w:szCs w:val="22"/>
        </w:rPr>
      </w:pPr>
      <w:r w:rsidRPr="0078428E">
        <w:rPr>
          <w:rFonts w:cstheme="minorBidi"/>
          <w:b/>
          <w:bCs/>
          <w:color w:val="auto"/>
          <w:sz w:val="22"/>
          <w:szCs w:val="22"/>
        </w:rPr>
        <w:t xml:space="preserve">Accessibility </w:t>
      </w:r>
    </w:p>
    <w:p w:rsidR="008A3258" w:rsidRPr="0078428E" w:rsidRDefault="008A3258" w:rsidP="008A3258">
      <w:pPr>
        <w:pStyle w:val="Default"/>
        <w:rPr>
          <w:color w:val="auto"/>
          <w:sz w:val="22"/>
          <w:szCs w:val="22"/>
        </w:rPr>
      </w:pPr>
      <w:r w:rsidRPr="0078428E">
        <w:rPr>
          <w:color w:val="auto"/>
          <w:sz w:val="22"/>
          <w:szCs w:val="22"/>
        </w:rPr>
        <w:t xml:space="preserve">The Board will seek to ensure that any learning from Safeguarding Adults Reviews, as well as those not reaching the SAR threshold but where wider learning is identified, is disseminated using a variety of methods and is made available as widely as possible. </w:t>
      </w:r>
    </w:p>
    <w:p w:rsidR="008A3258" w:rsidRPr="0078428E" w:rsidRDefault="008A3258" w:rsidP="008A3258">
      <w:pPr>
        <w:pStyle w:val="Default"/>
        <w:rPr>
          <w:b/>
          <w:bCs/>
          <w:color w:val="auto"/>
          <w:sz w:val="22"/>
          <w:szCs w:val="22"/>
        </w:rPr>
      </w:pPr>
    </w:p>
    <w:p w:rsidR="008A3258" w:rsidRPr="0078428E" w:rsidRDefault="008A3258" w:rsidP="008A3258">
      <w:pPr>
        <w:pStyle w:val="Default"/>
        <w:rPr>
          <w:color w:val="auto"/>
          <w:sz w:val="22"/>
          <w:szCs w:val="22"/>
        </w:rPr>
      </w:pPr>
      <w:r w:rsidRPr="0078428E">
        <w:rPr>
          <w:b/>
          <w:bCs/>
          <w:color w:val="auto"/>
          <w:sz w:val="22"/>
          <w:szCs w:val="22"/>
        </w:rPr>
        <w:t xml:space="preserve">Review </w:t>
      </w:r>
    </w:p>
    <w:p w:rsidR="008A3258" w:rsidRPr="0078428E" w:rsidRDefault="008A3258" w:rsidP="008A3258">
      <w:pPr>
        <w:pStyle w:val="Default"/>
        <w:rPr>
          <w:color w:val="auto"/>
          <w:sz w:val="22"/>
          <w:szCs w:val="22"/>
        </w:rPr>
      </w:pPr>
      <w:r w:rsidRPr="0078428E">
        <w:rPr>
          <w:color w:val="auto"/>
          <w:sz w:val="22"/>
          <w:szCs w:val="22"/>
        </w:rPr>
        <w:t xml:space="preserve">The SAR Panel Terms of Reference will be reviewed annually. Any changes must be agreed by the Board. </w:t>
      </w:r>
    </w:p>
    <w:p w:rsidR="00E60DD3" w:rsidRDefault="00E60DD3" w:rsidP="0040535A">
      <w:pPr>
        <w:ind w:left="5760" w:firstLine="720"/>
        <w:jc w:val="center"/>
        <w:rPr>
          <w:rFonts w:ascii="Arial" w:hAnsi="Arial" w:cs="Arial"/>
          <w:b/>
          <w:u w:val="single"/>
        </w:rPr>
      </w:pPr>
    </w:p>
    <w:p w:rsidR="0040535A" w:rsidRPr="0078428E" w:rsidRDefault="0040535A" w:rsidP="0040535A">
      <w:pPr>
        <w:ind w:left="5760" w:firstLine="720"/>
        <w:jc w:val="center"/>
        <w:rPr>
          <w:rFonts w:ascii="Arial" w:hAnsi="Arial" w:cs="Arial"/>
          <w:b/>
          <w:u w:val="single"/>
        </w:rPr>
      </w:pPr>
      <w:r w:rsidRPr="0078428E">
        <w:rPr>
          <w:rFonts w:ascii="Arial" w:hAnsi="Arial" w:cs="Arial"/>
          <w:b/>
          <w:u w:val="single"/>
        </w:rPr>
        <w:lastRenderedPageBreak/>
        <w:t xml:space="preserve">Appendix 1 </w:t>
      </w:r>
    </w:p>
    <w:p w:rsidR="0040535A" w:rsidRPr="0078428E" w:rsidRDefault="0040535A" w:rsidP="0040535A">
      <w:pPr>
        <w:autoSpaceDE w:val="0"/>
        <w:autoSpaceDN w:val="0"/>
        <w:adjustRightInd w:val="0"/>
        <w:jc w:val="both"/>
        <w:rPr>
          <w:rFonts w:ascii="Arial" w:hAnsi="Arial" w:cs="Arial"/>
          <w:sz w:val="22"/>
          <w:szCs w:val="22"/>
        </w:rPr>
      </w:pPr>
    </w:p>
    <w:p w:rsidR="0040535A" w:rsidRPr="0078428E" w:rsidRDefault="0040535A" w:rsidP="0040535A">
      <w:pPr>
        <w:rPr>
          <w:rFonts w:ascii="Arial" w:hAnsi="Arial" w:cs="Arial"/>
          <w:b/>
          <w:u w:val="single"/>
        </w:rPr>
      </w:pPr>
    </w:p>
    <w:p w:rsidR="0040535A" w:rsidRPr="0078428E" w:rsidRDefault="007220DE" w:rsidP="0040535A">
      <w:pPr>
        <w:jc w:val="center"/>
        <w:rPr>
          <w:rFonts w:ascii="Arial" w:hAnsi="Arial" w:cs="Arial"/>
          <w:b/>
          <w:u w:val="single"/>
        </w:rPr>
      </w:pPr>
      <w:r w:rsidRPr="007220DE">
        <w:rPr>
          <w:rFonts w:ascii="Arial" w:hAnsi="Arial" w:cs="Arial"/>
          <w:b/>
          <w:u w:val="single"/>
        </w:rPr>
        <w:t>Process for Multi-Agency Safeguarding Adults Reviews of Serious Cases</w:t>
      </w:r>
      <w:bookmarkStart w:id="0" w:name="_GoBack"/>
      <w:bookmarkEnd w:id="0"/>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aim of this </w:t>
      </w:r>
      <w:r w:rsidR="003E0069" w:rsidRPr="004B3C69">
        <w:rPr>
          <w:rFonts w:asciiTheme="minorHAnsi" w:hAnsiTheme="minorHAnsi" w:cs="Arial"/>
          <w:sz w:val="22"/>
          <w:szCs w:val="22"/>
        </w:rPr>
        <w:t>document</w:t>
      </w:r>
      <w:r w:rsidRPr="004B3C69">
        <w:rPr>
          <w:rFonts w:asciiTheme="minorHAnsi" w:hAnsiTheme="minorHAnsi" w:cs="Arial"/>
          <w:sz w:val="22"/>
          <w:szCs w:val="22"/>
        </w:rPr>
        <w:t xml:space="preserve"> is to streamline the process for carrying out a Safeguarding Adults Review for Board members, managers and practitioners, and to clarify the different roles and responsibilities of individual agencies, the Safeguarding Adults Board (SAB) and its Subgroups. </w:t>
      </w:r>
    </w:p>
    <w:p w:rsidR="0040535A" w:rsidRPr="004B3C69" w:rsidRDefault="0040535A" w:rsidP="00E60DD3">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1 </w:t>
      </w:r>
      <w:r w:rsidR="004B3C69" w:rsidRPr="004B3C69">
        <w:rPr>
          <w:rFonts w:asciiTheme="minorHAnsi" w:hAnsiTheme="minorHAnsi" w:cs="Arial"/>
          <w:b/>
          <w:i/>
          <w:sz w:val="22"/>
          <w:szCs w:val="22"/>
        </w:rPr>
        <w:t xml:space="preserve">Notification of a case for consideration </w:t>
      </w:r>
    </w:p>
    <w:p w:rsidR="003E00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Refer to</w:t>
      </w:r>
      <w:r w:rsidR="003E0069" w:rsidRPr="004B3C69">
        <w:rPr>
          <w:rFonts w:asciiTheme="minorHAnsi" w:hAnsiTheme="minorHAnsi" w:cs="Arial"/>
          <w:sz w:val="22"/>
          <w:szCs w:val="22"/>
        </w:rPr>
        <w:t xml:space="preserve"> the decision making process outlined in the</w:t>
      </w:r>
      <w:r w:rsidRPr="004B3C69">
        <w:rPr>
          <w:rFonts w:asciiTheme="minorHAnsi" w:hAnsiTheme="minorHAnsi" w:cs="Arial"/>
          <w:sz w:val="22"/>
          <w:szCs w:val="22"/>
        </w:rPr>
        <w:t xml:space="preserve"> </w:t>
      </w:r>
      <w:hyperlink r:id="rId10" w:history="1">
        <w:r w:rsidRPr="004B3C69">
          <w:rPr>
            <w:rStyle w:val="Hyperlink"/>
            <w:rFonts w:asciiTheme="minorHAnsi" w:hAnsiTheme="minorHAnsi" w:cs="Arial"/>
            <w:sz w:val="22"/>
            <w:szCs w:val="22"/>
          </w:rPr>
          <w:t>Guidance for Multi-Agency Safeguarding Adults Review of Serious Cases</w:t>
        </w:r>
      </w:hyperlink>
      <w:r w:rsidR="003E0069" w:rsidRPr="004B3C69">
        <w:rPr>
          <w:rFonts w:asciiTheme="minorHAnsi" w:hAnsiTheme="minorHAnsi" w:cs="Arial"/>
          <w:sz w:val="22"/>
          <w:szCs w:val="22"/>
        </w:rPr>
        <w:t>.</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Complete</w:t>
      </w:r>
      <w:r w:rsidR="003E0069" w:rsidRPr="004B3C69">
        <w:rPr>
          <w:rFonts w:asciiTheme="minorHAnsi" w:hAnsiTheme="minorHAnsi" w:cs="Arial"/>
          <w:sz w:val="22"/>
          <w:szCs w:val="22"/>
        </w:rPr>
        <w:t xml:space="preserve"> the</w:t>
      </w:r>
      <w:r w:rsidRPr="004B3C69">
        <w:rPr>
          <w:rFonts w:asciiTheme="minorHAnsi" w:hAnsiTheme="minorHAnsi" w:cs="Arial"/>
          <w:sz w:val="22"/>
          <w:szCs w:val="22"/>
        </w:rPr>
        <w:t xml:space="preserve"> </w:t>
      </w:r>
      <w:r w:rsidR="00836528" w:rsidRPr="004B3C69">
        <w:rPr>
          <w:rFonts w:asciiTheme="minorHAnsi" w:hAnsiTheme="minorHAnsi" w:cs="Arial"/>
          <w:sz w:val="22"/>
          <w:szCs w:val="22"/>
        </w:rPr>
        <w:t xml:space="preserve">notification </w:t>
      </w:r>
      <w:r w:rsidRPr="004B3C69">
        <w:rPr>
          <w:rFonts w:asciiTheme="minorHAnsi" w:hAnsiTheme="minorHAnsi" w:cs="Arial"/>
          <w:sz w:val="22"/>
          <w:szCs w:val="22"/>
        </w:rPr>
        <w:t>report template (</w:t>
      </w:r>
      <w:r w:rsidR="00836528" w:rsidRPr="004B3C69">
        <w:rPr>
          <w:rFonts w:asciiTheme="minorHAnsi" w:hAnsiTheme="minorHAnsi" w:cs="Arial"/>
          <w:sz w:val="22"/>
          <w:szCs w:val="22"/>
        </w:rPr>
        <w:t>Appendix 2</w:t>
      </w:r>
      <w:r w:rsidRPr="004B3C69">
        <w:rPr>
          <w:rFonts w:asciiTheme="minorHAnsi" w:hAnsiTheme="minorHAnsi" w:cs="Arial"/>
          <w:sz w:val="22"/>
          <w:szCs w:val="22"/>
        </w:rPr>
        <w:t xml:space="preserve">) and send </w:t>
      </w:r>
      <w:r w:rsidR="003E0069" w:rsidRPr="004B3C69">
        <w:rPr>
          <w:rFonts w:asciiTheme="minorHAnsi" w:hAnsiTheme="minorHAnsi" w:cs="Arial"/>
          <w:sz w:val="22"/>
          <w:szCs w:val="22"/>
        </w:rPr>
        <w:t xml:space="preserve">securely </w:t>
      </w:r>
      <w:r w:rsidRPr="004B3C69">
        <w:rPr>
          <w:rFonts w:asciiTheme="minorHAnsi" w:hAnsiTheme="minorHAnsi" w:cs="Arial"/>
          <w:sz w:val="22"/>
          <w:szCs w:val="22"/>
        </w:rPr>
        <w:t xml:space="preserve">to </w:t>
      </w:r>
      <w:r w:rsidR="003E0069" w:rsidRPr="004B3C69">
        <w:rPr>
          <w:rFonts w:asciiTheme="minorHAnsi" w:hAnsiTheme="minorHAnsi" w:cs="Arial"/>
          <w:sz w:val="22"/>
          <w:szCs w:val="22"/>
        </w:rPr>
        <w:t xml:space="preserve">the </w:t>
      </w:r>
      <w:r w:rsidR="00FB7588">
        <w:rPr>
          <w:rFonts w:asciiTheme="minorHAnsi" w:hAnsiTheme="minorHAnsi" w:cs="Arial"/>
          <w:sz w:val="22"/>
          <w:szCs w:val="22"/>
        </w:rPr>
        <w:t xml:space="preserve">SAB </w:t>
      </w:r>
      <w:r w:rsidR="003E0069" w:rsidRPr="004B3C69">
        <w:rPr>
          <w:rFonts w:asciiTheme="minorHAnsi" w:hAnsiTheme="minorHAnsi" w:cs="Arial"/>
          <w:sz w:val="22"/>
          <w:szCs w:val="22"/>
        </w:rPr>
        <w:t>Business Manager</w:t>
      </w:r>
      <w:r w:rsidRPr="004B3C69">
        <w:rPr>
          <w:rFonts w:asciiTheme="minorHAnsi" w:hAnsiTheme="minorHAnsi" w:cs="Arial"/>
          <w:sz w:val="22"/>
          <w:szCs w:val="22"/>
        </w:rPr>
        <w:t xml:space="preserve">. </w:t>
      </w:r>
      <w:r w:rsidR="00836528" w:rsidRPr="004B3C69">
        <w:rPr>
          <w:rFonts w:asciiTheme="minorHAnsi" w:hAnsiTheme="minorHAnsi" w:cs="Arial"/>
          <w:sz w:val="22"/>
          <w:szCs w:val="22"/>
        </w:rPr>
        <w:t xml:space="preserve">Instead of using </w:t>
      </w:r>
      <w:r w:rsidR="0054619D">
        <w:rPr>
          <w:rFonts w:asciiTheme="minorHAnsi" w:hAnsiTheme="minorHAnsi" w:cs="Arial"/>
          <w:sz w:val="22"/>
          <w:szCs w:val="22"/>
        </w:rPr>
        <w:t>this</w:t>
      </w:r>
      <w:r w:rsidR="00836528" w:rsidRPr="004B3C69">
        <w:rPr>
          <w:rFonts w:asciiTheme="minorHAnsi" w:hAnsiTheme="minorHAnsi" w:cs="Arial"/>
          <w:sz w:val="22"/>
          <w:szCs w:val="22"/>
        </w:rPr>
        <w:t xml:space="preserve"> template to notify the Panel, </w:t>
      </w:r>
      <w:r w:rsidR="001E7AE6" w:rsidRPr="004B3C69">
        <w:rPr>
          <w:rFonts w:asciiTheme="minorHAnsi" w:hAnsiTheme="minorHAnsi" w:cs="Arial"/>
          <w:sz w:val="22"/>
          <w:szCs w:val="22"/>
          <w:shd w:val="clear" w:color="auto" w:fill="FFFFFF" w:themeFill="background1"/>
        </w:rPr>
        <w:t>Thames Valley Police officer</w:t>
      </w:r>
      <w:r w:rsidR="00836528" w:rsidRPr="004B3C69">
        <w:rPr>
          <w:rFonts w:asciiTheme="minorHAnsi" w:hAnsiTheme="minorHAnsi" w:cs="Arial"/>
          <w:sz w:val="22"/>
          <w:szCs w:val="22"/>
          <w:shd w:val="clear" w:color="auto" w:fill="FFFFFF" w:themeFill="background1"/>
        </w:rPr>
        <w:t>s</w:t>
      </w:r>
      <w:r w:rsidR="001E7AE6" w:rsidRPr="004B3C69">
        <w:rPr>
          <w:rFonts w:asciiTheme="minorHAnsi" w:hAnsiTheme="minorHAnsi" w:cs="Arial"/>
          <w:sz w:val="22"/>
          <w:szCs w:val="22"/>
          <w:shd w:val="clear" w:color="auto" w:fill="FFFFFF" w:themeFill="background1"/>
        </w:rPr>
        <w:t xml:space="preserve"> will use </w:t>
      </w:r>
      <w:r w:rsidR="00836528" w:rsidRPr="004B3C69">
        <w:rPr>
          <w:rFonts w:asciiTheme="minorHAnsi" w:hAnsiTheme="minorHAnsi" w:cs="Arial"/>
          <w:sz w:val="22"/>
          <w:szCs w:val="22"/>
          <w:shd w:val="clear" w:color="auto" w:fill="FFFFFF" w:themeFill="background1"/>
        </w:rPr>
        <w:t>a Primary Assessment Chronology (Appendix 3) and must receive authorisation from senior officers before presenting to the SAR Panel.</w:t>
      </w:r>
      <w:r w:rsidR="00836528" w:rsidRPr="004B3C69">
        <w:rPr>
          <w:rFonts w:asciiTheme="minorHAnsi" w:hAnsiTheme="minorHAnsi" w:cs="Arial"/>
          <w:sz w:val="22"/>
          <w:szCs w:val="22"/>
        </w:rPr>
        <w:t xml:space="preserve"> </w:t>
      </w:r>
    </w:p>
    <w:p w:rsidR="0040535A" w:rsidRPr="004B3C69" w:rsidRDefault="0040535A" w:rsidP="004B3C69">
      <w:pPr>
        <w:spacing w:before="120" w:after="120"/>
        <w:jc w:val="both"/>
        <w:rPr>
          <w:rFonts w:asciiTheme="minorHAnsi" w:hAnsiTheme="minorHAnsi" w:cs="Arial"/>
          <w:sz w:val="22"/>
          <w:szCs w:val="22"/>
        </w:rPr>
      </w:pPr>
      <w:proofErr w:type="gramStart"/>
      <w:r w:rsidRPr="004B3C69">
        <w:rPr>
          <w:rFonts w:asciiTheme="minorHAnsi" w:hAnsiTheme="minorHAnsi" w:cs="Arial"/>
          <w:sz w:val="22"/>
          <w:szCs w:val="22"/>
        </w:rPr>
        <w:t>Copy to the Safeguarding Team in the relevant Local Authority.</w:t>
      </w:r>
      <w:proofErr w:type="gramEnd"/>
      <w:r w:rsidRPr="004B3C69">
        <w:rPr>
          <w:rFonts w:asciiTheme="minorHAnsi" w:hAnsiTheme="minorHAnsi" w:cs="Arial"/>
          <w:sz w:val="22"/>
          <w:szCs w:val="22"/>
        </w:rPr>
        <w:t xml:space="preserve"> </w:t>
      </w:r>
    </w:p>
    <w:p w:rsidR="008E5601" w:rsidRPr="004B3C69" w:rsidRDefault="00EF1482" w:rsidP="004B3C69">
      <w:pPr>
        <w:pStyle w:val="Default"/>
        <w:spacing w:before="120" w:after="120"/>
        <w:rPr>
          <w:rFonts w:asciiTheme="minorHAnsi" w:hAnsiTheme="minorHAnsi" w:cs="Arial"/>
          <w:sz w:val="22"/>
          <w:szCs w:val="22"/>
        </w:rPr>
      </w:pPr>
      <w:r w:rsidRPr="004B3C69">
        <w:rPr>
          <w:rFonts w:asciiTheme="minorHAnsi" w:hAnsiTheme="minorHAnsi" w:cs="Arial"/>
          <w:sz w:val="22"/>
          <w:szCs w:val="22"/>
        </w:rPr>
        <w:t xml:space="preserve">The </w:t>
      </w:r>
      <w:r w:rsidR="008E5601" w:rsidRPr="004B3C69">
        <w:rPr>
          <w:rFonts w:asciiTheme="minorHAnsi" w:hAnsiTheme="minorHAnsi" w:cs="Arial"/>
          <w:sz w:val="22"/>
          <w:szCs w:val="22"/>
        </w:rPr>
        <w:t>Business Manager</w:t>
      </w:r>
      <w:r w:rsidRPr="004B3C69">
        <w:rPr>
          <w:rFonts w:asciiTheme="minorHAnsi" w:hAnsiTheme="minorHAnsi" w:cs="Arial"/>
          <w:sz w:val="22"/>
          <w:szCs w:val="22"/>
        </w:rPr>
        <w:t xml:space="preserve"> will forward all notifications for consideration </w:t>
      </w:r>
      <w:r w:rsidR="00A53791" w:rsidRPr="004B3C69">
        <w:rPr>
          <w:rFonts w:asciiTheme="minorHAnsi" w:hAnsiTheme="minorHAnsi" w:cs="Arial"/>
          <w:sz w:val="22"/>
          <w:szCs w:val="22"/>
        </w:rPr>
        <w:t xml:space="preserve">to the </w:t>
      </w:r>
      <w:r w:rsidR="008E5601" w:rsidRPr="004B3C69">
        <w:rPr>
          <w:rFonts w:asciiTheme="minorHAnsi" w:hAnsiTheme="minorHAnsi" w:cs="Arial"/>
          <w:sz w:val="22"/>
          <w:szCs w:val="22"/>
        </w:rPr>
        <w:t xml:space="preserve">Independent Chair of the Board, copy to the </w:t>
      </w:r>
      <w:r w:rsidR="00A53791" w:rsidRPr="004B3C69">
        <w:rPr>
          <w:rFonts w:asciiTheme="minorHAnsi" w:hAnsiTheme="minorHAnsi" w:cs="Arial"/>
          <w:sz w:val="22"/>
          <w:szCs w:val="22"/>
        </w:rPr>
        <w:t>SAR Panel Chair</w:t>
      </w:r>
      <w:r w:rsidRPr="004B3C69">
        <w:rPr>
          <w:rFonts w:asciiTheme="minorHAnsi" w:hAnsiTheme="minorHAnsi" w:cs="Arial"/>
          <w:sz w:val="22"/>
          <w:szCs w:val="22"/>
        </w:rPr>
        <w:t xml:space="preserve">. </w:t>
      </w:r>
    </w:p>
    <w:p w:rsidR="00ED66AF" w:rsidRPr="004B3C69" w:rsidRDefault="00ED66AF" w:rsidP="00E60DD3">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2</w:t>
      </w:r>
      <w:r w:rsidRPr="004B3C69">
        <w:rPr>
          <w:rFonts w:asciiTheme="minorHAnsi" w:hAnsiTheme="minorHAnsi" w:cs="Arial"/>
          <w:b/>
          <w:i/>
          <w:sz w:val="22"/>
          <w:szCs w:val="22"/>
        </w:rPr>
        <w:t xml:space="preserve"> </w:t>
      </w:r>
      <w:proofErr w:type="gramStart"/>
      <w:r w:rsidRPr="004B3C69">
        <w:rPr>
          <w:rFonts w:asciiTheme="minorHAnsi" w:hAnsiTheme="minorHAnsi" w:cs="Arial"/>
          <w:b/>
          <w:i/>
          <w:sz w:val="22"/>
          <w:szCs w:val="22"/>
        </w:rPr>
        <w:t>Presentation</w:t>
      </w:r>
      <w:proofErr w:type="gramEnd"/>
      <w:r w:rsidRPr="004B3C69">
        <w:rPr>
          <w:rFonts w:asciiTheme="minorHAnsi" w:hAnsiTheme="minorHAnsi" w:cs="Arial"/>
          <w:b/>
          <w:i/>
          <w:sz w:val="22"/>
          <w:szCs w:val="22"/>
        </w:rPr>
        <w:t xml:space="preserve"> at SAR Panel </w:t>
      </w:r>
      <w:r w:rsidR="0054619D">
        <w:rPr>
          <w:rFonts w:asciiTheme="minorHAnsi" w:hAnsiTheme="minorHAnsi" w:cs="Arial"/>
          <w:b/>
          <w:i/>
          <w:sz w:val="22"/>
          <w:szCs w:val="22"/>
        </w:rPr>
        <w:t>and Decision</w:t>
      </w:r>
    </w:p>
    <w:p w:rsidR="0040535A" w:rsidRPr="004B3C69" w:rsidRDefault="008E5601" w:rsidP="004B3C69">
      <w:pPr>
        <w:pStyle w:val="Default"/>
        <w:spacing w:before="120" w:after="120"/>
        <w:rPr>
          <w:rFonts w:asciiTheme="minorHAnsi" w:hAnsiTheme="minorHAnsi" w:cs="Arial"/>
          <w:sz w:val="22"/>
          <w:szCs w:val="22"/>
        </w:rPr>
      </w:pPr>
      <w:r w:rsidRPr="004B3C69">
        <w:rPr>
          <w:rFonts w:asciiTheme="minorHAnsi" w:hAnsiTheme="minorHAnsi" w:cs="Arial"/>
          <w:sz w:val="22"/>
          <w:szCs w:val="22"/>
        </w:rPr>
        <w:t xml:space="preserve">Once approved, the case will be presented to the SAR Panel by the agency </w:t>
      </w:r>
      <w:r w:rsidR="00ED66AF" w:rsidRPr="004B3C69">
        <w:rPr>
          <w:rFonts w:asciiTheme="minorHAnsi" w:hAnsiTheme="minorHAnsi" w:cs="Arial"/>
          <w:sz w:val="22"/>
          <w:szCs w:val="22"/>
        </w:rPr>
        <w:t>that</w:t>
      </w:r>
      <w:r w:rsidRPr="004B3C69">
        <w:rPr>
          <w:rFonts w:asciiTheme="minorHAnsi" w:hAnsiTheme="minorHAnsi" w:cs="Arial"/>
          <w:sz w:val="22"/>
          <w:szCs w:val="22"/>
        </w:rPr>
        <w:t xml:space="preserve"> raised the notification.</w:t>
      </w:r>
      <w:r w:rsidR="004B3C69" w:rsidRPr="004B3C69">
        <w:rPr>
          <w:rFonts w:asciiTheme="minorHAnsi" w:hAnsiTheme="minorHAnsi" w:cs="Arial"/>
          <w:sz w:val="22"/>
          <w:szCs w:val="22"/>
        </w:rPr>
        <w:t xml:space="preserve"> </w:t>
      </w:r>
      <w:r w:rsidR="0040535A" w:rsidRPr="004B3C69">
        <w:rPr>
          <w:rFonts w:asciiTheme="minorHAnsi" w:hAnsiTheme="minorHAnsi" w:cs="Arial"/>
          <w:sz w:val="22"/>
          <w:szCs w:val="22"/>
        </w:rPr>
        <w:t>The Panel will:</w:t>
      </w:r>
    </w:p>
    <w:p w:rsidR="0040535A" w:rsidRPr="004B3C69" w:rsidRDefault="008E5601" w:rsidP="004B3C69">
      <w:pPr>
        <w:numPr>
          <w:ilvl w:val="0"/>
          <w:numId w:val="6"/>
        </w:numPr>
        <w:spacing w:before="120" w:after="120"/>
        <w:jc w:val="both"/>
        <w:rPr>
          <w:rFonts w:asciiTheme="minorHAnsi" w:hAnsiTheme="minorHAnsi" w:cs="Arial"/>
          <w:sz w:val="22"/>
          <w:szCs w:val="22"/>
        </w:rPr>
      </w:pPr>
      <w:r w:rsidRPr="004B3C69">
        <w:rPr>
          <w:rFonts w:asciiTheme="minorHAnsi" w:hAnsiTheme="minorHAnsi" w:cs="Arial"/>
          <w:sz w:val="22"/>
          <w:szCs w:val="22"/>
        </w:rPr>
        <w:t>Review the report and decide whether the case</w:t>
      </w:r>
      <w:r w:rsidR="0040535A" w:rsidRPr="004B3C69">
        <w:rPr>
          <w:rFonts w:asciiTheme="minorHAnsi" w:hAnsiTheme="minorHAnsi" w:cs="Arial"/>
          <w:sz w:val="22"/>
          <w:szCs w:val="22"/>
        </w:rPr>
        <w:t xml:space="preserve"> meet</w:t>
      </w:r>
      <w:r w:rsidRPr="004B3C69">
        <w:rPr>
          <w:rFonts w:asciiTheme="minorHAnsi" w:hAnsiTheme="minorHAnsi" w:cs="Arial"/>
          <w:sz w:val="22"/>
          <w:szCs w:val="22"/>
        </w:rPr>
        <w:t>s</w:t>
      </w:r>
      <w:r w:rsidR="0040535A" w:rsidRPr="004B3C69">
        <w:rPr>
          <w:rFonts w:asciiTheme="minorHAnsi" w:hAnsiTheme="minorHAnsi" w:cs="Arial"/>
          <w:sz w:val="22"/>
          <w:szCs w:val="22"/>
        </w:rPr>
        <w:t xml:space="preserve"> the criteria for a Safeguarding Adults Review. </w:t>
      </w:r>
    </w:p>
    <w:p w:rsidR="0040535A" w:rsidRPr="004B3C69" w:rsidRDefault="0040535A" w:rsidP="004B3C69">
      <w:pPr>
        <w:numPr>
          <w:ilvl w:val="0"/>
          <w:numId w:val="6"/>
        </w:num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Agree what type of review is proportionate and will offer the best learning. </w:t>
      </w:r>
    </w:p>
    <w:p w:rsidR="0040535A" w:rsidRPr="004B3C69" w:rsidRDefault="0040535A" w:rsidP="004B3C69">
      <w:pPr>
        <w:numPr>
          <w:ilvl w:val="0"/>
          <w:numId w:val="6"/>
        </w:numPr>
        <w:spacing w:before="120" w:after="120"/>
        <w:jc w:val="both"/>
        <w:rPr>
          <w:rFonts w:asciiTheme="minorHAnsi" w:hAnsiTheme="minorHAnsi" w:cs="Arial"/>
          <w:sz w:val="22"/>
          <w:szCs w:val="22"/>
        </w:rPr>
      </w:pPr>
      <w:r w:rsidRPr="004B3C69">
        <w:rPr>
          <w:rFonts w:asciiTheme="minorHAnsi" w:hAnsiTheme="minorHAnsi" w:cs="Arial"/>
          <w:sz w:val="22"/>
          <w:szCs w:val="22"/>
        </w:rPr>
        <w:t>Identify lead agency for the Review.</w:t>
      </w:r>
    </w:p>
    <w:p w:rsidR="0040535A" w:rsidRPr="004B3C69" w:rsidRDefault="0040535A" w:rsidP="004B3C69">
      <w:pPr>
        <w:numPr>
          <w:ilvl w:val="0"/>
          <w:numId w:val="6"/>
        </w:num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Agree a timeframe for reporting back. </w:t>
      </w:r>
    </w:p>
    <w:p w:rsidR="00A53791" w:rsidRPr="004B3C69" w:rsidRDefault="00A53791"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SAR Panel meetings will be held quarterly, with additional panel meetings called as necessary. </w:t>
      </w:r>
    </w:p>
    <w:p w:rsidR="004B3C69" w:rsidRPr="00E60DD3" w:rsidRDefault="00A53791" w:rsidP="00E60DD3">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SAR Panel will consist of Board members relevant to the case. Core members will include at least a social care and health representative. Senior managers will be invited and if so wish, can delegate to the safeguarding lead, along with responsibility to make decisions. </w:t>
      </w:r>
    </w:p>
    <w:p w:rsidR="0040535A" w:rsidRPr="004B3C69" w:rsidRDefault="0040535A" w:rsidP="00E60DD3">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3</w:t>
      </w:r>
      <w:r w:rsidRPr="004B3C69">
        <w:rPr>
          <w:rFonts w:asciiTheme="minorHAnsi" w:hAnsiTheme="minorHAnsi" w:cs="Arial"/>
          <w:b/>
          <w:i/>
          <w:sz w:val="22"/>
          <w:szCs w:val="22"/>
        </w:rPr>
        <w:tab/>
        <w:t xml:space="preserve"> </w:t>
      </w:r>
      <w:r w:rsidR="0054619D">
        <w:rPr>
          <w:rFonts w:asciiTheme="minorHAnsi" w:hAnsiTheme="minorHAnsi" w:cs="Arial"/>
          <w:b/>
          <w:i/>
          <w:sz w:val="22"/>
          <w:szCs w:val="22"/>
        </w:rPr>
        <w:t>Feedback</w:t>
      </w:r>
    </w:p>
    <w:p w:rsidR="0040535A" w:rsidRPr="004B3C69" w:rsidRDefault="0040535A" w:rsidP="004B3C6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Panel’s decision is fed back to the </w:t>
      </w:r>
      <w:r w:rsidR="00EF1482" w:rsidRPr="004B3C69">
        <w:rPr>
          <w:rFonts w:asciiTheme="minorHAnsi" w:hAnsiTheme="minorHAnsi" w:cs="Arial"/>
          <w:sz w:val="22"/>
          <w:szCs w:val="22"/>
        </w:rPr>
        <w:t xml:space="preserve">Independent Chair of the SAB who will consider the Panel’s recommendation and decide whether a review should be undertaken. </w:t>
      </w:r>
    </w:p>
    <w:p w:rsidR="00ED66AF" w:rsidRDefault="00A53791"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w:t>
      </w:r>
      <w:r w:rsidR="00EF1482" w:rsidRPr="004B3C69">
        <w:rPr>
          <w:rFonts w:asciiTheme="minorHAnsi" w:hAnsiTheme="minorHAnsi" w:cs="Arial"/>
          <w:sz w:val="22"/>
          <w:szCs w:val="22"/>
        </w:rPr>
        <w:t>decision is fed back to the agency who initiated the notification.</w:t>
      </w:r>
    </w:p>
    <w:p w:rsidR="004B3C69" w:rsidRPr="00E60DD3" w:rsidRDefault="0023409E" w:rsidP="004B3C69">
      <w:pPr>
        <w:spacing w:before="120" w:after="120"/>
        <w:jc w:val="both"/>
        <w:rPr>
          <w:rFonts w:asciiTheme="minorHAnsi" w:hAnsiTheme="minorHAnsi" w:cs="Arial"/>
          <w:sz w:val="22"/>
          <w:szCs w:val="22"/>
        </w:rPr>
      </w:pPr>
      <w:r>
        <w:rPr>
          <w:rFonts w:asciiTheme="minorHAnsi" w:hAnsiTheme="minorHAnsi" w:cs="Arial"/>
          <w:sz w:val="22"/>
          <w:szCs w:val="22"/>
        </w:rPr>
        <w:t xml:space="preserve">CQC is informed of any review for a regulated provider. </w:t>
      </w:r>
    </w:p>
    <w:p w:rsidR="00ED66AF" w:rsidRPr="004B3C69" w:rsidRDefault="00ED66AF" w:rsidP="00E60DD3">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4</w:t>
      </w:r>
      <w:r w:rsidRPr="004B3C69">
        <w:rPr>
          <w:rFonts w:asciiTheme="minorHAnsi" w:hAnsiTheme="minorHAnsi" w:cs="Arial"/>
          <w:b/>
          <w:i/>
          <w:sz w:val="22"/>
          <w:szCs w:val="22"/>
        </w:rPr>
        <w:t xml:space="preserve"> Commencement of Review </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Lead agency commences the Safeguarding Adult Review and keeps the Chair and Business Manager informed of progress. The lead agency will be expected to provide management overview and administrative support for the Review. </w:t>
      </w:r>
    </w:p>
    <w:p w:rsidR="0040535A" w:rsidRPr="004B3C69" w:rsidRDefault="004B3C69"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The</w:t>
      </w:r>
      <w:r w:rsidR="0040535A" w:rsidRPr="004B3C69">
        <w:rPr>
          <w:rFonts w:asciiTheme="minorHAnsi" w:hAnsiTheme="minorHAnsi" w:cs="Arial"/>
          <w:sz w:val="22"/>
          <w:szCs w:val="22"/>
        </w:rPr>
        <w:t xml:space="preserve"> lead agency will provide a progress report for every </w:t>
      </w:r>
      <w:r w:rsidR="00ED66AF" w:rsidRPr="004B3C69">
        <w:rPr>
          <w:rFonts w:asciiTheme="minorHAnsi" w:hAnsiTheme="minorHAnsi" w:cs="Arial"/>
          <w:sz w:val="22"/>
          <w:szCs w:val="22"/>
        </w:rPr>
        <w:t xml:space="preserve">SAR Panel </w:t>
      </w:r>
      <w:r w:rsidR="0040535A" w:rsidRPr="004B3C69">
        <w:rPr>
          <w:rFonts w:asciiTheme="minorHAnsi" w:hAnsiTheme="minorHAnsi" w:cs="Arial"/>
          <w:sz w:val="22"/>
          <w:szCs w:val="22"/>
        </w:rPr>
        <w:t>meeting.</w:t>
      </w:r>
    </w:p>
    <w:p w:rsidR="004B3C69" w:rsidRDefault="004B3C69" w:rsidP="004B3C69">
      <w:pPr>
        <w:keepNext/>
        <w:spacing w:before="120" w:after="120"/>
        <w:jc w:val="both"/>
        <w:rPr>
          <w:rFonts w:asciiTheme="minorHAnsi" w:hAnsiTheme="minorHAnsi" w:cs="Arial"/>
          <w:b/>
          <w:i/>
          <w:sz w:val="22"/>
          <w:szCs w:val="22"/>
        </w:rPr>
      </w:pPr>
    </w:p>
    <w:p w:rsidR="0040535A" w:rsidRPr="004B3C69" w:rsidRDefault="0040535A" w:rsidP="00E60DD3">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5</w:t>
      </w:r>
      <w:r w:rsidRPr="004B3C69">
        <w:rPr>
          <w:rFonts w:asciiTheme="minorHAnsi" w:hAnsiTheme="minorHAnsi" w:cs="Arial"/>
          <w:b/>
          <w:i/>
          <w:sz w:val="22"/>
          <w:szCs w:val="22"/>
        </w:rPr>
        <w:t xml:space="preserve"> </w:t>
      </w:r>
      <w:r w:rsidR="00ED66AF" w:rsidRPr="004B3C69">
        <w:rPr>
          <w:rFonts w:asciiTheme="minorHAnsi" w:hAnsiTheme="minorHAnsi" w:cs="Arial"/>
          <w:b/>
          <w:i/>
          <w:sz w:val="22"/>
          <w:szCs w:val="22"/>
        </w:rPr>
        <w:t xml:space="preserve">Final Report and Recommendations </w:t>
      </w:r>
    </w:p>
    <w:p w:rsidR="0040535A" w:rsidRPr="004B3C69" w:rsidRDefault="0040535A" w:rsidP="004B3C6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Final report is presented to </w:t>
      </w:r>
      <w:r w:rsidR="008E5601" w:rsidRPr="004B3C69">
        <w:rPr>
          <w:rFonts w:asciiTheme="minorHAnsi" w:hAnsiTheme="minorHAnsi" w:cs="Arial"/>
          <w:sz w:val="22"/>
          <w:szCs w:val="22"/>
        </w:rPr>
        <w:t xml:space="preserve">the </w:t>
      </w:r>
      <w:r w:rsidR="003E0069" w:rsidRPr="004B3C69">
        <w:rPr>
          <w:rFonts w:asciiTheme="minorHAnsi" w:hAnsiTheme="minorHAnsi" w:cs="Arial"/>
          <w:sz w:val="22"/>
          <w:szCs w:val="22"/>
        </w:rPr>
        <w:t>Effectiveness</w:t>
      </w:r>
      <w:r w:rsidRPr="004B3C69">
        <w:rPr>
          <w:rFonts w:asciiTheme="minorHAnsi" w:hAnsiTheme="minorHAnsi" w:cs="Arial"/>
          <w:sz w:val="22"/>
          <w:szCs w:val="22"/>
        </w:rPr>
        <w:t xml:space="preserve"> Subgroup</w:t>
      </w:r>
      <w:r w:rsidR="003E0069" w:rsidRPr="004B3C69">
        <w:rPr>
          <w:rFonts w:asciiTheme="minorHAnsi" w:hAnsiTheme="minorHAnsi" w:cs="Arial"/>
          <w:sz w:val="22"/>
          <w:szCs w:val="22"/>
        </w:rPr>
        <w:t xml:space="preserve"> which will </w:t>
      </w:r>
      <w:r w:rsidRPr="004B3C69">
        <w:rPr>
          <w:rFonts w:asciiTheme="minorHAnsi" w:hAnsiTheme="minorHAnsi" w:cs="Arial"/>
          <w:sz w:val="22"/>
          <w:szCs w:val="22"/>
        </w:rPr>
        <w:t>review fin</w:t>
      </w:r>
      <w:r w:rsidR="008E5601" w:rsidRPr="004B3C69">
        <w:rPr>
          <w:rFonts w:asciiTheme="minorHAnsi" w:hAnsiTheme="minorHAnsi" w:cs="Arial"/>
          <w:sz w:val="22"/>
          <w:szCs w:val="22"/>
        </w:rPr>
        <w:t>dings and identify multi-agency r</w:t>
      </w:r>
      <w:r w:rsidRPr="004B3C69">
        <w:rPr>
          <w:rFonts w:asciiTheme="minorHAnsi" w:hAnsiTheme="minorHAnsi" w:cs="Arial"/>
          <w:sz w:val="22"/>
          <w:szCs w:val="22"/>
        </w:rPr>
        <w:t xml:space="preserve">ecommendations. </w:t>
      </w:r>
    </w:p>
    <w:p w:rsidR="00ED66AF" w:rsidRPr="004B3C69" w:rsidRDefault="00ED66AF"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The</w:t>
      </w:r>
      <w:r w:rsidR="0040535A" w:rsidRPr="004B3C69">
        <w:rPr>
          <w:rFonts w:asciiTheme="minorHAnsi" w:hAnsiTheme="minorHAnsi" w:cs="Arial"/>
          <w:sz w:val="22"/>
          <w:szCs w:val="22"/>
        </w:rPr>
        <w:t xml:space="preserve"> final findings report and recommendations </w:t>
      </w:r>
      <w:r w:rsidRPr="004B3C69">
        <w:rPr>
          <w:rFonts w:asciiTheme="minorHAnsi" w:hAnsiTheme="minorHAnsi" w:cs="Arial"/>
          <w:sz w:val="22"/>
          <w:szCs w:val="22"/>
        </w:rPr>
        <w:t xml:space="preserve">will be presented </w:t>
      </w:r>
      <w:r w:rsidR="0040535A" w:rsidRPr="004B3C69">
        <w:rPr>
          <w:rFonts w:asciiTheme="minorHAnsi" w:hAnsiTheme="minorHAnsi" w:cs="Arial"/>
          <w:sz w:val="22"/>
          <w:szCs w:val="22"/>
        </w:rPr>
        <w:t xml:space="preserve">to the Board for consideration at its next meeting. The Independent Chair will call an exceptional Board meeting if required. </w:t>
      </w:r>
    </w:p>
    <w:p w:rsidR="0040535A" w:rsidRPr="004B3C69" w:rsidRDefault="004B3C69" w:rsidP="00E60DD3">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6 </w:t>
      </w:r>
      <w:r w:rsidR="00ED66AF" w:rsidRPr="004B3C69">
        <w:rPr>
          <w:rFonts w:asciiTheme="minorHAnsi" w:hAnsiTheme="minorHAnsi" w:cs="Arial"/>
          <w:b/>
          <w:i/>
          <w:sz w:val="22"/>
          <w:szCs w:val="22"/>
        </w:rPr>
        <w:t xml:space="preserve">Action Plans </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Once the findings </w:t>
      </w:r>
      <w:r w:rsidR="004B3C69" w:rsidRPr="004B3C69">
        <w:rPr>
          <w:rFonts w:asciiTheme="minorHAnsi" w:hAnsiTheme="minorHAnsi" w:cs="Arial"/>
          <w:sz w:val="22"/>
          <w:szCs w:val="22"/>
        </w:rPr>
        <w:t>report and recommendations are</w:t>
      </w:r>
      <w:r w:rsidRPr="004B3C69">
        <w:rPr>
          <w:rFonts w:asciiTheme="minorHAnsi" w:hAnsiTheme="minorHAnsi" w:cs="Arial"/>
          <w:sz w:val="22"/>
          <w:szCs w:val="22"/>
        </w:rPr>
        <w:t xml:space="preserve"> accepted by the Board, </w:t>
      </w:r>
      <w:r w:rsidR="00ED66AF" w:rsidRPr="004B3C69">
        <w:rPr>
          <w:rFonts w:asciiTheme="minorHAnsi" w:hAnsiTheme="minorHAnsi" w:cs="Arial"/>
          <w:sz w:val="22"/>
          <w:szCs w:val="22"/>
        </w:rPr>
        <w:t>recommendations will be allocated to the relevant agency for action. A</w:t>
      </w:r>
      <w:r w:rsidRPr="004B3C69">
        <w:rPr>
          <w:rFonts w:asciiTheme="minorHAnsi" w:hAnsiTheme="minorHAnsi" w:cs="Arial"/>
          <w:sz w:val="22"/>
          <w:szCs w:val="22"/>
        </w:rPr>
        <w:t xml:space="preserve">ction plans will be developed by the relevant agencies and presented back to the </w:t>
      </w:r>
      <w:r w:rsidR="003E0069" w:rsidRPr="004B3C69">
        <w:rPr>
          <w:rFonts w:asciiTheme="minorHAnsi" w:hAnsiTheme="minorHAnsi" w:cs="Arial"/>
          <w:sz w:val="22"/>
          <w:szCs w:val="22"/>
        </w:rPr>
        <w:t xml:space="preserve">Effectiveness </w:t>
      </w:r>
      <w:r w:rsidRPr="004B3C69">
        <w:rPr>
          <w:rFonts w:asciiTheme="minorHAnsi" w:hAnsiTheme="minorHAnsi" w:cs="Arial"/>
          <w:sz w:val="22"/>
          <w:szCs w:val="22"/>
        </w:rPr>
        <w:t xml:space="preserve">Subgroup. </w:t>
      </w:r>
    </w:p>
    <w:p w:rsidR="0040535A" w:rsidRPr="00E60DD3" w:rsidRDefault="0040535A" w:rsidP="004B3C69">
      <w:pPr>
        <w:spacing w:before="120" w:after="120"/>
        <w:jc w:val="both"/>
        <w:rPr>
          <w:rFonts w:asciiTheme="minorHAnsi" w:hAnsiTheme="minorHAnsi" w:cs="Arial"/>
          <w:color w:val="000000" w:themeColor="text1"/>
          <w:sz w:val="22"/>
          <w:szCs w:val="22"/>
        </w:rPr>
      </w:pPr>
      <w:r w:rsidRPr="004B3C69">
        <w:rPr>
          <w:rFonts w:asciiTheme="minorHAnsi" w:hAnsiTheme="minorHAnsi" w:cs="Arial"/>
          <w:color w:val="000000" w:themeColor="text1"/>
          <w:sz w:val="22"/>
          <w:szCs w:val="22"/>
        </w:rPr>
        <w:t xml:space="preserve">The </w:t>
      </w:r>
      <w:r w:rsidR="003E0069" w:rsidRPr="004B3C69">
        <w:rPr>
          <w:rFonts w:asciiTheme="minorHAnsi" w:hAnsiTheme="minorHAnsi" w:cs="Arial"/>
          <w:color w:val="000000" w:themeColor="text1"/>
          <w:sz w:val="22"/>
          <w:szCs w:val="22"/>
        </w:rPr>
        <w:t xml:space="preserve">Effectiveness </w:t>
      </w:r>
      <w:r w:rsidRPr="004B3C69">
        <w:rPr>
          <w:rFonts w:asciiTheme="minorHAnsi" w:hAnsiTheme="minorHAnsi" w:cs="Arial"/>
          <w:color w:val="000000" w:themeColor="text1"/>
          <w:sz w:val="22"/>
          <w:szCs w:val="22"/>
        </w:rPr>
        <w:t xml:space="preserve">Subgroup will monitor whether an action plan has been developed. Delivery and monitoring of the action plan will be the responsibility of the relevant organisation. </w:t>
      </w:r>
    </w:p>
    <w:p w:rsidR="0040535A" w:rsidRPr="004B3C69" w:rsidRDefault="0040535A" w:rsidP="00E60DD3">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7</w:t>
      </w:r>
      <w:r w:rsidRPr="004B3C69">
        <w:rPr>
          <w:rFonts w:asciiTheme="minorHAnsi" w:hAnsiTheme="minorHAnsi" w:cs="Arial"/>
          <w:b/>
          <w:i/>
          <w:sz w:val="22"/>
          <w:szCs w:val="22"/>
        </w:rPr>
        <w:t xml:space="preserve"> </w:t>
      </w:r>
      <w:r w:rsidR="00ED66AF" w:rsidRPr="004B3C69">
        <w:rPr>
          <w:rFonts w:asciiTheme="minorHAnsi" w:hAnsiTheme="minorHAnsi" w:cs="Arial"/>
          <w:b/>
          <w:i/>
          <w:sz w:val="22"/>
          <w:szCs w:val="22"/>
        </w:rPr>
        <w:t xml:space="preserve">Monitoring and Review </w:t>
      </w:r>
    </w:p>
    <w:p w:rsidR="00ED66AF" w:rsidRPr="004B3C69" w:rsidRDefault="00ED66AF"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All recommendations will be included in a monitoring action plan, to be kept up to date by the Business Manager. </w:t>
      </w:r>
    </w:p>
    <w:p w:rsidR="0040535A" w:rsidRPr="00E60DD3" w:rsidRDefault="0054619D" w:rsidP="004B3C69">
      <w:pPr>
        <w:spacing w:before="120" w:after="120"/>
        <w:jc w:val="both"/>
        <w:rPr>
          <w:rFonts w:asciiTheme="minorHAnsi" w:hAnsiTheme="minorHAnsi" w:cs="Arial"/>
          <w:sz w:val="22"/>
          <w:szCs w:val="22"/>
        </w:rPr>
      </w:pPr>
      <w:r>
        <w:rPr>
          <w:rFonts w:asciiTheme="minorHAnsi" w:hAnsiTheme="minorHAnsi" w:cs="Arial"/>
          <w:sz w:val="22"/>
          <w:szCs w:val="22"/>
        </w:rPr>
        <w:t xml:space="preserve">The </w:t>
      </w:r>
      <w:r w:rsidR="003E0069" w:rsidRPr="004B3C69">
        <w:rPr>
          <w:rFonts w:asciiTheme="minorHAnsi" w:hAnsiTheme="minorHAnsi" w:cs="Arial"/>
          <w:sz w:val="22"/>
          <w:szCs w:val="22"/>
        </w:rPr>
        <w:t>Effectiveness</w:t>
      </w:r>
      <w:r w:rsidR="0040535A" w:rsidRPr="004B3C69">
        <w:rPr>
          <w:rFonts w:asciiTheme="minorHAnsi" w:hAnsiTheme="minorHAnsi" w:cs="Arial"/>
          <w:sz w:val="22"/>
          <w:szCs w:val="22"/>
        </w:rPr>
        <w:t xml:space="preserve"> Subgroup will review the monitoring action plan at quarterly meeting</w:t>
      </w:r>
      <w:r w:rsidR="00ED66AF" w:rsidRPr="004B3C69">
        <w:rPr>
          <w:rFonts w:asciiTheme="minorHAnsi" w:hAnsiTheme="minorHAnsi" w:cs="Arial"/>
          <w:sz w:val="22"/>
          <w:szCs w:val="22"/>
        </w:rPr>
        <w:t>s</w:t>
      </w:r>
      <w:r w:rsidR="0040535A" w:rsidRPr="004B3C69">
        <w:rPr>
          <w:rFonts w:asciiTheme="minorHAnsi" w:hAnsiTheme="minorHAnsi" w:cs="Arial"/>
          <w:sz w:val="22"/>
          <w:szCs w:val="22"/>
        </w:rPr>
        <w:t xml:space="preserve">, escalating issues to the Board where relevant. </w:t>
      </w:r>
    </w:p>
    <w:p w:rsidR="0040535A" w:rsidRPr="004B3C69" w:rsidRDefault="0040535A" w:rsidP="00E60DD3">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w:t>
      </w:r>
      <w:r w:rsidR="004B3C69" w:rsidRPr="004B3C69">
        <w:rPr>
          <w:rFonts w:asciiTheme="minorHAnsi" w:hAnsiTheme="minorHAnsi" w:cs="Arial"/>
          <w:b/>
          <w:i/>
          <w:sz w:val="22"/>
          <w:szCs w:val="22"/>
        </w:rPr>
        <w:t>8</w:t>
      </w:r>
      <w:r w:rsidRPr="004B3C69">
        <w:rPr>
          <w:rFonts w:asciiTheme="minorHAnsi" w:hAnsiTheme="minorHAnsi" w:cs="Arial"/>
          <w:b/>
          <w:i/>
          <w:sz w:val="22"/>
          <w:szCs w:val="22"/>
        </w:rPr>
        <w:t xml:space="preserve"> </w:t>
      </w:r>
      <w:r w:rsidR="00ED66AF" w:rsidRPr="004B3C69">
        <w:rPr>
          <w:rFonts w:asciiTheme="minorHAnsi" w:hAnsiTheme="minorHAnsi" w:cs="Arial"/>
          <w:b/>
          <w:i/>
          <w:sz w:val="22"/>
          <w:szCs w:val="22"/>
        </w:rPr>
        <w:t xml:space="preserve">Sharing Learning </w:t>
      </w:r>
    </w:p>
    <w:p w:rsidR="00ED66AF" w:rsidRPr="004B3C69" w:rsidRDefault="00ED66AF"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lead agency will provide a </w:t>
      </w:r>
      <w:r w:rsidR="004B3C69" w:rsidRPr="004B3C69">
        <w:rPr>
          <w:rFonts w:asciiTheme="minorHAnsi" w:hAnsiTheme="minorHAnsi" w:cs="Arial"/>
          <w:sz w:val="22"/>
          <w:szCs w:val="22"/>
        </w:rPr>
        <w:t>summary</w:t>
      </w:r>
      <w:r w:rsidRPr="004B3C69">
        <w:rPr>
          <w:rFonts w:asciiTheme="minorHAnsi" w:hAnsiTheme="minorHAnsi" w:cs="Arial"/>
          <w:sz w:val="22"/>
          <w:szCs w:val="22"/>
        </w:rPr>
        <w:t xml:space="preserve"> learning document to be published on the website and shared with partner agencies for dissemination and use in training. </w:t>
      </w:r>
    </w:p>
    <w:p w:rsidR="0040535A" w:rsidRDefault="003E0069" w:rsidP="004B3C6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Oversight and Quality </w:t>
      </w:r>
      <w:r w:rsidR="0040535A" w:rsidRPr="004B3C69">
        <w:rPr>
          <w:rFonts w:asciiTheme="minorHAnsi" w:hAnsiTheme="minorHAnsi" w:cs="Arial"/>
          <w:sz w:val="22"/>
          <w:szCs w:val="22"/>
        </w:rPr>
        <w:t xml:space="preserve">Subgroup will review and revise the self-assessment audit document on </w:t>
      </w:r>
      <w:r w:rsidRPr="004B3C69">
        <w:rPr>
          <w:rFonts w:asciiTheme="minorHAnsi" w:hAnsiTheme="minorHAnsi" w:cs="Arial"/>
          <w:sz w:val="22"/>
          <w:szCs w:val="22"/>
        </w:rPr>
        <w:t>an annual</w:t>
      </w:r>
      <w:r w:rsidR="0040535A" w:rsidRPr="004B3C69">
        <w:rPr>
          <w:rFonts w:asciiTheme="minorHAnsi" w:hAnsiTheme="minorHAnsi" w:cs="Arial"/>
          <w:sz w:val="22"/>
          <w:szCs w:val="22"/>
        </w:rPr>
        <w:t xml:space="preserve"> basis to </w:t>
      </w:r>
      <w:r w:rsidR="004B3C69" w:rsidRPr="004B3C69">
        <w:rPr>
          <w:rFonts w:asciiTheme="minorHAnsi" w:hAnsiTheme="minorHAnsi" w:cs="Arial"/>
          <w:sz w:val="22"/>
          <w:szCs w:val="22"/>
        </w:rPr>
        <w:t xml:space="preserve">ensure it </w:t>
      </w:r>
      <w:r w:rsidR="0040535A" w:rsidRPr="004B3C69">
        <w:rPr>
          <w:rFonts w:asciiTheme="minorHAnsi" w:hAnsiTheme="minorHAnsi" w:cs="Arial"/>
          <w:sz w:val="22"/>
          <w:szCs w:val="22"/>
        </w:rPr>
        <w:t xml:space="preserve">reflect findings from Safeguarding Adults Reviews.   </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Under the remit of the </w:t>
      </w:r>
      <w:r w:rsidR="003E0069" w:rsidRPr="004B3C69">
        <w:rPr>
          <w:rFonts w:asciiTheme="minorHAnsi" w:hAnsiTheme="minorHAnsi" w:cs="Arial"/>
          <w:sz w:val="22"/>
          <w:szCs w:val="22"/>
        </w:rPr>
        <w:t xml:space="preserve">Effectiveness </w:t>
      </w:r>
      <w:r w:rsidRPr="004B3C69">
        <w:rPr>
          <w:rFonts w:asciiTheme="minorHAnsi" w:hAnsiTheme="minorHAnsi" w:cs="Arial"/>
          <w:sz w:val="22"/>
          <w:szCs w:val="22"/>
        </w:rPr>
        <w:t xml:space="preserve">Subgroup, thematic audits will take place twice a year, on either a single or multi-agency basis, based on findings from Safeguarding Adults Reviews.   </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Annual Report will report on Safeguarding Adults Reviews carried out within the year and what agencies have done to deliver actions and embed learning. </w:t>
      </w:r>
    </w:p>
    <w:p w:rsidR="0040535A" w:rsidRDefault="0040535A" w:rsidP="004B3C69">
      <w:pPr>
        <w:spacing w:before="120" w:after="120"/>
        <w:jc w:val="both"/>
        <w:rPr>
          <w:rFonts w:asciiTheme="minorHAnsi" w:hAnsiTheme="minorHAnsi" w:cs="Arial"/>
          <w:sz w:val="22"/>
          <w:szCs w:val="22"/>
        </w:rPr>
      </w:pPr>
    </w:p>
    <w:p w:rsidR="004B3C69" w:rsidRPr="004B3C69" w:rsidRDefault="004B3C69" w:rsidP="004B3C69">
      <w:pPr>
        <w:spacing w:before="120" w:after="120"/>
        <w:jc w:val="both"/>
        <w:rPr>
          <w:rFonts w:asciiTheme="minorHAnsi" w:hAnsiTheme="minorHAnsi" w:cs="Arial"/>
          <w:sz w:val="22"/>
          <w:szCs w:val="22"/>
        </w:rPr>
      </w:pP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Version </w:t>
      </w:r>
      <w:r w:rsidR="003E0069" w:rsidRPr="004B3C69">
        <w:rPr>
          <w:rFonts w:asciiTheme="minorHAnsi" w:hAnsiTheme="minorHAnsi" w:cs="Arial"/>
          <w:sz w:val="22"/>
          <w:szCs w:val="22"/>
        </w:rPr>
        <w:t xml:space="preserve">2 </w:t>
      </w:r>
      <w:r w:rsidR="004B3C69" w:rsidRPr="004B3C69">
        <w:rPr>
          <w:rFonts w:asciiTheme="minorHAnsi" w:hAnsiTheme="minorHAnsi" w:cs="Arial"/>
          <w:sz w:val="22"/>
          <w:szCs w:val="22"/>
        </w:rPr>
        <w:t>August 2017</w:t>
      </w:r>
    </w:p>
    <w:p w:rsidR="0040535A" w:rsidRPr="004B3C69" w:rsidRDefault="0040535A" w:rsidP="004B3C6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Review date </w:t>
      </w:r>
      <w:r w:rsidR="004B3C69" w:rsidRPr="004B3C69">
        <w:rPr>
          <w:rFonts w:asciiTheme="minorHAnsi" w:hAnsiTheme="minorHAnsi" w:cs="Arial"/>
          <w:sz w:val="22"/>
          <w:szCs w:val="22"/>
        </w:rPr>
        <w:t>August</w:t>
      </w:r>
      <w:r w:rsidRPr="004B3C69">
        <w:rPr>
          <w:rFonts w:asciiTheme="minorHAnsi" w:hAnsiTheme="minorHAnsi" w:cs="Arial"/>
          <w:sz w:val="22"/>
          <w:szCs w:val="22"/>
        </w:rPr>
        <w:t xml:space="preserve"> 201</w:t>
      </w:r>
      <w:r w:rsidR="003E0069" w:rsidRPr="004B3C69">
        <w:rPr>
          <w:rFonts w:asciiTheme="minorHAnsi" w:hAnsiTheme="minorHAnsi" w:cs="Arial"/>
          <w:sz w:val="22"/>
          <w:szCs w:val="22"/>
        </w:rPr>
        <w:t>8</w:t>
      </w:r>
      <w:r w:rsidRPr="004B3C69">
        <w:rPr>
          <w:rFonts w:asciiTheme="minorHAnsi" w:hAnsiTheme="minorHAnsi" w:cs="Arial"/>
          <w:sz w:val="22"/>
          <w:szCs w:val="22"/>
        </w:rPr>
        <w:t xml:space="preserve"> </w:t>
      </w:r>
    </w:p>
    <w:p w:rsidR="004B3C69" w:rsidRPr="004B3C69" w:rsidRDefault="004B3C69">
      <w:pPr>
        <w:spacing w:after="200" w:line="276" w:lineRule="auto"/>
        <w:rPr>
          <w:rFonts w:asciiTheme="minorHAnsi" w:hAnsiTheme="minorHAnsi" w:cs="Arial"/>
          <w:b/>
          <w:sz w:val="22"/>
          <w:szCs w:val="22"/>
          <w:u w:val="single"/>
        </w:rPr>
      </w:pPr>
      <w:r w:rsidRPr="004B3C69">
        <w:rPr>
          <w:rFonts w:asciiTheme="minorHAnsi" w:hAnsiTheme="minorHAnsi" w:cs="Arial"/>
          <w:b/>
          <w:sz w:val="22"/>
          <w:szCs w:val="22"/>
          <w:u w:val="single"/>
        </w:rPr>
        <w:br w:type="page"/>
      </w:r>
    </w:p>
    <w:p w:rsidR="003E0069" w:rsidRDefault="003E0069" w:rsidP="0040535A">
      <w:pPr>
        <w:ind w:left="5805" w:firstLine="675"/>
        <w:jc w:val="center"/>
        <w:rPr>
          <w:rFonts w:ascii="Arial" w:hAnsi="Arial" w:cs="Arial"/>
          <w:b/>
          <w:sz w:val="28"/>
          <w:szCs w:val="28"/>
          <w:u w:val="single"/>
        </w:rPr>
      </w:pPr>
    </w:p>
    <w:p w:rsidR="0040535A" w:rsidRPr="0078428E" w:rsidRDefault="0040535A" w:rsidP="0040535A">
      <w:pPr>
        <w:ind w:left="5805" w:firstLine="675"/>
        <w:jc w:val="center"/>
        <w:rPr>
          <w:rFonts w:ascii="Arial" w:hAnsi="Arial" w:cs="Arial"/>
          <w:b/>
          <w:sz w:val="28"/>
          <w:szCs w:val="28"/>
          <w:u w:val="single"/>
        </w:rPr>
      </w:pPr>
      <w:r w:rsidRPr="0078428E">
        <w:rPr>
          <w:rFonts w:ascii="Arial" w:hAnsi="Arial" w:cs="Arial"/>
          <w:b/>
          <w:sz w:val="28"/>
          <w:szCs w:val="28"/>
          <w:u w:val="single"/>
        </w:rPr>
        <w:t xml:space="preserve">Appendix 2 </w:t>
      </w:r>
    </w:p>
    <w:p w:rsidR="0040535A" w:rsidRPr="0078428E" w:rsidRDefault="0040535A" w:rsidP="0040535A">
      <w:pPr>
        <w:ind w:left="2925" w:hanging="2925"/>
        <w:jc w:val="center"/>
        <w:rPr>
          <w:rFonts w:ascii="Arial" w:hAnsi="Arial" w:cs="Arial"/>
          <w:b/>
        </w:rPr>
      </w:pPr>
    </w:p>
    <w:p w:rsidR="0040535A" w:rsidRPr="0078428E" w:rsidRDefault="0040535A" w:rsidP="0040535A">
      <w:pPr>
        <w:ind w:left="2925" w:hanging="2925"/>
        <w:jc w:val="center"/>
        <w:rPr>
          <w:rFonts w:ascii="Arial" w:hAnsi="Arial" w:cs="Arial"/>
          <w:b/>
        </w:rPr>
      </w:pPr>
      <w:r w:rsidRPr="0078428E">
        <w:rPr>
          <w:rFonts w:ascii="Arial" w:hAnsi="Arial" w:cs="Arial"/>
          <w:b/>
        </w:rPr>
        <w:t>Guidance for Multi-Agency Safeguarding Adults Reviews of Serious Cases</w:t>
      </w:r>
    </w:p>
    <w:p w:rsidR="0040535A" w:rsidRPr="0078428E" w:rsidRDefault="0040535A" w:rsidP="0040535A">
      <w:pPr>
        <w:ind w:left="2925" w:hanging="2925"/>
        <w:jc w:val="center"/>
        <w:rPr>
          <w:rFonts w:ascii="Arial" w:hAnsi="Arial" w:cs="Arial"/>
          <w:b/>
        </w:rPr>
      </w:pPr>
    </w:p>
    <w:p w:rsidR="0040535A" w:rsidRPr="0078428E" w:rsidRDefault="0040535A" w:rsidP="0040535A">
      <w:pPr>
        <w:ind w:left="2925" w:hanging="2925"/>
        <w:jc w:val="center"/>
        <w:rPr>
          <w:rFonts w:ascii="Arial" w:hAnsi="Arial" w:cs="Arial"/>
          <w:b/>
        </w:rPr>
      </w:pPr>
      <w:r w:rsidRPr="0078428E">
        <w:rPr>
          <w:rFonts w:ascii="Arial" w:hAnsi="Arial" w:cs="Arial"/>
          <w:b/>
        </w:rPr>
        <w:t xml:space="preserve">Notification of a Case for Consideration </w:t>
      </w:r>
    </w:p>
    <w:p w:rsidR="0040535A" w:rsidRPr="0078428E" w:rsidRDefault="0040535A" w:rsidP="0040535A">
      <w:pPr>
        <w:ind w:left="2925" w:hanging="2925"/>
        <w:rPr>
          <w:rFonts w:ascii="Arial" w:hAnsi="Arial" w:cs="Arial"/>
          <w:b/>
        </w:rPr>
      </w:pPr>
    </w:p>
    <w:p w:rsidR="0040535A" w:rsidRPr="0078428E" w:rsidRDefault="00EF1482" w:rsidP="0040535A">
      <w:pPr>
        <w:ind w:left="2925" w:hanging="2925"/>
        <w:rPr>
          <w:rFonts w:ascii="Arial" w:hAnsi="Arial" w:cs="Arial"/>
          <w:b/>
          <w:color w:val="0000FF"/>
        </w:rPr>
      </w:pPr>
      <w:r w:rsidRPr="0078428E">
        <w:rPr>
          <w:rFonts w:ascii="Arial" w:hAnsi="Arial" w:cs="Arial"/>
          <w:b/>
          <w:color w:val="0000FF"/>
          <w:sz w:val="21"/>
          <w:szCs w:val="21"/>
          <w:u w:val="single"/>
        </w:rPr>
        <w:t>C</w:t>
      </w:r>
      <w:r w:rsidR="00A53791" w:rsidRPr="0078428E">
        <w:rPr>
          <w:rFonts w:ascii="Arial" w:hAnsi="Arial" w:cs="Arial"/>
          <w:b/>
          <w:color w:val="0000FF"/>
          <w:sz w:val="21"/>
          <w:szCs w:val="21"/>
          <w:u w:val="single"/>
        </w:rPr>
        <w:t>omplete</w:t>
      </w:r>
      <w:r w:rsidR="0040535A" w:rsidRPr="0078428E">
        <w:rPr>
          <w:rFonts w:ascii="Arial" w:hAnsi="Arial" w:cs="Arial"/>
          <w:b/>
          <w:color w:val="0000FF"/>
          <w:sz w:val="21"/>
          <w:szCs w:val="21"/>
          <w:u w:val="single"/>
        </w:rPr>
        <w:t xml:space="preserve"> in as much detail as possible and sen</w:t>
      </w:r>
      <w:r w:rsidRPr="0078428E">
        <w:rPr>
          <w:rFonts w:ascii="Arial" w:hAnsi="Arial" w:cs="Arial"/>
          <w:b/>
          <w:color w:val="0000FF"/>
          <w:sz w:val="21"/>
          <w:szCs w:val="21"/>
          <w:u w:val="single"/>
        </w:rPr>
        <w:t>d</w:t>
      </w:r>
      <w:r w:rsidR="0040535A" w:rsidRPr="0078428E">
        <w:rPr>
          <w:rFonts w:ascii="Arial" w:hAnsi="Arial" w:cs="Arial"/>
          <w:b/>
          <w:color w:val="0000FF"/>
          <w:sz w:val="21"/>
          <w:szCs w:val="21"/>
          <w:u w:val="single"/>
        </w:rPr>
        <w:t xml:space="preserve"> </w:t>
      </w:r>
      <w:r w:rsidR="003E0069">
        <w:rPr>
          <w:rFonts w:ascii="Arial" w:hAnsi="Arial" w:cs="Arial"/>
          <w:b/>
          <w:color w:val="0000FF"/>
          <w:sz w:val="21"/>
          <w:szCs w:val="21"/>
          <w:u w:val="single"/>
        </w:rPr>
        <w:t xml:space="preserve">securely </w:t>
      </w:r>
      <w:r w:rsidR="0040535A" w:rsidRPr="0078428E">
        <w:rPr>
          <w:rFonts w:ascii="Arial" w:hAnsi="Arial" w:cs="Arial"/>
          <w:b/>
          <w:color w:val="0000FF"/>
          <w:sz w:val="21"/>
          <w:szCs w:val="21"/>
          <w:u w:val="single"/>
        </w:rPr>
        <w:t>to:</w:t>
      </w:r>
    </w:p>
    <w:p w:rsidR="0040535A" w:rsidRPr="0078428E" w:rsidRDefault="0040535A" w:rsidP="0040535A">
      <w:pPr>
        <w:ind w:left="2925" w:hanging="2205"/>
        <w:rPr>
          <w:rFonts w:ascii="Arial" w:hAnsi="Arial" w:cs="Arial"/>
          <w:color w:val="0000FF"/>
          <w:sz w:val="21"/>
          <w:szCs w:val="21"/>
          <w:u w:val="single"/>
        </w:rPr>
      </w:pPr>
    </w:p>
    <w:p w:rsidR="0040535A" w:rsidRDefault="0040535A" w:rsidP="0040535A">
      <w:pPr>
        <w:rPr>
          <w:rFonts w:ascii="Arial" w:hAnsi="Arial" w:cs="Arial"/>
          <w:color w:val="0000FF"/>
          <w:sz w:val="21"/>
          <w:szCs w:val="21"/>
        </w:rPr>
      </w:pPr>
      <w:r w:rsidRPr="0078428E">
        <w:rPr>
          <w:rFonts w:ascii="Arial" w:hAnsi="Arial" w:cs="Arial"/>
          <w:color w:val="0000FF"/>
          <w:sz w:val="21"/>
          <w:szCs w:val="21"/>
        </w:rPr>
        <w:t xml:space="preserve">Natalie Madden, Business Manager for the Board at </w:t>
      </w:r>
      <w:hyperlink r:id="rId11" w:history="1">
        <w:r w:rsidRPr="0078428E">
          <w:rPr>
            <w:rStyle w:val="Hyperlink"/>
            <w:rFonts w:ascii="Arial" w:hAnsi="Arial" w:cs="Arial"/>
            <w:sz w:val="21"/>
            <w:szCs w:val="21"/>
          </w:rPr>
          <w:t>natalie.madden@reading.gov.uk</w:t>
        </w:r>
      </w:hyperlink>
      <w:r w:rsidRPr="0078428E">
        <w:rPr>
          <w:rFonts w:ascii="Arial" w:hAnsi="Arial" w:cs="Arial"/>
          <w:color w:val="0000FF"/>
          <w:sz w:val="21"/>
          <w:szCs w:val="21"/>
        </w:rPr>
        <w:t xml:space="preserve"> Tel. </w:t>
      </w:r>
      <w:r w:rsidR="006400F3">
        <w:rPr>
          <w:rFonts w:ascii="Arial" w:hAnsi="Arial" w:cs="Arial"/>
          <w:color w:val="0000FF"/>
          <w:sz w:val="21"/>
          <w:szCs w:val="21"/>
        </w:rPr>
        <w:t>07718 120601</w:t>
      </w:r>
    </w:p>
    <w:p w:rsidR="003E0069" w:rsidRDefault="003E0069" w:rsidP="0040535A">
      <w:pPr>
        <w:rPr>
          <w:rFonts w:ascii="Arial" w:hAnsi="Arial" w:cs="Arial"/>
          <w:color w:val="0000FF"/>
          <w:sz w:val="21"/>
          <w:szCs w:val="21"/>
        </w:rPr>
      </w:pPr>
    </w:p>
    <w:p w:rsidR="003E0069" w:rsidRPr="0078428E" w:rsidRDefault="003E0069" w:rsidP="0040535A">
      <w:pPr>
        <w:rPr>
          <w:rFonts w:ascii="Arial" w:hAnsi="Arial" w:cs="Arial"/>
          <w:color w:val="0000FF"/>
          <w:sz w:val="21"/>
          <w:szCs w:val="21"/>
        </w:rPr>
      </w:pPr>
      <w:r>
        <w:rPr>
          <w:rFonts w:ascii="Arial" w:hAnsi="Arial" w:cs="Arial"/>
          <w:color w:val="0000FF"/>
          <w:sz w:val="21"/>
          <w:szCs w:val="21"/>
        </w:rPr>
        <w:t>Send a copy securely to the appropriate Safeguarding Adults Team.</w:t>
      </w:r>
    </w:p>
    <w:p w:rsidR="0040535A" w:rsidRPr="0078428E" w:rsidRDefault="0040535A" w:rsidP="0040535A">
      <w:pPr>
        <w:ind w:left="2925" w:hanging="2925"/>
        <w:jc w:val="both"/>
        <w:rPr>
          <w:rFonts w:ascii="Arial" w:hAnsi="Arial" w:cs="Arial"/>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7272"/>
      </w:tblGrid>
      <w:tr w:rsidR="0040535A" w:rsidRPr="0078428E" w:rsidTr="00DB6808">
        <w:tc>
          <w:tcPr>
            <w:tcW w:w="3168" w:type="dxa"/>
            <w:shd w:val="clear" w:color="auto" w:fill="auto"/>
          </w:tcPr>
          <w:p w:rsidR="0040535A" w:rsidRPr="0078428E" w:rsidRDefault="0040535A" w:rsidP="00DB6808">
            <w:pPr>
              <w:jc w:val="both"/>
              <w:rPr>
                <w:rFonts w:ascii="Arial" w:eastAsia="Times New Roman" w:hAnsi="Arial" w:cs="Arial"/>
                <w:b/>
              </w:rPr>
            </w:pPr>
            <w:r w:rsidRPr="0078428E">
              <w:rPr>
                <w:rFonts w:ascii="Arial" w:eastAsia="Times New Roman" w:hAnsi="Arial" w:cs="Arial"/>
                <w:b/>
              </w:rPr>
              <w:t>Report completed by:</w:t>
            </w:r>
          </w:p>
          <w:p w:rsidR="0040535A" w:rsidRPr="0078428E" w:rsidRDefault="0040535A" w:rsidP="00DB6808">
            <w:pPr>
              <w:jc w:val="both"/>
              <w:rPr>
                <w:rFonts w:ascii="Arial" w:eastAsia="Times New Roman" w:hAnsi="Arial" w:cs="Arial"/>
                <w:b/>
              </w:rPr>
            </w:pPr>
          </w:p>
        </w:tc>
        <w:tc>
          <w:tcPr>
            <w:tcW w:w="7272" w:type="dxa"/>
            <w:shd w:val="clear" w:color="auto" w:fill="auto"/>
          </w:tcPr>
          <w:p w:rsidR="0040535A" w:rsidRPr="0078428E" w:rsidRDefault="0040535A" w:rsidP="00DB6808">
            <w:pPr>
              <w:jc w:val="both"/>
              <w:rPr>
                <w:rFonts w:ascii="Arial" w:eastAsia="Times New Roman" w:hAnsi="Arial" w:cs="Arial"/>
              </w:rPr>
            </w:pPr>
          </w:p>
        </w:tc>
      </w:tr>
      <w:tr w:rsidR="0040535A" w:rsidRPr="0078428E" w:rsidTr="00DB6808">
        <w:tc>
          <w:tcPr>
            <w:tcW w:w="3168" w:type="dxa"/>
            <w:shd w:val="clear" w:color="auto" w:fill="auto"/>
          </w:tcPr>
          <w:p w:rsidR="0040535A" w:rsidRPr="0078428E" w:rsidRDefault="0040535A" w:rsidP="00DB6808">
            <w:pPr>
              <w:jc w:val="both"/>
              <w:rPr>
                <w:rFonts w:ascii="Arial" w:eastAsia="Times New Roman" w:hAnsi="Arial" w:cs="Arial"/>
                <w:b/>
              </w:rPr>
            </w:pPr>
            <w:r w:rsidRPr="0078428E">
              <w:rPr>
                <w:rFonts w:ascii="Arial" w:eastAsia="Times New Roman" w:hAnsi="Arial" w:cs="Arial"/>
                <w:b/>
              </w:rPr>
              <w:t>Date report completed:</w:t>
            </w:r>
          </w:p>
          <w:p w:rsidR="0040535A" w:rsidRPr="0078428E" w:rsidRDefault="0040535A" w:rsidP="00DB6808">
            <w:pPr>
              <w:jc w:val="both"/>
              <w:rPr>
                <w:rFonts w:ascii="Arial" w:eastAsia="Times New Roman" w:hAnsi="Arial" w:cs="Arial"/>
                <w:b/>
              </w:rPr>
            </w:pPr>
          </w:p>
        </w:tc>
        <w:tc>
          <w:tcPr>
            <w:tcW w:w="7272" w:type="dxa"/>
            <w:shd w:val="clear" w:color="auto" w:fill="auto"/>
          </w:tcPr>
          <w:p w:rsidR="0040535A" w:rsidRPr="0078428E" w:rsidRDefault="0040535A" w:rsidP="00DB6808">
            <w:pPr>
              <w:jc w:val="both"/>
              <w:rPr>
                <w:rFonts w:ascii="Arial" w:eastAsia="Times New Roman" w:hAnsi="Arial" w:cs="Arial"/>
              </w:rPr>
            </w:pPr>
          </w:p>
        </w:tc>
      </w:tr>
      <w:tr w:rsidR="0040535A" w:rsidRPr="0078428E" w:rsidTr="00DB6808">
        <w:tc>
          <w:tcPr>
            <w:tcW w:w="3168" w:type="dxa"/>
            <w:shd w:val="clear" w:color="auto" w:fill="auto"/>
          </w:tcPr>
          <w:p w:rsidR="0040535A" w:rsidRPr="0078428E" w:rsidRDefault="0040535A" w:rsidP="00DB6808">
            <w:pPr>
              <w:jc w:val="both"/>
              <w:rPr>
                <w:rFonts w:ascii="Arial" w:eastAsia="Times New Roman" w:hAnsi="Arial" w:cs="Arial"/>
                <w:b/>
              </w:rPr>
            </w:pPr>
            <w:r w:rsidRPr="0078428E">
              <w:rPr>
                <w:rFonts w:ascii="Arial" w:eastAsia="Times New Roman" w:hAnsi="Arial" w:cs="Arial"/>
                <w:b/>
              </w:rPr>
              <w:t>Report Audience:</w:t>
            </w:r>
          </w:p>
          <w:p w:rsidR="0040535A" w:rsidRPr="0078428E" w:rsidRDefault="0040535A" w:rsidP="00DB6808">
            <w:pPr>
              <w:jc w:val="both"/>
              <w:rPr>
                <w:rFonts w:ascii="Arial" w:eastAsia="Times New Roman" w:hAnsi="Arial" w:cs="Arial"/>
                <w:b/>
              </w:rPr>
            </w:pPr>
          </w:p>
        </w:tc>
        <w:tc>
          <w:tcPr>
            <w:tcW w:w="7272" w:type="dxa"/>
            <w:shd w:val="clear" w:color="auto" w:fill="auto"/>
          </w:tcPr>
          <w:p w:rsidR="0040535A" w:rsidRPr="0078428E" w:rsidRDefault="0040535A" w:rsidP="00DB6808">
            <w:pPr>
              <w:jc w:val="both"/>
              <w:rPr>
                <w:rFonts w:ascii="Arial" w:eastAsia="Times New Roman" w:hAnsi="Arial" w:cs="Arial"/>
              </w:rPr>
            </w:pPr>
            <w:r w:rsidRPr="0078428E">
              <w:rPr>
                <w:rFonts w:ascii="Arial" w:eastAsia="Times New Roman" w:hAnsi="Arial" w:cs="Arial"/>
                <w:sz w:val="22"/>
                <w:szCs w:val="22"/>
              </w:rPr>
              <w:t>Safeguarding Adult Board (SAB) for consideration for action under the West of Berkshire Safeguarding Adults Board Guidance for Multi-Agency Safeguarding Adults Reviews of Serious Cases</w:t>
            </w:r>
          </w:p>
          <w:p w:rsidR="0040535A" w:rsidRPr="0078428E" w:rsidRDefault="0040535A" w:rsidP="00DB6808">
            <w:pPr>
              <w:jc w:val="both"/>
              <w:rPr>
                <w:rFonts w:ascii="Arial" w:eastAsia="Times New Roman" w:hAnsi="Arial" w:cs="Arial"/>
              </w:rPr>
            </w:pPr>
          </w:p>
        </w:tc>
      </w:tr>
      <w:tr w:rsidR="0040535A" w:rsidRPr="0078428E" w:rsidTr="00DB6808">
        <w:tc>
          <w:tcPr>
            <w:tcW w:w="3168" w:type="dxa"/>
            <w:shd w:val="clear" w:color="auto" w:fill="auto"/>
          </w:tcPr>
          <w:p w:rsidR="0040535A" w:rsidRPr="0078428E" w:rsidRDefault="0040535A" w:rsidP="00DB6808">
            <w:pPr>
              <w:jc w:val="both"/>
              <w:rPr>
                <w:rFonts w:ascii="Arial" w:eastAsia="Times New Roman" w:hAnsi="Arial" w:cs="Arial"/>
                <w:b/>
              </w:rPr>
            </w:pPr>
            <w:r w:rsidRPr="0078428E">
              <w:rPr>
                <w:rFonts w:ascii="Arial" w:eastAsia="Times New Roman" w:hAnsi="Arial" w:cs="Arial"/>
                <w:b/>
              </w:rPr>
              <w:t>Purpose of report:</w:t>
            </w:r>
          </w:p>
          <w:p w:rsidR="0040535A" w:rsidRPr="0078428E" w:rsidRDefault="0040535A" w:rsidP="00DB6808">
            <w:pPr>
              <w:jc w:val="both"/>
              <w:rPr>
                <w:rFonts w:ascii="Arial" w:eastAsia="Times New Roman" w:hAnsi="Arial" w:cs="Arial"/>
              </w:rPr>
            </w:pPr>
          </w:p>
        </w:tc>
        <w:tc>
          <w:tcPr>
            <w:tcW w:w="7272" w:type="dxa"/>
            <w:shd w:val="clear" w:color="auto" w:fill="auto"/>
          </w:tcPr>
          <w:p w:rsidR="0040535A" w:rsidRPr="0078428E" w:rsidRDefault="0040535A" w:rsidP="00DB6808">
            <w:pPr>
              <w:jc w:val="both"/>
              <w:rPr>
                <w:rFonts w:ascii="Arial" w:eastAsia="Times New Roman" w:hAnsi="Arial" w:cs="Arial"/>
                <w:i/>
              </w:rPr>
            </w:pPr>
          </w:p>
        </w:tc>
      </w:tr>
    </w:tbl>
    <w:p w:rsidR="0040535A" w:rsidRPr="0078428E" w:rsidRDefault="0040535A" w:rsidP="0040535A">
      <w:pPr>
        <w:ind w:left="2925" w:hanging="2925"/>
        <w:jc w:val="both"/>
        <w:rPr>
          <w:rFonts w:ascii="Arial" w:hAnsi="Arial" w:cs="Arial"/>
        </w:rPr>
      </w:pPr>
    </w:p>
    <w:p w:rsidR="0040535A" w:rsidRPr="0078428E" w:rsidRDefault="0040535A" w:rsidP="0040535A">
      <w:pPr>
        <w:ind w:left="2925" w:hanging="2925"/>
        <w:jc w:val="both"/>
        <w:rPr>
          <w:rFonts w:ascii="Arial" w:hAnsi="Arial" w:cs="Arial"/>
          <w:color w:val="FF0000"/>
        </w:rPr>
      </w:pPr>
      <w:r w:rsidRPr="0078428E">
        <w:rPr>
          <w:rFonts w:ascii="Arial" w:hAnsi="Arial" w:cs="Arial"/>
        </w:rPr>
        <w:tab/>
      </w: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0535A" w:rsidRPr="0078428E" w:rsidTr="00DB6808">
        <w:tc>
          <w:tcPr>
            <w:tcW w:w="10440" w:type="dxa"/>
            <w:shd w:val="clear" w:color="auto" w:fill="auto"/>
          </w:tcPr>
          <w:p w:rsidR="00803B9F" w:rsidRPr="00803B9F" w:rsidRDefault="00803B9F" w:rsidP="00803B9F">
            <w:pPr>
              <w:rPr>
                <w:rFonts w:asciiTheme="minorHAnsi" w:hAnsiTheme="minorHAnsi"/>
                <w:color w:val="FF0000"/>
              </w:rPr>
            </w:pPr>
            <w:r w:rsidRPr="00803B9F">
              <w:rPr>
                <w:rFonts w:asciiTheme="minorHAnsi" w:hAnsiTheme="minorHAnsi"/>
                <w:color w:val="FF0000"/>
              </w:rPr>
              <w:t xml:space="preserve">Are there any safeguarding concerns for children or other adults from this case that need to be actioned and / or shared with Local Authority adult or children safeguarding teams?  If so, confirm what action has been </w:t>
            </w:r>
            <w:r w:rsidR="005A5AAD">
              <w:rPr>
                <w:rFonts w:asciiTheme="minorHAnsi" w:hAnsiTheme="minorHAnsi"/>
                <w:color w:val="FF0000"/>
              </w:rPr>
              <w:t>taken</w:t>
            </w:r>
            <w:r w:rsidRPr="00803B9F">
              <w:rPr>
                <w:rFonts w:asciiTheme="minorHAnsi" w:hAnsiTheme="minorHAnsi"/>
                <w:color w:val="FF0000"/>
              </w:rPr>
              <w:t xml:space="preserve">:   </w:t>
            </w:r>
          </w:p>
          <w:p w:rsidR="0040535A" w:rsidRPr="0078428E" w:rsidRDefault="0040535A" w:rsidP="00DB6808">
            <w:pPr>
              <w:jc w:val="both"/>
              <w:rPr>
                <w:rFonts w:ascii="Arial" w:eastAsia="Times New Roman" w:hAnsi="Arial" w:cs="Arial"/>
              </w:rPr>
            </w:pPr>
          </w:p>
        </w:tc>
      </w:tr>
      <w:tr w:rsidR="00803B9F" w:rsidRPr="0078428E" w:rsidTr="00DB6808">
        <w:tc>
          <w:tcPr>
            <w:tcW w:w="10440" w:type="dxa"/>
            <w:shd w:val="clear" w:color="auto" w:fill="auto"/>
          </w:tcPr>
          <w:p w:rsidR="00803B9F" w:rsidRDefault="00803B9F" w:rsidP="00803B9F">
            <w:pPr>
              <w:pStyle w:val="ListParagraph"/>
              <w:ind w:left="0"/>
              <w:jc w:val="both"/>
              <w:rPr>
                <w:rFonts w:cs="Arial"/>
                <w:b/>
                <w:u w:val="single"/>
              </w:rPr>
            </w:pPr>
            <w:r w:rsidRPr="0078428E">
              <w:rPr>
                <w:rFonts w:cs="Arial"/>
                <w:b/>
              </w:rPr>
              <w:t xml:space="preserve">Section 1 - </w:t>
            </w:r>
            <w:r w:rsidRPr="0078428E">
              <w:rPr>
                <w:rFonts w:cs="Arial"/>
                <w:b/>
                <w:u w:val="single"/>
              </w:rPr>
              <w:t>Summary of case:</w:t>
            </w:r>
          </w:p>
          <w:p w:rsidR="005A5AAD" w:rsidRDefault="005A5AAD" w:rsidP="00803B9F">
            <w:pPr>
              <w:pStyle w:val="ListParagraph"/>
              <w:ind w:left="0"/>
              <w:jc w:val="both"/>
              <w:rPr>
                <w:rFonts w:cs="Arial"/>
                <w:b/>
                <w:u w:val="single"/>
              </w:rPr>
            </w:pPr>
          </w:p>
          <w:p w:rsidR="00803B9F" w:rsidRPr="0078428E" w:rsidRDefault="00803B9F" w:rsidP="00803B9F">
            <w:pPr>
              <w:pStyle w:val="ListParagraph"/>
              <w:ind w:left="0"/>
              <w:jc w:val="both"/>
              <w:rPr>
                <w:rFonts w:cs="Arial"/>
                <w:b/>
              </w:rPr>
            </w:pPr>
          </w:p>
          <w:p w:rsidR="00803B9F" w:rsidRPr="0078428E" w:rsidRDefault="00803B9F" w:rsidP="00DB6808">
            <w:pPr>
              <w:pStyle w:val="ListParagraph"/>
              <w:ind w:left="0"/>
              <w:jc w:val="both"/>
              <w:rPr>
                <w:rFonts w:cs="Arial"/>
                <w:b/>
              </w:rPr>
            </w:pPr>
          </w:p>
        </w:tc>
      </w:tr>
      <w:tr w:rsidR="0040535A" w:rsidRPr="0078428E" w:rsidTr="00DB6808">
        <w:tc>
          <w:tcPr>
            <w:tcW w:w="10440" w:type="dxa"/>
            <w:shd w:val="clear" w:color="auto" w:fill="auto"/>
          </w:tcPr>
          <w:p w:rsidR="0040535A" w:rsidRPr="0078428E" w:rsidRDefault="0040535A" w:rsidP="00DB6808">
            <w:pPr>
              <w:pStyle w:val="ListParagraph"/>
              <w:ind w:left="0"/>
              <w:jc w:val="both"/>
              <w:rPr>
                <w:rFonts w:cs="Arial"/>
                <w:b/>
              </w:rPr>
            </w:pPr>
            <w:r w:rsidRPr="0078428E">
              <w:rPr>
                <w:rFonts w:cs="Arial"/>
                <w:b/>
              </w:rPr>
              <w:t xml:space="preserve">Section 2 - </w:t>
            </w:r>
            <w:r w:rsidRPr="0078428E">
              <w:rPr>
                <w:rFonts w:cs="Arial"/>
                <w:b/>
                <w:u w:val="single"/>
              </w:rPr>
              <w:t>Information received and Documents reviewed:</w:t>
            </w:r>
          </w:p>
          <w:p w:rsidR="0040535A" w:rsidRPr="0078428E" w:rsidRDefault="0040535A" w:rsidP="00803B9F">
            <w:pPr>
              <w:jc w:val="both"/>
              <w:rPr>
                <w:rFonts w:ascii="Arial" w:eastAsia="Times New Roman" w:hAnsi="Arial" w:cs="Arial"/>
              </w:rPr>
            </w:pPr>
          </w:p>
          <w:p w:rsidR="0040535A" w:rsidRPr="0078428E" w:rsidRDefault="0040535A" w:rsidP="00DB6808">
            <w:pPr>
              <w:ind w:left="360"/>
              <w:jc w:val="both"/>
              <w:rPr>
                <w:rFonts w:ascii="Arial" w:eastAsia="Times New Roman" w:hAnsi="Arial" w:cs="Arial"/>
              </w:rPr>
            </w:pPr>
          </w:p>
          <w:p w:rsidR="0040535A" w:rsidRPr="0078428E" w:rsidRDefault="0040535A" w:rsidP="00DB6808">
            <w:pPr>
              <w:pStyle w:val="ListParagraph"/>
              <w:ind w:left="360"/>
              <w:jc w:val="both"/>
              <w:rPr>
                <w:rFonts w:cs="Arial"/>
                <w:vanish/>
              </w:rPr>
            </w:pPr>
          </w:p>
          <w:p w:rsidR="0040535A" w:rsidRPr="0078428E" w:rsidRDefault="0040535A" w:rsidP="00DB6808">
            <w:pPr>
              <w:pStyle w:val="ListParagraph"/>
              <w:ind w:left="360"/>
              <w:jc w:val="both"/>
              <w:rPr>
                <w:rFonts w:cs="Arial"/>
                <w:vanish/>
              </w:rPr>
            </w:pPr>
          </w:p>
          <w:p w:rsidR="0040535A" w:rsidRPr="0078428E" w:rsidRDefault="0040535A" w:rsidP="00DB6808">
            <w:pPr>
              <w:pStyle w:val="ListParagraph"/>
              <w:ind w:left="0"/>
              <w:jc w:val="both"/>
              <w:rPr>
                <w:rFonts w:cs="Arial"/>
              </w:rPr>
            </w:pPr>
          </w:p>
        </w:tc>
      </w:tr>
      <w:tr w:rsidR="0040535A" w:rsidRPr="0078428E" w:rsidTr="00DB6808">
        <w:tc>
          <w:tcPr>
            <w:tcW w:w="10440" w:type="dxa"/>
            <w:shd w:val="clear" w:color="auto" w:fill="auto"/>
          </w:tcPr>
          <w:p w:rsidR="0040535A" w:rsidRPr="0078428E" w:rsidRDefault="0040535A" w:rsidP="00DB6808">
            <w:pPr>
              <w:pStyle w:val="ListParagraph"/>
              <w:ind w:left="0"/>
              <w:jc w:val="both"/>
              <w:rPr>
                <w:rFonts w:cs="Arial"/>
                <w:b/>
              </w:rPr>
            </w:pPr>
            <w:r w:rsidRPr="0078428E">
              <w:rPr>
                <w:rFonts w:cs="Arial"/>
                <w:b/>
              </w:rPr>
              <w:t xml:space="preserve">Section 3 - </w:t>
            </w:r>
            <w:r w:rsidRPr="0078428E">
              <w:rPr>
                <w:rFonts w:cs="Arial"/>
                <w:b/>
                <w:u w:val="single"/>
              </w:rPr>
              <w:t>Evaluation of Information received and Documents reviewed:</w:t>
            </w:r>
          </w:p>
          <w:p w:rsidR="0040535A" w:rsidRPr="0078428E" w:rsidRDefault="0040535A" w:rsidP="00DB6808">
            <w:pPr>
              <w:pStyle w:val="ListParagraph"/>
              <w:ind w:left="1241"/>
              <w:jc w:val="both"/>
              <w:rPr>
                <w:rFonts w:cs="Arial"/>
              </w:rPr>
            </w:pPr>
          </w:p>
          <w:p w:rsidR="0040535A" w:rsidRPr="0078428E" w:rsidRDefault="0040535A" w:rsidP="00DB6808">
            <w:pPr>
              <w:jc w:val="both"/>
              <w:rPr>
                <w:rFonts w:ascii="Arial" w:eastAsia="Times New Roman" w:hAnsi="Arial" w:cs="Arial"/>
              </w:rPr>
            </w:pPr>
          </w:p>
          <w:p w:rsidR="0040535A" w:rsidRPr="0078428E" w:rsidRDefault="0040535A" w:rsidP="00DB6808">
            <w:pPr>
              <w:jc w:val="both"/>
              <w:rPr>
                <w:rFonts w:ascii="Arial" w:eastAsia="Times New Roman" w:hAnsi="Arial" w:cs="Arial"/>
              </w:rPr>
            </w:pPr>
          </w:p>
          <w:p w:rsidR="0040535A" w:rsidRPr="0078428E" w:rsidRDefault="0040535A" w:rsidP="00DB6808">
            <w:pPr>
              <w:pStyle w:val="ListParagraph"/>
              <w:ind w:left="0"/>
              <w:jc w:val="both"/>
              <w:rPr>
                <w:rFonts w:cs="Arial"/>
              </w:rPr>
            </w:pPr>
          </w:p>
        </w:tc>
      </w:tr>
      <w:tr w:rsidR="0040535A" w:rsidRPr="0078428E" w:rsidTr="00DB6808">
        <w:tc>
          <w:tcPr>
            <w:tcW w:w="10440" w:type="dxa"/>
            <w:shd w:val="clear" w:color="auto" w:fill="auto"/>
          </w:tcPr>
          <w:p w:rsidR="0040535A" w:rsidRPr="0078428E" w:rsidRDefault="0040535A" w:rsidP="00DB6808">
            <w:pPr>
              <w:pStyle w:val="ListParagraph"/>
              <w:ind w:left="0"/>
              <w:jc w:val="both"/>
              <w:rPr>
                <w:rFonts w:cs="Arial"/>
                <w:b/>
              </w:rPr>
            </w:pPr>
            <w:r w:rsidRPr="0078428E">
              <w:rPr>
                <w:rFonts w:cs="Arial"/>
                <w:b/>
              </w:rPr>
              <w:t xml:space="preserve">Section 4 </w:t>
            </w:r>
            <w:r w:rsidR="00803B9F">
              <w:rPr>
                <w:rFonts w:cs="Arial"/>
                <w:b/>
              </w:rPr>
              <w:t>–</w:t>
            </w:r>
            <w:r w:rsidRPr="0078428E">
              <w:rPr>
                <w:rFonts w:cs="Arial"/>
                <w:b/>
              </w:rPr>
              <w:t xml:space="preserve"> </w:t>
            </w:r>
            <w:r w:rsidRPr="0078428E">
              <w:rPr>
                <w:rFonts w:cs="Arial"/>
                <w:b/>
                <w:u w:val="single"/>
              </w:rPr>
              <w:t>Conclusions:</w:t>
            </w:r>
          </w:p>
          <w:p w:rsidR="0040535A" w:rsidRPr="0078428E" w:rsidRDefault="0040535A" w:rsidP="00DB6808">
            <w:pPr>
              <w:jc w:val="both"/>
              <w:rPr>
                <w:rFonts w:ascii="Arial" w:eastAsia="Times New Roman" w:hAnsi="Arial" w:cs="Arial"/>
              </w:rPr>
            </w:pPr>
          </w:p>
          <w:p w:rsidR="0040535A" w:rsidRPr="0078428E" w:rsidRDefault="0040535A" w:rsidP="00DB6808">
            <w:pPr>
              <w:jc w:val="both"/>
              <w:rPr>
                <w:rFonts w:ascii="Arial" w:eastAsia="Times New Roman" w:hAnsi="Arial" w:cs="Arial"/>
              </w:rPr>
            </w:pPr>
          </w:p>
          <w:p w:rsidR="0040535A" w:rsidRDefault="0040535A" w:rsidP="00DB6808">
            <w:pPr>
              <w:jc w:val="both"/>
              <w:rPr>
                <w:rFonts w:ascii="Arial" w:eastAsia="Times New Roman" w:hAnsi="Arial" w:cs="Arial"/>
              </w:rPr>
            </w:pPr>
          </w:p>
          <w:p w:rsidR="00803B9F" w:rsidRPr="0078428E" w:rsidRDefault="00803B9F" w:rsidP="00DB6808">
            <w:pPr>
              <w:jc w:val="both"/>
              <w:rPr>
                <w:rFonts w:ascii="Arial" w:eastAsia="Times New Roman" w:hAnsi="Arial" w:cs="Arial"/>
              </w:rPr>
            </w:pPr>
          </w:p>
        </w:tc>
      </w:tr>
      <w:tr w:rsidR="0040535A" w:rsidRPr="00A85220" w:rsidTr="00DB6808">
        <w:tc>
          <w:tcPr>
            <w:tcW w:w="10440" w:type="dxa"/>
            <w:shd w:val="clear" w:color="auto" w:fill="auto"/>
          </w:tcPr>
          <w:p w:rsidR="0040535A" w:rsidRPr="0078428E" w:rsidRDefault="0040535A" w:rsidP="00DB6808">
            <w:pPr>
              <w:spacing w:before="120" w:after="120"/>
              <w:jc w:val="both"/>
              <w:rPr>
                <w:rFonts w:ascii="Arial" w:eastAsia="Times New Roman" w:hAnsi="Arial" w:cs="Arial"/>
                <w:b/>
              </w:rPr>
            </w:pPr>
            <w:r w:rsidRPr="0078428E">
              <w:rPr>
                <w:rFonts w:ascii="Arial" w:eastAsia="Times New Roman" w:hAnsi="Arial" w:cs="Arial"/>
                <w:b/>
              </w:rPr>
              <w:t xml:space="preserve">Signed: </w:t>
            </w:r>
          </w:p>
          <w:p w:rsidR="0040535A" w:rsidRPr="00A85220" w:rsidRDefault="0040535A" w:rsidP="00DB6808">
            <w:pPr>
              <w:spacing w:before="120" w:after="120"/>
              <w:jc w:val="both"/>
              <w:rPr>
                <w:rFonts w:ascii="Arial" w:eastAsia="Times New Roman" w:hAnsi="Arial" w:cs="Arial"/>
                <w:b/>
              </w:rPr>
            </w:pPr>
            <w:r w:rsidRPr="0078428E">
              <w:rPr>
                <w:rFonts w:ascii="Arial" w:eastAsia="Times New Roman" w:hAnsi="Arial" w:cs="Arial"/>
                <w:b/>
              </w:rPr>
              <w:t>Dated:</w:t>
            </w:r>
            <w:r w:rsidRPr="00A85220">
              <w:rPr>
                <w:rFonts w:ascii="Arial" w:eastAsia="Times New Roman" w:hAnsi="Arial" w:cs="Arial"/>
                <w:b/>
              </w:rPr>
              <w:t xml:space="preserve">  </w:t>
            </w:r>
          </w:p>
        </w:tc>
      </w:tr>
    </w:tbl>
    <w:p w:rsidR="00836528" w:rsidRDefault="00836528" w:rsidP="00836528">
      <w:pPr>
        <w:ind w:left="5805" w:firstLine="675"/>
        <w:jc w:val="center"/>
        <w:rPr>
          <w:rFonts w:ascii="Arial" w:hAnsi="Arial" w:cs="Arial"/>
          <w:b/>
          <w:sz w:val="28"/>
          <w:szCs w:val="28"/>
          <w:u w:val="single"/>
        </w:rPr>
      </w:pPr>
    </w:p>
    <w:p w:rsidR="005A5AAD" w:rsidRDefault="005A5AAD" w:rsidP="00836528">
      <w:pPr>
        <w:ind w:left="5805" w:firstLine="675"/>
        <w:jc w:val="center"/>
        <w:rPr>
          <w:rFonts w:ascii="Arial" w:hAnsi="Arial" w:cs="Arial"/>
          <w:b/>
          <w:sz w:val="28"/>
          <w:szCs w:val="28"/>
          <w:u w:val="single"/>
        </w:rPr>
      </w:pPr>
    </w:p>
    <w:p w:rsidR="00836528" w:rsidRDefault="00836528" w:rsidP="00836528">
      <w:pPr>
        <w:ind w:left="5805" w:firstLine="675"/>
        <w:jc w:val="center"/>
        <w:rPr>
          <w:rFonts w:ascii="Arial" w:hAnsi="Arial" w:cs="Arial"/>
          <w:b/>
          <w:sz w:val="28"/>
          <w:szCs w:val="28"/>
          <w:u w:val="single"/>
        </w:rPr>
      </w:pPr>
      <w:r w:rsidRPr="0078428E">
        <w:rPr>
          <w:rFonts w:ascii="Arial" w:hAnsi="Arial" w:cs="Arial"/>
          <w:b/>
          <w:sz w:val="28"/>
          <w:szCs w:val="28"/>
          <w:u w:val="single"/>
        </w:rPr>
        <w:t xml:space="preserve">Appendix </w:t>
      </w:r>
      <w:r>
        <w:rPr>
          <w:rFonts w:ascii="Arial" w:hAnsi="Arial" w:cs="Arial"/>
          <w:b/>
          <w:sz w:val="28"/>
          <w:szCs w:val="28"/>
          <w:u w:val="single"/>
        </w:rPr>
        <w:t>3</w:t>
      </w:r>
    </w:p>
    <w:p w:rsidR="00836528" w:rsidRPr="0078428E" w:rsidRDefault="00836528" w:rsidP="00836528">
      <w:pPr>
        <w:ind w:left="5805" w:firstLine="675"/>
        <w:jc w:val="center"/>
        <w:rPr>
          <w:rFonts w:ascii="Arial" w:hAnsi="Arial" w:cs="Arial"/>
          <w:b/>
          <w:sz w:val="28"/>
          <w:szCs w:val="28"/>
          <w:u w:val="single"/>
        </w:rPr>
      </w:pPr>
    </w:p>
    <w:p w:rsidR="00836528" w:rsidRDefault="00836528" w:rsidP="00854406">
      <w:pPr>
        <w:pStyle w:val="Default"/>
        <w:rPr>
          <w:rFonts w:cstheme="minorBidi"/>
          <w:color w:val="auto"/>
        </w:rPr>
      </w:pPr>
    </w:p>
    <w:p w:rsidR="00836528" w:rsidRDefault="00836528" w:rsidP="00854406">
      <w:pPr>
        <w:pStyle w:val="Default"/>
        <w:rPr>
          <w:rFonts w:cstheme="minorBidi"/>
          <w:color w:val="auto"/>
        </w:rPr>
      </w:pPr>
    </w:p>
    <w:p w:rsidR="00836528" w:rsidRDefault="00836528" w:rsidP="00854406">
      <w:pPr>
        <w:pStyle w:val="Default"/>
        <w:rPr>
          <w:rFonts w:cstheme="minorBidi"/>
          <w:color w:val="auto"/>
        </w:rPr>
      </w:pPr>
      <w:r>
        <w:rPr>
          <w:rFonts w:eastAsia="Calibri"/>
          <w:noProof/>
          <w:lang w:eastAsia="en-GB"/>
        </w:rPr>
        <w:drawing>
          <wp:anchor distT="0" distB="0" distL="114300" distR="114300" simplePos="0" relativeHeight="251659264" behindDoc="0" locked="0" layoutInCell="1" allowOverlap="1" wp14:anchorId="5E1161FC" wp14:editId="5BE8F908">
            <wp:simplePos x="0" y="0"/>
            <wp:positionH relativeFrom="column">
              <wp:posOffset>4102100</wp:posOffset>
            </wp:positionH>
            <wp:positionV relativeFrom="page">
              <wp:posOffset>1429929</wp:posOffset>
            </wp:positionV>
            <wp:extent cx="2066290" cy="558165"/>
            <wp:effectExtent l="0" t="0" r="0" b="0"/>
            <wp:wrapNone/>
            <wp:docPr id="1" name="Picture 1" descr="land4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4c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290" cy="558165"/>
                    </a:xfrm>
                    <a:prstGeom prst="rect">
                      <a:avLst/>
                    </a:prstGeom>
                    <a:noFill/>
                  </pic:spPr>
                </pic:pic>
              </a:graphicData>
            </a:graphic>
            <wp14:sizeRelH relativeFrom="page">
              <wp14:pctWidth>0</wp14:pctWidth>
            </wp14:sizeRelH>
            <wp14:sizeRelV relativeFrom="page">
              <wp14:pctHeight>0</wp14:pctHeight>
            </wp14:sizeRelV>
          </wp:anchor>
        </w:drawing>
      </w:r>
    </w:p>
    <w:p w:rsidR="00836528" w:rsidRDefault="00836528" w:rsidP="00854406">
      <w:pPr>
        <w:pStyle w:val="Default"/>
        <w:rPr>
          <w:rFonts w:cstheme="minorBidi"/>
          <w:color w:val="auto"/>
        </w:rPr>
      </w:pPr>
    </w:p>
    <w:p w:rsidR="00836528" w:rsidRDefault="00836528" w:rsidP="00854406">
      <w:pPr>
        <w:pStyle w:val="Default"/>
        <w:rPr>
          <w:rFonts w:cstheme="minorBidi"/>
          <w:color w:val="auto"/>
        </w:rPr>
      </w:pPr>
    </w:p>
    <w:p w:rsidR="00836528" w:rsidRPr="00836528" w:rsidRDefault="00836528" w:rsidP="00836528">
      <w:pPr>
        <w:spacing w:after="200"/>
        <w:rPr>
          <w:rFonts w:ascii="Arial" w:eastAsia="Calibri" w:hAnsi="Arial"/>
          <w:szCs w:val="22"/>
          <w:lang w:eastAsia="en-US"/>
        </w:rPr>
      </w:pPr>
      <w:r w:rsidRPr="00836528">
        <w:rPr>
          <w:rFonts w:ascii="Arial" w:eastAsia="Calibri" w:hAnsi="Arial"/>
          <w:szCs w:val="22"/>
          <w:lang w:eastAsia="en-US"/>
        </w:rPr>
        <w:tab/>
      </w:r>
    </w:p>
    <w:p w:rsidR="00836528" w:rsidRPr="00836528" w:rsidRDefault="00836528" w:rsidP="00836528">
      <w:pPr>
        <w:spacing w:after="200"/>
        <w:jc w:val="center"/>
        <w:rPr>
          <w:rFonts w:ascii="Calibri" w:eastAsia="Calibri" w:hAnsi="Calibri"/>
          <w:b/>
          <w:sz w:val="28"/>
          <w:szCs w:val="28"/>
          <w:lang w:eastAsia="en-US"/>
        </w:rPr>
      </w:pPr>
      <w:r w:rsidRPr="00836528">
        <w:rPr>
          <w:rFonts w:ascii="Calibri" w:eastAsia="Calibri" w:hAnsi="Calibri"/>
          <w:b/>
          <w:sz w:val="28"/>
          <w:szCs w:val="28"/>
          <w:lang w:eastAsia="en-US"/>
        </w:rPr>
        <w:t>Domestic Homicide Review/Serious Case Review</w:t>
      </w:r>
    </w:p>
    <w:p w:rsidR="00836528" w:rsidRPr="00836528" w:rsidRDefault="00836528" w:rsidP="00836528">
      <w:pPr>
        <w:spacing w:after="200"/>
        <w:jc w:val="center"/>
        <w:rPr>
          <w:rFonts w:ascii="Calibri" w:eastAsia="Calibri" w:hAnsi="Calibri"/>
          <w:b/>
          <w:sz w:val="28"/>
          <w:szCs w:val="28"/>
          <w:lang w:eastAsia="en-US"/>
        </w:rPr>
      </w:pPr>
      <w:r w:rsidRPr="00836528">
        <w:rPr>
          <w:rFonts w:ascii="Calibri" w:eastAsia="Calibri" w:hAnsi="Calibri"/>
          <w:b/>
          <w:sz w:val="28"/>
          <w:szCs w:val="28"/>
          <w:lang w:eastAsia="en-US"/>
        </w:rPr>
        <w:t>Primary Assessment Chronology</w:t>
      </w:r>
    </w:p>
    <w:p w:rsidR="00836528" w:rsidRPr="00836528" w:rsidRDefault="00836528" w:rsidP="00836528">
      <w:pPr>
        <w:spacing w:after="200"/>
        <w:rPr>
          <w:rFonts w:ascii="Calibri" w:eastAsia="Calibri" w:hAnsi="Calibri"/>
          <w:lang w:eastAsia="en-US"/>
        </w:rPr>
      </w:pPr>
      <w:r w:rsidRPr="00836528">
        <w:rPr>
          <w:rFonts w:ascii="Calibri" w:eastAsia="Calibri" w:hAnsi="Calibri"/>
          <w:lang w:eastAsia="en-US"/>
        </w:rPr>
        <w:t>This document is intended to provide Thames Valley Police’s representatives on Local Safeguarding Children’s Boards, Safeguarding Adult’s Boards and Community Safety Partnerships with an overview of the information held by the organisation in relation to the potential subject of the review and other relevant people. This will assist the decision making process in relation to the commissioning of a Serious Case/Domestic Homicide Review.</w:t>
      </w:r>
    </w:p>
    <w:p w:rsidR="00836528" w:rsidRPr="00836528" w:rsidRDefault="00836528" w:rsidP="00836528">
      <w:pPr>
        <w:spacing w:after="200"/>
        <w:rPr>
          <w:rFonts w:ascii="Calibri" w:eastAsia="Calibri" w:hAnsi="Calibri"/>
          <w:lang w:eastAsia="en-US"/>
        </w:rPr>
      </w:pPr>
      <w:r w:rsidRPr="00836528">
        <w:rPr>
          <w:rFonts w:ascii="Calibri" w:eastAsia="Calibri" w:hAnsi="Calibri"/>
          <w:lang w:eastAsia="en-US"/>
        </w:rPr>
        <w:t xml:space="preserve">The following systems will have been checked: PNC, PND, NICHE, Command &amp; Control live and archived, Voters, </w:t>
      </w:r>
      <w:proofErr w:type="spellStart"/>
      <w:r w:rsidRPr="00836528">
        <w:rPr>
          <w:rFonts w:ascii="Calibri" w:eastAsia="Calibri" w:hAnsi="Calibri"/>
          <w:lang w:eastAsia="en-US"/>
        </w:rPr>
        <w:t>ViSOR</w:t>
      </w:r>
      <w:proofErr w:type="spellEnd"/>
      <w:r w:rsidRPr="00836528">
        <w:rPr>
          <w:rFonts w:ascii="Calibri" w:eastAsia="Calibri" w:hAnsi="Calibri"/>
          <w:lang w:eastAsia="en-US"/>
        </w:rPr>
        <w:t xml:space="preserve">, CHARM, </w:t>
      </w:r>
      <w:proofErr w:type="spellStart"/>
      <w:r w:rsidRPr="00836528">
        <w:rPr>
          <w:rFonts w:ascii="Calibri" w:eastAsia="Calibri" w:hAnsi="Calibri"/>
          <w:lang w:eastAsia="en-US"/>
        </w:rPr>
        <w:t>Misper</w:t>
      </w:r>
      <w:proofErr w:type="spellEnd"/>
      <w:r w:rsidRPr="00836528">
        <w:rPr>
          <w:rFonts w:ascii="Calibri" w:eastAsia="Calibri" w:hAnsi="Calibri"/>
          <w:lang w:eastAsia="en-US"/>
        </w:rPr>
        <w:t xml:space="preserve"> Database, CEDAR, FPU database and the PVP case files on </w:t>
      </w:r>
      <w:proofErr w:type="spellStart"/>
      <w:r w:rsidRPr="00836528">
        <w:rPr>
          <w:rFonts w:ascii="Calibri" w:eastAsia="Calibri" w:hAnsi="Calibri"/>
          <w:lang w:eastAsia="en-US"/>
        </w:rPr>
        <w:t>Livelink</w:t>
      </w:r>
      <w:proofErr w:type="spellEnd"/>
      <w:r w:rsidRPr="00836528">
        <w:rPr>
          <w:rFonts w:ascii="Calibri" w:eastAsia="Calibri" w:hAnsi="Calibri"/>
          <w:lang w:eastAsia="en-US"/>
        </w:rPr>
        <w:t xml:space="preserve">. </w:t>
      </w:r>
    </w:p>
    <w:p w:rsidR="00836528" w:rsidRPr="00836528" w:rsidRDefault="00836528" w:rsidP="00836528">
      <w:pPr>
        <w:spacing w:after="200"/>
        <w:jc w:val="center"/>
        <w:rPr>
          <w:rFonts w:ascii="Calibri" w:eastAsia="Calibri" w:hAnsi="Calibri"/>
          <w:b/>
          <w:color w:val="C00000"/>
          <w:sz w:val="36"/>
          <w:szCs w:val="36"/>
          <w:lang w:eastAsia="en-US"/>
        </w:rPr>
      </w:pPr>
      <w:r w:rsidRPr="00836528">
        <w:rPr>
          <w:rFonts w:ascii="Calibri" w:eastAsia="Calibri" w:hAnsi="Calibri"/>
          <w:b/>
          <w:color w:val="C00000"/>
          <w:sz w:val="36"/>
          <w:szCs w:val="36"/>
          <w:lang w:eastAsia="en-US"/>
        </w:rPr>
        <w:t>***Do not disseminate this document to other agencies. For police eyes only***</w:t>
      </w:r>
    </w:p>
    <w:p w:rsidR="00836528" w:rsidRPr="00836528" w:rsidRDefault="00836528" w:rsidP="00836528">
      <w:pPr>
        <w:spacing w:after="200"/>
        <w:rPr>
          <w:rFonts w:ascii="Calibri" w:eastAsia="Calibri" w:hAnsi="Calibri"/>
          <w:lang w:eastAsia="en-US"/>
        </w:rPr>
      </w:pPr>
    </w:p>
    <w:tbl>
      <w:tblPr>
        <w:tblW w:w="78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5640"/>
      </w:tblGrid>
      <w:tr w:rsidR="00836528" w:rsidRPr="00836528" w:rsidTr="009E3773">
        <w:trPr>
          <w:trHeight w:hRule="exact" w:val="567"/>
        </w:trPr>
        <w:tc>
          <w:tcPr>
            <w:tcW w:w="2160" w:type="dxa"/>
            <w:tcBorders>
              <w:bottom w:val="single" w:sz="4" w:space="0" w:color="auto"/>
            </w:tcBorders>
          </w:tcPr>
          <w:p w:rsidR="00836528" w:rsidRPr="00836528" w:rsidRDefault="00836528" w:rsidP="00836528">
            <w:pPr>
              <w:spacing w:after="200"/>
              <w:jc w:val="both"/>
              <w:rPr>
                <w:rFonts w:ascii="Calibri" w:eastAsia="Calibri" w:hAnsi="Calibri"/>
                <w:lang w:eastAsia="en-US"/>
              </w:rPr>
            </w:pPr>
            <w:r w:rsidRPr="00836528">
              <w:rPr>
                <w:rFonts w:ascii="Calibri" w:eastAsia="Calibri" w:hAnsi="Calibri"/>
                <w:szCs w:val="22"/>
                <w:lang w:eastAsia="en-US"/>
              </w:rPr>
              <w:t>Date</w:t>
            </w:r>
          </w:p>
          <w:p w:rsidR="00836528" w:rsidRPr="00836528" w:rsidRDefault="00836528" w:rsidP="00836528">
            <w:pPr>
              <w:spacing w:after="200"/>
              <w:jc w:val="both"/>
              <w:rPr>
                <w:rFonts w:ascii="Calibri" w:eastAsia="Calibri" w:hAnsi="Calibri"/>
                <w:lang w:eastAsia="en-US"/>
              </w:rPr>
            </w:pPr>
          </w:p>
        </w:tc>
        <w:tc>
          <w:tcPr>
            <w:tcW w:w="5640" w:type="dxa"/>
            <w:tcBorders>
              <w:bottom w:val="single" w:sz="4" w:space="0" w:color="auto"/>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c>
          <w:tcPr>
            <w:tcW w:w="2160" w:type="dxa"/>
            <w:tcBorders>
              <w:left w:val="nil"/>
              <w:right w:val="nil"/>
            </w:tcBorders>
          </w:tcPr>
          <w:p w:rsidR="00836528" w:rsidRPr="00836528" w:rsidRDefault="00836528" w:rsidP="00836528">
            <w:pPr>
              <w:spacing w:after="200"/>
              <w:jc w:val="both"/>
              <w:rPr>
                <w:rFonts w:ascii="Calibri" w:eastAsia="Calibri" w:hAnsi="Calibri"/>
                <w:lang w:eastAsia="en-US"/>
              </w:rPr>
            </w:pPr>
          </w:p>
        </w:tc>
        <w:tc>
          <w:tcPr>
            <w:tcW w:w="5640" w:type="dxa"/>
            <w:tcBorders>
              <w:left w:val="nil"/>
              <w:right w:val="nil"/>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rPr>
          <w:trHeight w:hRule="exact" w:val="567"/>
        </w:trPr>
        <w:tc>
          <w:tcPr>
            <w:tcW w:w="2160" w:type="dxa"/>
            <w:tcBorders>
              <w:bottom w:val="single" w:sz="4" w:space="0" w:color="auto"/>
            </w:tcBorders>
          </w:tcPr>
          <w:p w:rsidR="00836528" w:rsidRPr="00836528" w:rsidRDefault="00836528" w:rsidP="00836528">
            <w:pPr>
              <w:spacing w:after="200"/>
              <w:jc w:val="both"/>
              <w:rPr>
                <w:rFonts w:ascii="Calibri" w:eastAsia="Calibri" w:hAnsi="Calibri"/>
                <w:lang w:eastAsia="en-US"/>
              </w:rPr>
            </w:pPr>
            <w:r w:rsidRPr="00836528">
              <w:rPr>
                <w:rFonts w:ascii="Calibri" w:eastAsia="Calibri" w:hAnsi="Calibri"/>
                <w:szCs w:val="22"/>
                <w:lang w:eastAsia="en-US"/>
              </w:rPr>
              <w:t>Author</w:t>
            </w:r>
          </w:p>
          <w:p w:rsidR="00836528" w:rsidRPr="00836528" w:rsidRDefault="00836528" w:rsidP="00836528">
            <w:pPr>
              <w:spacing w:after="200"/>
              <w:jc w:val="both"/>
              <w:rPr>
                <w:rFonts w:ascii="Calibri" w:eastAsia="Calibri" w:hAnsi="Calibri"/>
                <w:lang w:eastAsia="en-US"/>
              </w:rPr>
            </w:pPr>
          </w:p>
        </w:tc>
        <w:tc>
          <w:tcPr>
            <w:tcW w:w="5640" w:type="dxa"/>
            <w:tcBorders>
              <w:bottom w:val="single" w:sz="4" w:space="0" w:color="auto"/>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c>
          <w:tcPr>
            <w:tcW w:w="2160" w:type="dxa"/>
            <w:tcBorders>
              <w:left w:val="nil"/>
              <w:right w:val="nil"/>
            </w:tcBorders>
          </w:tcPr>
          <w:p w:rsidR="00836528" w:rsidRPr="00836528" w:rsidRDefault="00836528" w:rsidP="00836528">
            <w:pPr>
              <w:spacing w:after="200"/>
              <w:jc w:val="both"/>
              <w:rPr>
                <w:rFonts w:ascii="Calibri" w:eastAsia="Calibri" w:hAnsi="Calibri"/>
                <w:lang w:eastAsia="en-US"/>
              </w:rPr>
            </w:pPr>
          </w:p>
        </w:tc>
        <w:tc>
          <w:tcPr>
            <w:tcW w:w="5640" w:type="dxa"/>
            <w:tcBorders>
              <w:left w:val="nil"/>
              <w:right w:val="nil"/>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rPr>
          <w:trHeight w:hRule="exact" w:val="567"/>
        </w:trPr>
        <w:tc>
          <w:tcPr>
            <w:tcW w:w="2160" w:type="dxa"/>
            <w:tcBorders>
              <w:bottom w:val="single" w:sz="4" w:space="0" w:color="auto"/>
            </w:tcBorders>
          </w:tcPr>
          <w:p w:rsidR="00836528" w:rsidRPr="00836528" w:rsidRDefault="00836528" w:rsidP="00836528">
            <w:pPr>
              <w:spacing w:after="200"/>
              <w:jc w:val="both"/>
              <w:rPr>
                <w:rFonts w:ascii="Calibri" w:eastAsia="Calibri" w:hAnsi="Calibri"/>
                <w:lang w:eastAsia="en-US"/>
              </w:rPr>
            </w:pPr>
            <w:r w:rsidRPr="00836528">
              <w:rPr>
                <w:rFonts w:ascii="Calibri" w:eastAsia="Calibri" w:hAnsi="Calibri"/>
                <w:szCs w:val="22"/>
                <w:lang w:eastAsia="en-US"/>
              </w:rPr>
              <w:t>URN/ NICHE</w:t>
            </w:r>
          </w:p>
          <w:p w:rsidR="00836528" w:rsidRPr="00836528" w:rsidRDefault="00836528" w:rsidP="00836528">
            <w:pPr>
              <w:spacing w:after="200"/>
              <w:jc w:val="both"/>
              <w:rPr>
                <w:rFonts w:ascii="Calibri" w:eastAsia="Calibri" w:hAnsi="Calibri"/>
                <w:lang w:eastAsia="en-US"/>
              </w:rPr>
            </w:pPr>
          </w:p>
        </w:tc>
        <w:tc>
          <w:tcPr>
            <w:tcW w:w="5640" w:type="dxa"/>
            <w:tcBorders>
              <w:bottom w:val="single" w:sz="4" w:space="0" w:color="auto"/>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c>
          <w:tcPr>
            <w:tcW w:w="2160" w:type="dxa"/>
            <w:tcBorders>
              <w:left w:val="nil"/>
              <w:right w:val="nil"/>
            </w:tcBorders>
          </w:tcPr>
          <w:p w:rsidR="00836528" w:rsidRPr="00836528" w:rsidRDefault="00836528" w:rsidP="00836528">
            <w:pPr>
              <w:spacing w:after="200"/>
              <w:jc w:val="both"/>
              <w:rPr>
                <w:rFonts w:ascii="Calibri" w:eastAsia="Calibri" w:hAnsi="Calibri"/>
                <w:lang w:eastAsia="en-US"/>
              </w:rPr>
            </w:pPr>
          </w:p>
        </w:tc>
        <w:tc>
          <w:tcPr>
            <w:tcW w:w="5640" w:type="dxa"/>
            <w:tcBorders>
              <w:left w:val="nil"/>
              <w:right w:val="nil"/>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rPr>
          <w:trHeight w:hRule="exact" w:val="567"/>
        </w:trPr>
        <w:tc>
          <w:tcPr>
            <w:tcW w:w="2160" w:type="dxa"/>
            <w:tcBorders>
              <w:bottom w:val="single" w:sz="4" w:space="0" w:color="auto"/>
            </w:tcBorders>
          </w:tcPr>
          <w:p w:rsidR="00836528" w:rsidRPr="00836528" w:rsidRDefault="00836528" w:rsidP="00836528">
            <w:pPr>
              <w:spacing w:after="200"/>
              <w:jc w:val="both"/>
              <w:rPr>
                <w:rFonts w:ascii="Calibri" w:eastAsia="Calibri" w:hAnsi="Calibri"/>
                <w:lang w:eastAsia="en-US"/>
              </w:rPr>
            </w:pPr>
            <w:r w:rsidRPr="00836528">
              <w:rPr>
                <w:rFonts w:ascii="Calibri" w:eastAsia="Calibri" w:hAnsi="Calibri"/>
                <w:szCs w:val="22"/>
                <w:lang w:eastAsia="en-US"/>
              </w:rPr>
              <w:t>LPA</w:t>
            </w:r>
          </w:p>
          <w:p w:rsidR="00836528" w:rsidRPr="00836528" w:rsidRDefault="00836528" w:rsidP="00836528">
            <w:pPr>
              <w:spacing w:after="200"/>
              <w:jc w:val="both"/>
              <w:rPr>
                <w:rFonts w:ascii="Calibri" w:eastAsia="Calibri" w:hAnsi="Calibri"/>
                <w:lang w:eastAsia="en-US"/>
              </w:rPr>
            </w:pPr>
          </w:p>
        </w:tc>
        <w:tc>
          <w:tcPr>
            <w:tcW w:w="5640" w:type="dxa"/>
            <w:tcBorders>
              <w:bottom w:val="single" w:sz="4" w:space="0" w:color="auto"/>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c>
          <w:tcPr>
            <w:tcW w:w="2160" w:type="dxa"/>
            <w:tcBorders>
              <w:left w:val="nil"/>
              <w:right w:val="nil"/>
            </w:tcBorders>
          </w:tcPr>
          <w:p w:rsidR="00836528" w:rsidRPr="00836528" w:rsidRDefault="00836528" w:rsidP="00836528">
            <w:pPr>
              <w:spacing w:after="200"/>
              <w:jc w:val="both"/>
              <w:rPr>
                <w:rFonts w:ascii="Calibri" w:eastAsia="Calibri" w:hAnsi="Calibri"/>
                <w:lang w:eastAsia="en-US"/>
              </w:rPr>
            </w:pPr>
          </w:p>
        </w:tc>
        <w:tc>
          <w:tcPr>
            <w:tcW w:w="5640" w:type="dxa"/>
            <w:tcBorders>
              <w:left w:val="nil"/>
              <w:right w:val="nil"/>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rPr>
          <w:trHeight w:hRule="exact" w:val="567"/>
        </w:trPr>
        <w:tc>
          <w:tcPr>
            <w:tcW w:w="2160" w:type="dxa"/>
            <w:tcBorders>
              <w:bottom w:val="single" w:sz="4" w:space="0" w:color="auto"/>
            </w:tcBorders>
          </w:tcPr>
          <w:p w:rsidR="00836528" w:rsidRPr="00836528" w:rsidRDefault="00836528" w:rsidP="00836528">
            <w:pPr>
              <w:rPr>
                <w:rFonts w:ascii="Calibri" w:eastAsia="Calibri" w:hAnsi="Calibri"/>
                <w:lang w:eastAsia="en-US"/>
              </w:rPr>
            </w:pPr>
            <w:r w:rsidRPr="00836528">
              <w:rPr>
                <w:rFonts w:ascii="Calibri" w:eastAsia="Calibri" w:hAnsi="Calibri"/>
                <w:szCs w:val="22"/>
                <w:lang w:eastAsia="en-US"/>
              </w:rPr>
              <w:t xml:space="preserve">Subject of review </w:t>
            </w:r>
          </w:p>
          <w:p w:rsidR="00836528" w:rsidRPr="00836528" w:rsidRDefault="00836528" w:rsidP="00836528">
            <w:pPr>
              <w:rPr>
                <w:rFonts w:ascii="Calibri" w:eastAsia="Calibri" w:hAnsi="Calibri"/>
                <w:lang w:eastAsia="en-US"/>
              </w:rPr>
            </w:pPr>
            <w:r w:rsidRPr="00836528">
              <w:rPr>
                <w:rFonts w:ascii="Calibri" w:eastAsia="Calibri" w:hAnsi="Calibri"/>
                <w:szCs w:val="22"/>
                <w:lang w:eastAsia="en-US"/>
              </w:rPr>
              <w:t>(include address)</w:t>
            </w:r>
          </w:p>
          <w:p w:rsidR="00836528" w:rsidRPr="00836528" w:rsidRDefault="00836528" w:rsidP="00836528">
            <w:pPr>
              <w:spacing w:after="200"/>
              <w:jc w:val="both"/>
              <w:rPr>
                <w:rFonts w:ascii="Calibri" w:eastAsia="Calibri" w:hAnsi="Calibri"/>
                <w:lang w:eastAsia="en-US"/>
              </w:rPr>
            </w:pPr>
          </w:p>
        </w:tc>
        <w:tc>
          <w:tcPr>
            <w:tcW w:w="5640" w:type="dxa"/>
            <w:tcBorders>
              <w:bottom w:val="single" w:sz="4" w:space="0" w:color="auto"/>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c>
          <w:tcPr>
            <w:tcW w:w="2160" w:type="dxa"/>
            <w:tcBorders>
              <w:left w:val="nil"/>
              <w:right w:val="nil"/>
            </w:tcBorders>
          </w:tcPr>
          <w:p w:rsidR="00836528" w:rsidRPr="00836528" w:rsidRDefault="00836528" w:rsidP="00836528">
            <w:pPr>
              <w:spacing w:after="200"/>
              <w:jc w:val="both"/>
              <w:rPr>
                <w:rFonts w:ascii="Calibri" w:eastAsia="Calibri" w:hAnsi="Calibri"/>
                <w:lang w:eastAsia="en-US"/>
              </w:rPr>
            </w:pPr>
          </w:p>
        </w:tc>
        <w:tc>
          <w:tcPr>
            <w:tcW w:w="5640" w:type="dxa"/>
            <w:tcBorders>
              <w:left w:val="nil"/>
              <w:right w:val="nil"/>
            </w:tcBorders>
          </w:tcPr>
          <w:p w:rsidR="00836528" w:rsidRPr="00836528" w:rsidRDefault="00836528" w:rsidP="00836528">
            <w:pPr>
              <w:spacing w:after="200"/>
              <w:jc w:val="center"/>
              <w:rPr>
                <w:rFonts w:ascii="Calibri" w:eastAsia="Calibri" w:hAnsi="Calibri"/>
                <w:lang w:eastAsia="en-US"/>
              </w:rPr>
            </w:pPr>
          </w:p>
        </w:tc>
      </w:tr>
      <w:tr w:rsidR="00836528" w:rsidRPr="00836528" w:rsidTr="009E3773">
        <w:trPr>
          <w:trHeight w:hRule="exact" w:val="542"/>
        </w:trPr>
        <w:tc>
          <w:tcPr>
            <w:tcW w:w="2160" w:type="dxa"/>
          </w:tcPr>
          <w:p w:rsidR="00836528" w:rsidRPr="00836528" w:rsidRDefault="00836528" w:rsidP="00836528">
            <w:pPr>
              <w:spacing w:after="200"/>
              <w:rPr>
                <w:rFonts w:ascii="Calibri" w:eastAsia="Calibri" w:hAnsi="Calibri"/>
                <w:lang w:eastAsia="en-US"/>
              </w:rPr>
            </w:pPr>
            <w:r w:rsidRPr="00836528">
              <w:rPr>
                <w:rFonts w:ascii="Calibri" w:eastAsia="Calibri" w:hAnsi="Calibri"/>
                <w:szCs w:val="22"/>
                <w:lang w:eastAsia="en-US"/>
              </w:rPr>
              <w:t>SIO/OIC</w:t>
            </w:r>
          </w:p>
        </w:tc>
        <w:tc>
          <w:tcPr>
            <w:tcW w:w="5640" w:type="dxa"/>
          </w:tcPr>
          <w:p w:rsidR="00836528" w:rsidRPr="00836528" w:rsidRDefault="00836528" w:rsidP="00836528">
            <w:pPr>
              <w:spacing w:after="200"/>
              <w:jc w:val="center"/>
              <w:rPr>
                <w:rFonts w:ascii="Calibri" w:eastAsia="Calibri" w:hAnsi="Calibri"/>
                <w:lang w:eastAsia="en-US"/>
              </w:rPr>
            </w:pPr>
          </w:p>
        </w:tc>
      </w:tr>
    </w:tbl>
    <w:p w:rsidR="00836528" w:rsidRPr="00836528" w:rsidRDefault="00836528" w:rsidP="00836528">
      <w:pPr>
        <w:spacing w:after="200"/>
        <w:rPr>
          <w:rFonts w:ascii="Arial" w:eastAsia="Calibri" w:hAnsi="Arial"/>
          <w:szCs w:val="22"/>
          <w:lang w:eastAsia="en-US"/>
        </w:rPr>
      </w:pPr>
    </w:p>
    <w:p w:rsidR="00836528" w:rsidRPr="00836528" w:rsidRDefault="00836528" w:rsidP="00836528">
      <w:pPr>
        <w:spacing w:after="200"/>
        <w:jc w:val="center"/>
        <w:rPr>
          <w:rFonts w:ascii="Arial" w:eastAsia="Calibri" w:hAnsi="Arial"/>
          <w:szCs w:val="22"/>
          <w:lang w:eastAsia="en-US"/>
        </w:rPr>
      </w:pPr>
    </w:p>
    <w:p w:rsidR="00836528" w:rsidRPr="00836528" w:rsidRDefault="00836528" w:rsidP="00836528">
      <w:pPr>
        <w:spacing w:after="200"/>
        <w:jc w:val="center"/>
        <w:rPr>
          <w:rFonts w:ascii="Calibri" w:eastAsia="Calibri" w:hAnsi="Calibri"/>
          <w:b/>
          <w:sz w:val="28"/>
          <w:szCs w:val="28"/>
          <w:u w:val="single"/>
          <w:lang w:eastAsia="en-US"/>
        </w:rPr>
      </w:pPr>
      <w:r w:rsidRPr="00836528">
        <w:rPr>
          <w:rFonts w:ascii="Calibri" w:eastAsia="Calibri" w:hAnsi="Calibri"/>
          <w:b/>
          <w:sz w:val="28"/>
          <w:szCs w:val="28"/>
          <w:u w:val="single"/>
          <w:lang w:eastAsia="en-US"/>
        </w:rPr>
        <w:t>Circumstances</w:t>
      </w:r>
    </w:p>
    <w:p w:rsidR="00836528" w:rsidRPr="00836528" w:rsidRDefault="00836528" w:rsidP="00836528">
      <w:pPr>
        <w:spacing w:after="200"/>
        <w:jc w:val="center"/>
        <w:rPr>
          <w:rFonts w:ascii="Calibri" w:eastAsia="Calibri" w:hAnsi="Calibri"/>
          <w:b/>
          <w:sz w:val="28"/>
          <w:szCs w:val="28"/>
          <w:u w:val="single"/>
          <w:lang w:eastAsia="en-US"/>
        </w:rPr>
      </w:pPr>
    </w:p>
    <w:p w:rsidR="00836528" w:rsidRPr="00836528" w:rsidRDefault="00836528" w:rsidP="00836528">
      <w:pPr>
        <w:spacing w:after="200"/>
        <w:rPr>
          <w:rFonts w:ascii="Calibri" w:eastAsia="Calibri" w:hAnsi="Calibri"/>
          <w:b/>
          <w:lang w:eastAsia="en-US"/>
        </w:rPr>
      </w:pPr>
      <w:r w:rsidRPr="00836528">
        <w:rPr>
          <w:rFonts w:ascii="Calibri" w:eastAsia="Calibri" w:hAnsi="Calibri"/>
          <w:b/>
          <w:lang w:eastAsia="en-US"/>
        </w:rPr>
        <w:t>Family Structure: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991"/>
        <w:gridCol w:w="2126"/>
        <w:gridCol w:w="1559"/>
        <w:gridCol w:w="2755"/>
      </w:tblGrid>
      <w:tr w:rsidR="00836528" w:rsidRPr="00836528" w:rsidTr="009E3773">
        <w:tc>
          <w:tcPr>
            <w:tcW w:w="1811" w:type="dxa"/>
          </w:tcPr>
          <w:p w:rsidR="00836528" w:rsidRPr="00836528" w:rsidRDefault="00836528" w:rsidP="00836528">
            <w:pPr>
              <w:rPr>
                <w:rFonts w:ascii="Calibri" w:eastAsia="Calibri" w:hAnsi="Calibri" w:cs="Arial"/>
                <w:b/>
                <w:lang w:eastAsia="en-US"/>
              </w:rPr>
            </w:pPr>
            <w:r w:rsidRPr="00836528">
              <w:rPr>
                <w:rFonts w:ascii="Calibri" w:eastAsia="Calibri" w:hAnsi="Calibri" w:cs="Arial"/>
                <w:b/>
                <w:lang w:eastAsia="en-US"/>
              </w:rPr>
              <w:t xml:space="preserve">Name </w:t>
            </w:r>
          </w:p>
        </w:tc>
        <w:tc>
          <w:tcPr>
            <w:tcW w:w="991" w:type="dxa"/>
          </w:tcPr>
          <w:p w:rsidR="00836528" w:rsidRPr="00836528" w:rsidRDefault="00836528" w:rsidP="00836528">
            <w:pPr>
              <w:rPr>
                <w:rFonts w:ascii="Calibri" w:eastAsia="Calibri" w:hAnsi="Calibri" w:cs="Arial"/>
                <w:b/>
                <w:lang w:eastAsia="en-US"/>
              </w:rPr>
            </w:pPr>
            <w:r w:rsidRPr="00836528">
              <w:rPr>
                <w:rFonts w:ascii="Calibri" w:eastAsia="Calibri" w:hAnsi="Calibri" w:cs="Arial"/>
                <w:b/>
                <w:lang w:eastAsia="en-US"/>
              </w:rPr>
              <w:t xml:space="preserve">Gender </w:t>
            </w:r>
          </w:p>
        </w:tc>
        <w:tc>
          <w:tcPr>
            <w:tcW w:w="2126" w:type="dxa"/>
          </w:tcPr>
          <w:p w:rsidR="00836528" w:rsidRPr="00836528" w:rsidRDefault="00836528" w:rsidP="00836528">
            <w:pPr>
              <w:rPr>
                <w:rFonts w:ascii="Calibri" w:eastAsia="Calibri" w:hAnsi="Calibri" w:cs="Arial"/>
                <w:b/>
                <w:lang w:eastAsia="en-US"/>
              </w:rPr>
            </w:pPr>
            <w:r w:rsidRPr="00836528">
              <w:rPr>
                <w:rFonts w:ascii="Calibri" w:eastAsia="Calibri" w:hAnsi="Calibri" w:cs="Arial"/>
                <w:b/>
                <w:lang w:eastAsia="en-US"/>
              </w:rPr>
              <w:t xml:space="preserve">Relationship </w:t>
            </w:r>
          </w:p>
        </w:tc>
        <w:tc>
          <w:tcPr>
            <w:tcW w:w="1559" w:type="dxa"/>
          </w:tcPr>
          <w:p w:rsidR="00836528" w:rsidRPr="00836528" w:rsidRDefault="00836528" w:rsidP="00836528">
            <w:pPr>
              <w:rPr>
                <w:rFonts w:ascii="Calibri" w:eastAsia="Calibri" w:hAnsi="Calibri" w:cs="Arial"/>
                <w:b/>
                <w:lang w:eastAsia="en-US"/>
              </w:rPr>
            </w:pPr>
            <w:r w:rsidRPr="00836528">
              <w:rPr>
                <w:rFonts w:ascii="Calibri" w:eastAsia="Calibri" w:hAnsi="Calibri" w:cs="Arial"/>
                <w:b/>
                <w:lang w:eastAsia="en-US"/>
              </w:rPr>
              <w:t>Date of birth</w:t>
            </w:r>
          </w:p>
        </w:tc>
        <w:tc>
          <w:tcPr>
            <w:tcW w:w="2755" w:type="dxa"/>
          </w:tcPr>
          <w:p w:rsidR="00836528" w:rsidRPr="00836528" w:rsidRDefault="00836528" w:rsidP="00836528">
            <w:pPr>
              <w:rPr>
                <w:rFonts w:ascii="Calibri" w:eastAsia="Calibri" w:hAnsi="Calibri" w:cs="Arial"/>
                <w:b/>
                <w:lang w:eastAsia="en-US"/>
              </w:rPr>
            </w:pPr>
            <w:r w:rsidRPr="00836528">
              <w:rPr>
                <w:rFonts w:ascii="Calibri" w:eastAsia="Calibri" w:hAnsi="Calibri" w:cs="Arial"/>
                <w:b/>
                <w:lang w:eastAsia="en-US"/>
              </w:rPr>
              <w:t>Address</w:t>
            </w: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r w:rsidRPr="00836528">
              <w:rPr>
                <w:rFonts w:ascii="Calibri" w:eastAsia="Calibri" w:hAnsi="Calibri" w:cs="Arial"/>
                <w:lang w:eastAsia="en-US"/>
              </w:rPr>
              <w:t>Subject of review</w:t>
            </w: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lang w:eastAsia="en-US"/>
              </w:rPr>
            </w:pP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color w:val="8064A2"/>
                <w:lang w:eastAsia="en-US"/>
              </w:rPr>
            </w:pP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color w:val="8064A2"/>
                <w:lang w:eastAsia="en-US"/>
              </w:rPr>
            </w:pP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color w:val="8064A2"/>
                <w:lang w:eastAsia="en-US"/>
              </w:rPr>
            </w:pP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lang w:eastAsia="en-US"/>
              </w:rPr>
            </w:pPr>
          </w:p>
        </w:tc>
      </w:tr>
      <w:tr w:rsidR="00836528" w:rsidRPr="00836528" w:rsidTr="009E3773">
        <w:tc>
          <w:tcPr>
            <w:tcW w:w="1811" w:type="dxa"/>
          </w:tcPr>
          <w:p w:rsidR="00836528" w:rsidRPr="00836528" w:rsidRDefault="00836528" w:rsidP="00836528">
            <w:pPr>
              <w:rPr>
                <w:rFonts w:ascii="Calibri" w:eastAsia="Calibri" w:hAnsi="Calibri" w:cs="Arial"/>
                <w:lang w:eastAsia="en-US"/>
              </w:rPr>
            </w:pPr>
          </w:p>
        </w:tc>
        <w:tc>
          <w:tcPr>
            <w:tcW w:w="991" w:type="dxa"/>
          </w:tcPr>
          <w:p w:rsidR="00836528" w:rsidRPr="00836528" w:rsidRDefault="00836528" w:rsidP="00836528">
            <w:pPr>
              <w:rPr>
                <w:rFonts w:ascii="Calibri" w:eastAsia="Calibri" w:hAnsi="Calibri" w:cs="Arial"/>
                <w:lang w:eastAsia="en-US"/>
              </w:rPr>
            </w:pPr>
          </w:p>
        </w:tc>
        <w:tc>
          <w:tcPr>
            <w:tcW w:w="2126" w:type="dxa"/>
          </w:tcPr>
          <w:p w:rsidR="00836528" w:rsidRPr="00836528" w:rsidRDefault="00836528" w:rsidP="00836528">
            <w:pPr>
              <w:rPr>
                <w:rFonts w:ascii="Calibri" w:eastAsia="Calibri" w:hAnsi="Calibri" w:cs="Arial"/>
                <w:lang w:eastAsia="en-US"/>
              </w:rPr>
            </w:pPr>
          </w:p>
        </w:tc>
        <w:tc>
          <w:tcPr>
            <w:tcW w:w="1559" w:type="dxa"/>
          </w:tcPr>
          <w:p w:rsidR="00836528" w:rsidRPr="00836528" w:rsidRDefault="00836528" w:rsidP="00836528">
            <w:pPr>
              <w:rPr>
                <w:rFonts w:ascii="Calibri" w:eastAsia="Calibri" w:hAnsi="Calibri" w:cs="Arial"/>
                <w:lang w:eastAsia="en-US"/>
              </w:rPr>
            </w:pPr>
          </w:p>
        </w:tc>
        <w:tc>
          <w:tcPr>
            <w:tcW w:w="2755" w:type="dxa"/>
          </w:tcPr>
          <w:p w:rsidR="00836528" w:rsidRPr="00836528" w:rsidRDefault="00836528" w:rsidP="00836528">
            <w:pPr>
              <w:rPr>
                <w:rFonts w:ascii="Calibri" w:eastAsia="Calibri" w:hAnsi="Calibri" w:cs="Arial"/>
                <w:lang w:eastAsia="en-US"/>
              </w:rPr>
            </w:pPr>
          </w:p>
        </w:tc>
      </w:tr>
    </w:tbl>
    <w:p w:rsidR="00836528" w:rsidRPr="00836528" w:rsidRDefault="00836528" w:rsidP="00836528">
      <w:pPr>
        <w:spacing w:after="200"/>
        <w:rPr>
          <w:rFonts w:ascii="Calibri" w:eastAsia="Calibri" w:hAnsi="Calibri"/>
          <w:b/>
          <w:sz w:val="28"/>
          <w:szCs w:val="28"/>
          <w:u w:val="single"/>
          <w:lang w:eastAsia="en-US"/>
        </w:rPr>
      </w:pPr>
    </w:p>
    <w:p w:rsidR="00836528" w:rsidRPr="00836528" w:rsidRDefault="00836528" w:rsidP="00836528">
      <w:pPr>
        <w:spacing w:after="200"/>
        <w:rPr>
          <w:rFonts w:ascii="Calibri" w:eastAsia="Calibri" w:hAnsi="Calibri"/>
          <w:i/>
          <w:lang w:eastAsia="en-US"/>
        </w:rPr>
      </w:pPr>
      <w:r w:rsidRPr="00836528">
        <w:rPr>
          <w:rFonts w:ascii="Calibri" w:eastAsia="Calibri" w:hAnsi="Calibri"/>
          <w:i/>
          <w:lang w:eastAsia="en-US"/>
        </w:rPr>
        <w:t>Include a brief summary of the incident which has triggered the need for this document.</w:t>
      </w:r>
    </w:p>
    <w:p w:rsidR="00836528" w:rsidRPr="00836528" w:rsidRDefault="00836528" w:rsidP="00836528">
      <w:pPr>
        <w:spacing w:after="200"/>
        <w:rPr>
          <w:rFonts w:ascii="Calibri" w:eastAsia="Calibri" w:hAnsi="Calibri"/>
          <w:i/>
          <w:lang w:eastAsia="en-US"/>
        </w:rPr>
      </w:pPr>
      <w:r w:rsidRPr="00836528">
        <w:rPr>
          <w:rFonts w:ascii="Calibri" w:eastAsia="Calibri" w:hAnsi="Calibri"/>
          <w:i/>
          <w:lang w:eastAsia="en-US"/>
        </w:rPr>
        <w:t>Include any warning markers on PNC.</w:t>
      </w:r>
    </w:p>
    <w:p w:rsidR="00836528" w:rsidRPr="00836528" w:rsidRDefault="00836528" w:rsidP="00836528">
      <w:pPr>
        <w:spacing w:after="200"/>
        <w:rPr>
          <w:rFonts w:ascii="Calibri" w:eastAsia="Calibri" w:hAnsi="Calibri"/>
          <w:i/>
          <w:lang w:eastAsia="en-US"/>
        </w:rPr>
      </w:pPr>
      <w:r w:rsidRPr="00836528">
        <w:rPr>
          <w:rFonts w:ascii="Calibri" w:eastAsia="Calibri" w:hAnsi="Calibri"/>
          <w:i/>
          <w:lang w:eastAsia="en-US"/>
        </w:rPr>
        <w:t>Include any PND results which indicate a need for the LSCB/CSP to make contact with other force areas.</w:t>
      </w:r>
    </w:p>
    <w:p w:rsidR="00836528" w:rsidRDefault="00836528" w:rsidP="00836528">
      <w:pPr>
        <w:spacing w:after="200"/>
        <w:rPr>
          <w:rFonts w:ascii="Calibri" w:eastAsia="Calibri" w:hAnsi="Calibri"/>
          <w:i/>
          <w:lang w:eastAsia="en-US"/>
        </w:rPr>
      </w:pPr>
    </w:p>
    <w:p w:rsidR="00836528" w:rsidRPr="00836528" w:rsidRDefault="00836528" w:rsidP="00836528">
      <w:pPr>
        <w:spacing w:after="200"/>
        <w:rPr>
          <w:rFonts w:ascii="Calibri" w:eastAsia="Calibri" w:hAnsi="Calibri"/>
          <w: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221"/>
        <w:gridCol w:w="1272"/>
        <w:gridCol w:w="2215"/>
        <w:gridCol w:w="2020"/>
        <w:gridCol w:w="1661"/>
      </w:tblGrid>
      <w:tr w:rsidR="00836528" w:rsidRPr="00836528" w:rsidTr="009E3773">
        <w:trPr>
          <w:tblHeader/>
        </w:trPr>
        <w:tc>
          <w:tcPr>
            <w:tcW w:w="853"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Date</w:t>
            </w:r>
          </w:p>
        </w:tc>
        <w:tc>
          <w:tcPr>
            <w:tcW w:w="1221"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Person</w:t>
            </w:r>
          </w:p>
        </w:tc>
        <w:tc>
          <w:tcPr>
            <w:tcW w:w="1272"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Source</w:t>
            </w:r>
          </w:p>
        </w:tc>
        <w:tc>
          <w:tcPr>
            <w:tcW w:w="2215"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Event description</w:t>
            </w:r>
          </w:p>
        </w:tc>
        <w:tc>
          <w:tcPr>
            <w:tcW w:w="2020"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Actions</w:t>
            </w:r>
          </w:p>
        </w:tc>
        <w:tc>
          <w:tcPr>
            <w:tcW w:w="1661" w:type="dxa"/>
            <w:shd w:val="clear" w:color="auto" w:fill="D9D9D9"/>
          </w:tcPr>
          <w:p w:rsidR="00836528" w:rsidRPr="00836528" w:rsidRDefault="00836528" w:rsidP="00836528">
            <w:pPr>
              <w:rPr>
                <w:rFonts w:ascii="Calibri" w:eastAsia="Calibri" w:hAnsi="Calibri"/>
                <w:b/>
                <w:lang w:eastAsia="en-US"/>
              </w:rPr>
            </w:pPr>
            <w:r w:rsidRPr="00836528">
              <w:rPr>
                <w:rFonts w:ascii="Calibri" w:eastAsia="Calibri" w:hAnsi="Calibri"/>
                <w:b/>
                <w:lang w:eastAsia="en-US"/>
              </w:rPr>
              <w:t>Comment</w:t>
            </w: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r w:rsidR="00836528" w:rsidRPr="00836528" w:rsidTr="009E3773">
        <w:tc>
          <w:tcPr>
            <w:tcW w:w="853" w:type="dxa"/>
          </w:tcPr>
          <w:p w:rsidR="00836528" w:rsidRPr="00836528" w:rsidRDefault="00836528" w:rsidP="00836528">
            <w:pPr>
              <w:rPr>
                <w:rFonts w:ascii="Calibri" w:eastAsia="Calibri" w:hAnsi="Calibri"/>
                <w:lang w:eastAsia="en-US"/>
              </w:rPr>
            </w:pPr>
          </w:p>
        </w:tc>
        <w:tc>
          <w:tcPr>
            <w:tcW w:w="1221" w:type="dxa"/>
          </w:tcPr>
          <w:p w:rsidR="00836528" w:rsidRPr="00836528" w:rsidRDefault="00836528" w:rsidP="00836528">
            <w:pPr>
              <w:rPr>
                <w:rFonts w:ascii="Calibri" w:eastAsia="Calibri" w:hAnsi="Calibri"/>
                <w:lang w:eastAsia="en-US"/>
              </w:rPr>
            </w:pPr>
          </w:p>
        </w:tc>
        <w:tc>
          <w:tcPr>
            <w:tcW w:w="1272" w:type="dxa"/>
          </w:tcPr>
          <w:p w:rsidR="00836528" w:rsidRPr="00836528" w:rsidRDefault="00836528" w:rsidP="00836528">
            <w:pPr>
              <w:rPr>
                <w:rFonts w:ascii="Calibri" w:eastAsia="Calibri" w:hAnsi="Calibri"/>
                <w:lang w:eastAsia="en-US"/>
              </w:rPr>
            </w:pPr>
          </w:p>
        </w:tc>
        <w:tc>
          <w:tcPr>
            <w:tcW w:w="2215" w:type="dxa"/>
          </w:tcPr>
          <w:p w:rsidR="00836528" w:rsidRPr="00836528" w:rsidRDefault="00836528" w:rsidP="00836528">
            <w:pPr>
              <w:rPr>
                <w:rFonts w:ascii="Calibri" w:eastAsia="Calibri" w:hAnsi="Calibri"/>
                <w:lang w:eastAsia="en-US"/>
              </w:rPr>
            </w:pPr>
          </w:p>
        </w:tc>
        <w:tc>
          <w:tcPr>
            <w:tcW w:w="2020" w:type="dxa"/>
          </w:tcPr>
          <w:p w:rsidR="00836528" w:rsidRPr="00836528" w:rsidRDefault="00836528" w:rsidP="00836528">
            <w:pPr>
              <w:rPr>
                <w:rFonts w:ascii="Calibri" w:eastAsia="Calibri" w:hAnsi="Calibri"/>
                <w:lang w:eastAsia="en-US"/>
              </w:rPr>
            </w:pPr>
          </w:p>
        </w:tc>
        <w:tc>
          <w:tcPr>
            <w:tcW w:w="1661" w:type="dxa"/>
          </w:tcPr>
          <w:p w:rsidR="00836528" w:rsidRPr="00836528" w:rsidRDefault="00836528" w:rsidP="00836528">
            <w:pPr>
              <w:rPr>
                <w:rFonts w:ascii="Calibri" w:eastAsia="Calibri" w:hAnsi="Calibri"/>
                <w:lang w:eastAsia="en-US"/>
              </w:rPr>
            </w:pPr>
          </w:p>
        </w:tc>
      </w:tr>
    </w:tbl>
    <w:p w:rsidR="00836528" w:rsidRDefault="00836528" w:rsidP="00836528">
      <w:pPr>
        <w:spacing w:after="200"/>
        <w:rPr>
          <w:rFonts w:ascii="Calibri" w:eastAsia="Calibri" w:hAnsi="Calibri"/>
          <w:i/>
          <w:lang w:eastAsia="en-US"/>
        </w:rPr>
      </w:pPr>
    </w:p>
    <w:p w:rsidR="00836528" w:rsidRDefault="00836528" w:rsidP="00836528">
      <w:pPr>
        <w:spacing w:after="200"/>
        <w:rPr>
          <w:rFonts w:ascii="Calibri" w:eastAsia="Calibri" w:hAnsi="Calibri"/>
          <w:i/>
          <w:lang w:eastAsia="en-US"/>
        </w:rPr>
      </w:pPr>
    </w:p>
    <w:p w:rsidR="00836528" w:rsidRPr="00836528" w:rsidRDefault="00836528" w:rsidP="00836528">
      <w:pPr>
        <w:spacing w:after="200"/>
        <w:rPr>
          <w:rFonts w:ascii="Calibri" w:eastAsia="Calibri" w:hAnsi="Calibri"/>
          <w:i/>
          <w:lang w:eastAsia="en-US"/>
        </w:rPr>
      </w:pPr>
    </w:p>
    <w:p w:rsidR="00836528" w:rsidRPr="00836528" w:rsidRDefault="00836528" w:rsidP="00836528">
      <w:pPr>
        <w:spacing w:after="200"/>
        <w:jc w:val="center"/>
        <w:rPr>
          <w:rFonts w:ascii="Calibri" w:eastAsia="Calibri" w:hAnsi="Calibri"/>
          <w:b/>
          <w:sz w:val="28"/>
          <w:szCs w:val="28"/>
          <w:u w:val="single"/>
          <w:lang w:eastAsia="en-US"/>
        </w:rPr>
      </w:pPr>
      <w:r w:rsidRPr="00836528">
        <w:rPr>
          <w:rFonts w:ascii="Calibri" w:eastAsia="Calibri" w:hAnsi="Calibri"/>
          <w:b/>
          <w:sz w:val="28"/>
          <w:szCs w:val="28"/>
          <w:u w:val="single"/>
          <w:lang w:eastAsia="en-US"/>
        </w:rPr>
        <w:t>Preliminary findings</w:t>
      </w:r>
    </w:p>
    <w:p w:rsidR="00836528" w:rsidRPr="00836528" w:rsidRDefault="00836528" w:rsidP="00836528">
      <w:pPr>
        <w:spacing w:after="200"/>
        <w:rPr>
          <w:rFonts w:ascii="Calibri" w:eastAsia="Calibri" w:hAnsi="Calibri"/>
          <w:i/>
          <w:lang w:eastAsia="en-US"/>
        </w:rPr>
      </w:pPr>
      <w:r w:rsidRPr="00836528">
        <w:rPr>
          <w:rFonts w:ascii="Calibri" w:eastAsia="Calibri" w:hAnsi="Calibri"/>
          <w:i/>
          <w:lang w:eastAsia="en-US"/>
        </w:rPr>
        <w:t xml:space="preserve">Indicate any areas which on initial inspection suggest that there will be learning for Thames Valley Police or suggest a level of criticality. </w:t>
      </w:r>
    </w:p>
    <w:p w:rsidR="00836528" w:rsidRPr="00836528" w:rsidRDefault="00836528" w:rsidP="00836528">
      <w:pPr>
        <w:spacing w:after="200"/>
        <w:rPr>
          <w:rFonts w:ascii="Arial" w:eastAsia="Calibri" w:hAnsi="Arial"/>
          <w:szCs w:val="22"/>
          <w:lang w:eastAsia="en-US"/>
        </w:rPr>
      </w:pPr>
    </w:p>
    <w:p w:rsidR="00836528" w:rsidRDefault="00836528" w:rsidP="00854406">
      <w:pPr>
        <w:pStyle w:val="Default"/>
        <w:rPr>
          <w:rFonts w:cstheme="minorBidi"/>
          <w:color w:val="auto"/>
        </w:rPr>
      </w:pPr>
    </w:p>
    <w:p w:rsidR="00836528" w:rsidRDefault="00836528" w:rsidP="00854406">
      <w:pPr>
        <w:pStyle w:val="Default"/>
        <w:rPr>
          <w:rFonts w:cstheme="minorBidi"/>
          <w:color w:val="auto"/>
        </w:rPr>
      </w:pPr>
    </w:p>
    <w:sectPr w:rsidR="00836528" w:rsidSect="00DB6808">
      <w:headerReference w:type="even" r:id="rId13"/>
      <w:headerReference w:type="default" r:id="rId14"/>
      <w:footerReference w:type="even" r:id="rId15"/>
      <w:footerReference w:type="default" r:id="rId16"/>
      <w:headerReference w:type="first" r:id="rId17"/>
      <w:footerReference w:type="first" r:id="rId18"/>
      <w:pgSz w:w="11906" w:h="17338"/>
      <w:pgMar w:top="928" w:right="1440" w:bottom="428"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DE7" w:rsidRDefault="00817DE7" w:rsidP="00C6607F">
      <w:r>
        <w:separator/>
      </w:r>
    </w:p>
  </w:endnote>
  <w:endnote w:type="continuationSeparator" w:id="0">
    <w:p w:rsidR="00817DE7" w:rsidRDefault="00817DE7" w:rsidP="00C6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9E" w:rsidRDefault="00234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69" w:rsidRPr="003E0069" w:rsidRDefault="003E0069">
    <w:pPr>
      <w:pStyle w:val="Footer"/>
      <w:rPr>
        <w:rFonts w:asciiTheme="minorHAnsi" w:hAnsiTheme="minorHAnsi"/>
        <w:sz w:val="18"/>
        <w:szCs w:val="18"/>
      </w:rPr>
    </w:pPr>
    <w:r w:rsidRPr="003E0069">
      <w:rPr>
        <w:rFonts w:asciiTheme="minorHAnsi" w:hAnsiTheme="minorHAnsi"/>
        <w:sz w:val="18"/>
        <w:szCs w:val="18"/>
      </w:rPr>
      <w:t xml:space="preserve">Safeguarding Adults Review Panel </w:t>
    </w:r>
    <w:r>
      <w:rPr>
        <w:rFonts w:asciiTheme="minorHAnsi" w:hAnsiTheme="minorHAnsi"/>
        <w:sz w:val="18"/>
        <w:szCs w:val="18"/>
      </w:rPr>
      <w:t>Terms of</w:t>
    </w:r>
    <w:r w:rsidRPr="003E0069">
      <w:rPr>
        <w:rFonts w:asciiTheme="minorHAnsi" w:hAnsiTheme="minorHAnsi"/>
        <w:sz w:val="18"/>
        <w:szCs w:val="18"/>
      </w:rPr>
      <w:t xml:space="preserve"> Reference </w:t>
    </w:r>
    <w:r>
      <w:rPr>
        <w:rFonts w:asciiTheme="minorHAnsi" w:hAnsiTheme="minorHAnsi"/>
        <w:sz w:val="18"/>
        <w:szCs w:val="18"/>
      </w:rPr>
      <w:t>– Review Date April 2018</w:t>
    </w:r>
  </w:p>
  <w:p w:rsidR="00C6607F" w:rsidRDefault="00C660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9E" w:rsidRDefault="00234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DE7" w:rsidRDefault="00817DE7" w:rsidP="00C6607F">
      <w:r>
        <w:separator/>
      </w:r>
    </w:p>
  </w:footnote>
  <w:footnote w:type="continuationSeparator" w:id="0">
    <w:p w:rsidR="00817DE7" w:rsidRDefault="00817DE7" w:rsidP="00C66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9E" w:rsidRDefault="002340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9E" w:rsidRDefault="002340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09E" w:rsidRDefault="00234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4C85"/>
    <w:multiLevelType w:val="hybridMultilevel"/>
    <w:tmpl w:val="6CDCCAC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
    <w:nsid w:val="196E52BC"/>
    <w:multiLevelType w:val="hybridMultilevel"/>
    <w:tmpl w:val="894A7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6942D5"/>
    <w:multiLevelType w:val="hybridMultilevel"/>
    <w:tmpl w:val="6798B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9975EB"/>
    <w:multiLevelType w:val="hybridMultilevel"/>
    <w:tmpl w:val="1168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C132D4"/>
    <w:multiLevelType w:val="hybridMultilevel"/>
    <w:tmpl w:val="5B2E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27091"/>
    <w:multiLevelType w:val="hybridMultilevel"/>
    <w:tmpl w:val="A8F4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960773"/>
    <w:multiLevelType w:val="hybridMultilevel"/>
    <w:tmpl w:val="0784A3FE"/>
    <w:lvl w:ilvl="0" w:tplc="08090013">
      <w:start w:val="1"/>
      <w:numFmt w:val="upperRoman"/>
      <w:lvlText w:val="%1."/>
      <w:lvlJc w:val="right"/>
      <w:pPr>
        <w:tabs>
          <w:tab w:val="num" w:pos="1440"/>
        </w:tabs>
        <w:ind w:left="1440" w:hanging="18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nsid w:val="71244E6F"/>
    <w:multiLevelType w:val="hybridMultilevel"/>
    <w:tmpl w:val="837CD482"/>
    <w:lvl w:ilvl="0" w:tplc="C166EE0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8A3258"/>
    <w:rsid w:val="00005021"/>
    <w:rsid w:val="0001059C"/>
    <w:rsid w:val="000250D6"/>
    <w:rsid w:val="00030825"/>
    <w:rsid w:val="00070B01"/>
    <w:rsid w:val="000B0C03"/>
    <w:rsid w:val="000E461C"/>
    <w:rsid w:val="000F0196"/>
    <w:rsid w:val="0017149E"/>
    <w:rsid w:val="0018606D"/>
    <w:rsid w:val="001E1CA4"/>
    <w:rsid w:val="001E7AE6"/>
    <w:rsid w:val="00207551"/>
    <w:rsid w:val="00225DFD"/>
    <w:rsid w:val="00226E36"/>
    <w:rsid w:val="0023409E"/>
    <w:rsid w:val="00244498"/>
    <w:rsid w:val="002515BE"/>
    <w:rsid w:val="00260DDB"/>
    <w:rsid w:val="002939FB"/>
    <w:rsid w:val="00293EDD"/>
    <w:rsid w:val="002A63E2"/>
    <w:rsid w:val="002E7CBC"/>
    <w:rsid w:val="002F4FEE"/>
    <w:rsid w:val="00332587"/>
    <w:rsid w:val="00332D91"/>
    <w:rsid w:val="003B0C3C"/>
    <w:rsid w:val="003E0069"/>
    <w:rsid w:val="003E74CF"/>
    <w:rsid w:val="00403EA3"/>
    <w:rsid w:val="0040535A"/>
    <w:rsid w:val="004545CB"/>
    <w:rsid w:val="004B3C69"/>
    <w:rsid w:val="004B66F8"/>
    <w:rsid w:val="00503C28"/>
    <w:rsid w:val="0054619D"/>
    <w:rsid w:val="0055008F"/>
    <w:rsid w:val="00566262"/>
    <w:rsid w:val="005A2ECF"/>
    <w:rsid w:val="005A5AAD"/>
    <w:rsid w:val="005C58E3"/>
    <w:rsid w:val="005C7359"/>
    <w:rsid w:val="006400F3"/>
    <w:rsid w:val="0065005C"/>
    <w:rsid w:val="006510DF"/>
    <w:rsid w:val="00696FFE"/>
    <w:rsid w:val="006D7759"/>
    <w:rsid w:val="006F4137"/>
    <w:rsid w:val="00702673"/>
    <w:rsid w:val="007220DE"/>
    <w:rsid w:val="0078428E"/>
    <w:rsid w:val="007A6557"/>
    <w:rsid w:val="007D15FA"/>
    <w:rsid w:val="007D787D"/>
    <w:rsid w:val="007E1E1A"/>
    <w:rsid w:val="00803B9F"/>
    <w:rsid w:val="00814C9A"/>
    <w:rsid w:val="00817DE7"/>
    <w:rsid w:val="00835863"/>
    <w:rsid w:val="00836528"/>
    <w:rsid w:val="00850929"/>
    <w:rsid w:val="00854406"/>
    <w:rsid w:val="00883D5B"/>
    <w:rsid w:val="0088598A"/>
    <w:rsid w:val="008A3258"/>
    <w:rsid w:val="008A7E51"/>
    <w:rsid w:val="008E5601"/>
    <w:rsid w:val="00946F95"/>
    <w:rsid w:val="00952EE2"/>
    <w:rsid w:val="009616CE"/>
    <w:rsid w:val="009C3EE7"/>
    <w:rsid w:val="00A02343"/>
    <w:rsid w:val="00A44A6C"/>
    <w:rsid w:val="00A50918"/>
    <w:rsid w:val="00A53791"/>
    <w:rsid w:val="00A61B4F"/>
    <w:rsid w:val="00A65FEB"/>
    <w:rsid w:val="00A72817"/>
    <w:rsid w:val="00A95ADE"/>
    <w:rsid w:val="00AB35CF"/>
    <w:rsid w:val="00B11CD9"/>
    <w:rsid w:val="00C02E5C"/>
    <w:rsid w:val="00C04A7A"/>
    <w:rsid w:val="00C56306"/>
    <w:rsid w:val="00C575FF"/>
    <w:rsid w:val="00C6607F"/>
    <w:rsid w:val="00C755FF"/>
    <w:rsid w:val="00C847D2"/>
    <w:rsid w:val="00CB3CF3"/>
    <w:rsid w:val="00D17505"/>
    <w:rsid w:val="00DD3981"/>
    <w:rsid w:val="00DF6213"/>
    <w:rsid w:val="00E60DD3"/>
    <w:rsid w:val="00ED66AF"/>
    <w:rsid w:val="00EF1482"/>
    <w:rsid w:val="00F15BBB"/>
    <w:rsid w:val="00F44843"/>
    <w:rsid w:val="00F53336"/>
    <w:rsid w:val="00FB7588"/>
    <w:rsid w:val="00FB7E0F"/>
    <w:rsid w:val="00FE1083"/>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5A"/>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325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6607F"/>
    <w:pPr>
      <w:tabs>
        <w:tab w:val="center" w:pos="4513"/>
        <w:tab w:val="right" w:pos="9026"/>
      </w:tabs>
    </w:pPr>
  </w:style>
  <w:style w:type="character" w:customStyle="1" w:styleId="HeaderChar">
    <w:name w:val="Header Char"/>
    <w:basedOn w:val="DefaultParagraphFont"/>
    <w:link w:val="Header"/>
    <w:uiPriority w:val="99"/>
    <w:rsid w:val="00C6607F"/>
  </w:style>
  <w:style w:type="paragraph" w:styleId="Footer">
    <w:name w:val="footer"/>
    <w:basedOn w:val="Normal"/>
    <w:link w:val="FooterChar"/>
    <w:uiPriority w:val="99"/>
    <w:unhideWhenUsed/>
    <w:rsid w:val="00C6607F"/>
    <w:pPr>
      <w:tabs>
        <w:tab w:val="center" w:pos="4513"/>
        <w:tab w:val="right" w:pos="9026"/>
      </w:tabs>
    </w:pPr>
  </w:style>
  <w:style w:type="character" w:customStyle="1" w:styleId="FooterChar">
    <w:name w:val="Footer Char"/>
    <w:basedOn w:val="DefaultParagraphFont"/>
    <w:link w:val="Footer"/>
    <w:uiPriority w:val="99"/>
    <w:rsid w:val="00C6607F"/>
  </w:style>
  <w:style w:type="paragraph" w:styleId="BalloonText">
    <w:name w:val="Balloon Text"/>
    <w:basedOn w:val="Normal"/>
    <w:link w:val="BalloonTextChar"/>
    <w:uiPriority w:val="99"/>
    <w:semiHidden/>
    <w:unhideWhenUsed/>
    <w:rsid w:val="00C6607F"/>
    <w:rPr>
      <w:rFonts w:ascii="Tahoma" w:hAnsi="Tahoma" w:cs="Tahoma"/>
      <w:sz w:val="16"/>
      <w:szCs w:val="16"/>
    </w:rPr>
  </w:style>
  <w:style w:type="character" w:customStyle="1" w:styleId="BalloonTextChar">
    <w:name w:val="Balloon Text Char"/>
    <w:basedOn w:val="DefaultParagraphFont"/>
    <w:link w:val="BalloonText"/>
    <w:uiPriority w:val="99"/>
    <w:semiHidden/>
    <w:rsid w:val="00C6607F"/>
    <w:rPr>
      <w:rFonts w:ascii="Tahoma" w:hAnsi="Tahoma" w:cs="Tahoma"/>
      <w:sz w:val="16"/>
      <w:szCs w:val="16"/>
    </w:rPr>
  </w:style>
  <w:style w:type="paragraph" w:styleId="ListParagraph">
    <w:name w:val="List Paragraph"/>
    <w:basedOn w:val="Normal"/>
    <w:qFormat/>
    <w:rsid w:val="0040535A"/>
    <w:pPr>
      <w:ind w:left="720"/>
      <w:contextualSpacing/>
    </w:pPr>
    <w:rPr>
      <w:rFonts w:ascii="Arial" w:eastAsia="Arial" w:hAnsi="Arial"/>
      <w:lang w:val="en-US" w:eastAsia="en-US" w:bidi="en-US"/>
    </w:rPr>
  </w:style>
  <w:style w:type="character" w:styleId="Hyperlink">
    <w:name w:val="Hyperlink"/>
    <w:rsid w:val="004053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0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talie.madden@reading.gov.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abberkshirewest.co.uk/practitioners/safeguarding-adults-revie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BE07F-CE8E-4FBC-BE19-F4EF6D4B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7</cp:revision>
  <dcterms:created xsi:type="dcterms:W3CDTF">2017-08-03T08:24:00Z</dcterms:created>
  <dcterms:modified xsi:type="dcterms:W3CDTF">2017-08-03T08:49:00Z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Unclassified</vt:lpwstr>
  </property>
  <property fmtid="{D5CDD505-2E9C-101B-9397-08002B2CF9AE}" pid="3" name="ClassificationMarking">
    <vt:lpwstr>Classification: UNCLASSIFIED</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2017-08-01T11:16:28Z</vt:filetime>
  </property>
</Properties>
</file>