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809" w:rsidRDefault="00626809" w:rsidP="00626809">
      <w:pPr>
        <w:jc w:val="center"/>
        <w:rPr>
          <w:rFonts w:ascii="Arial" w:hAnsi="Arial" w:cs="Arial"/>
          <w:b/>
          <w:u w:val="single"/>
        </w:rPr>
      </w:pPr>
      <w:r>
        <w:rPr>
          <w:noProof/>
          <w:lang w:eastAsia="en-GB"/>
        </w:rPr>
        <w:drawing>
          <wp:inline distT="0" distB="0" distL="0" distR="0" wp14:anchorId="185D2C50" wp14:editId="4979B993">
            <wp:extent cx="1583871" cy="557636"/>
            <wp:effectExtent l="0" t="0" r="0" b="0"/>
            <wp:docPr id="1" name="Picture 1" descr="C:\SAPB\sap-logo-xl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APB\sap-logo-xlr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4027" cy="557691"/>
                    </a:xfrm>
                    <a:prstGeom prst="rect">
                      <a:avLst/>
                    </a:prstGeom>
                    <a:noFill/>
                    <a:ln>
                      <a:noFill/>
                    </a:ln>
                  </pic:spPr>
                </pic:pic>
              </a:graphicData>
            </a:graphic>
          </wp:inline>
        </w:drawing>
      </w:r>
    </w:p>
    <w:p w:rsidR="00626809" w:rsidRPr="0078428E" w:rsidRDefault="00626809" w:rsidP="00626809">
      <w:pPr>
        <w:jc w:val="center"/>
        <w:rPr>
          <w:rFonts w:ascii="Arial" w:hAnsi="Arial" w:cs="Arial"/>
          <w:b/>
          <w:u w:val="single"/>
        </w:rPr>
      </w:pPr>
      <w:r w:rsidRPr="0078428E">
        <w:rPr>
          <w:rFonts w:ascii="Arial" w:hAnsi="Arial" w:cs="Arial"/>
          <w:b/>
          <w:u w:val="single"/>
        </w:rPr>
        <w:t xml:space="preserve">Process for </w:t>
      </w:r>
      <w:r w:rsidRPr="00626809">
        <w:rPr>
          <w:rFonts w:ascii="Arial" w:hAnsi="Arial" w:cs="Arial"/>
          <w:b/>
          <w:u w:val="single"/>
        </w:rPr>
        <w:t>Multi-Agency Safeguarding Adults Reviews of Serious Cases</w:t>
      </w:r>
    </w:p>
    <w:p w:rsidR="00626809" w:rsidRPr="0078428E" w:rsidRDefault="00626809" w:rsidP="00626809">
      <w:pPr>
        <w:jc w:val="center"/>
        <w:rPr>
          <w:rFonts w:ascii="Arial" w:hAnsi="Arial" w:cs="Arial"/>
          <w:b/>
          <w:u w:val="single"/>
        </w:rPr>
      </w:pPr>
    </w:p>
    <w:p w:rsidR="00626809" w:rsidRPr="004B3C6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The aim of this document is to streamline the process for carrying out a Safeguarding Adults Review for Board members, managers and practitioners, and to clarify the different roles and responsibilities of individual agencies, the Safeguarding Adults Board (SAB) and its Subgroups. </w:t>
      </w:r>
    </w:p>
    <w:p w:rsidR="00626809" w:rsidRPr="004B3C69" w:rsidRDefault="00626809" w:rsidP="00626809">
      <w:pPr>
        <w:spacing w:before="240" w:after="120"/>
        <w:jc w:val="both"/>
        <w:rPr>
          <w:rFonts w:asciiTheme="minorHAnsi" w:hAnsiTheme="minorHAnsi" w:cs="Arial"/>
          <w:b/>
          <w:i/>
          <w:sz w:val="22"/>
          <w:szCs w:val="22"/>
        </w:rPr>
      </w:pPr>
      <w:r w:rsidRPr="004B3C69">
        <w:rPr>
          <w:rFonts w:asciiTheme="minorHAnsi" w:hAnsiTheme="minorHAnsi" w:cs="Arial"/>
          <w:b/>
          <w:i/>
          <w:sz w:val="22"/>
          <w:szCs w:val="22"/>
        </w:rPr>
        <w:t xml:space="preserve">Step 1 Notification of a case for consideration </w:t>
      </w:r>
    </w:p>
    <w:p w:rsidR="0062680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Refer to the decision making process outlined in the </w:t>
      </w:r>
      <w:hyperlink r:id="rId8" w:history="1">
        <w:r w:rsidRPr="004B3C69">
          <w:rPr>
            <w:rStyle w:val="Hyperlink"/>
            <w:rFonts w:asciiTheme="minorHAnsi" w:hAnsiTheme="minorHAnsi" w:cs="Arial"/>
            <w:sz w:val="22"/>
            <w:szCs w:val="22"/>
          </w:rPr>
          <w:t>Guidance for Multi-Agency Safeguarding Adults Review of Serious Cases</w:t>
        </w:r>
      </w:hyperlink>
      <w:r w:rsidRPr="004B3C69">
        <w:rPr>
          <w:rFonts w:asciiTheme="minorHAnsi" w:hAnsiTheme="minorHAnsi" w:cs="Arial"/>
          <w:sz w:val="22"/>
          <w:szCs w:val="22"/>
        </w:rPr>
        <w:t>.</w:t>
      </w:r>
    </w:p>
    <w:p w:rsidR="00626809" w:rsidRPr="004B3C6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Complete the notification report template (Appendix 2) and send securely to the </w:t>
      </w:r>
      <w:r>
        <w:rPr>
          <w:rFonts w:asciiTheme="minorHAnsi" w:hAnsiTheme="minorHAnsi" w:cs="Arial"/>
          <w:sz w:val="22"/>
          <w:szCs w:val="22"/>
        </w:rPr>
        <w:t xml:space="preserve">SAB </w:t>
      </w:r>
      <w:r w:rsidRPr="004B3C69">
        <w:rPr>
          <w:rFonts w:asciiTheme="minorHAnsi" w:hAnsiTheme="minorHAnsi" w:cs="Arial"/>
          <w:sz w:val="22"/>
          <w:szCs w:val="22"/>
        </w:rPr>
        <w:t xml:space="preserve">Business Manager. Instead of using </w:t>
      </w:r>
      <w:r>
        <w:rPr>
          <w:rFonts w:asciiTheme="minorHAnsi" w:hAnsiTheme="minorHAnsi" w:cs="Arial"/>
          <w:sz w:val="22"/>
          <w:szCs w:val="22"/>
        </w:rPr>
        <w:t>this</w:t>
      </w:r>
      <w:r w:rsidRPr="004B3C69">
        <w:rPr>
          <w:rFonts w:asciiTheme="minorHAnsi" w:hAnsiTheme="minorHAnsi" w:cs="Arial"/>
          <w:sz w:val="22"/>
          <w:szCs w:val="22"/>
        </w:rPr>
        <w:t xml:space="preserve"> template to notify the Panel, </w:t>
      </w:r>
      <w:r w:rsidRPr="004B3C69">
        <w:rPr>
          <w:rFonts w:asciiTheme="minorHAnsi" w:hAnsiTheme="minorHAnsi" w:cs="Arial"/>
          <w:sz w:val="22"/>
          <w:szCs w:val="22"/>
          <w:shd w:val="clear" w:color="auto" w:fill="FFFFFF" w:themeFill="background1"/>
        </w:rPr>
        <w:t>Thames Valley Police officers will use a Primary Assessment Chronology (Appendix 3) and must receive authorisation from senior officers before presenting to the SAR Panel.</w:t>
      </w:r>
      <w:r w:rsidRPr="004B3C69">
        <w:rPr>
          <w:rFonts w:asciiTheme="minorHAnsi" w:hAnsiTheme="minorHAnsi" w:cs="Arial"/>
          <w:sz w:val="22"/>
          <w:szCs w:val="22"/>
        </w:rPr>
        <w:t xml:space="preserve"> </w:t>
      </w:r>
    </w:p>
    <w:p w:rsidR="00626809" w:rsidRPr="004B3C6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Copy to the Safeguarding Team in the relevant Local Authority. </w:t>
      </w:r>
    </w:p>
    <w:p w:rsidR="00626809" w:rsidRPr="004B3C69" w:rsidRDefault="00626809" w:rsidP="00626809">
      <w:pPr>
        <w:pStyle w:val="Default"/>
        <w:spacing w:before="120" w:after="120"/>
        <w:rPr>
          <w:rFonts w:asciiTheme="minorHAnsi" w:hAnsiTheme="minorHAnsi" w:cs="Arial"/>
          <w:sz w:val="22"/>
          <w:szCs w:val="22"/>
        </w:rPr>
      </w:pPr>
      <w:r w:rsidRPr="004B3C69">
        <w:rPr>
          <w:rFonts w:asciiTheme="minorHAnsi" w:hAnsiTheme="minorHAnsi" w:cs="Arial"/>
          <w:sz w:val="22"/>
          <w:szCs w:val="22"/>
        </w:rPr>
        <w:t xml:space="preserve">The Business Manager will forward all notifications for consideration to the Independent Chair of the Board, copy to the SAR Panel Chair. </w:t>
      </w:r>
    </w:p>
    <w:p w:rsidR="00626809" w:rsidRPr="004B3C69" w:rsidRDefault="00626809" w:rsidP="00626809">
      <w:pPr>
        <w:spacing w:before="240" w:after="120"/>
        <w:jc w:val="both"/>
        <w:rPr>
          <w:rFonts w:asciiTheme="minorHAnsi" w:hAnsiTheme="minorHAnsi" w:cs="Arial"/>
          <w:b/>
          <w:i/>
          <w:sz w:val="22"/>
          <w:szCs w:val="22"/>
        </w:rPr>
      </w:pPr>
      <w:r w:rsidRPr="004B3C69">
        <w:rPr>
          <w:rFonts w:asciiTheme="minorHAnsi" w:hAnsiTheme="minorHAnsi" w:cs="Arial"/>
          <w:b/>
          <w:i/>
          <w:sz w:val="22"/>
          <w:szCs w:val="22"/>
        </w:rPr>
        <w:t xml:space="preserve">Step 2 Presentation at SAR Panel </w:t>
      </w:r>
      <w:r>
        <w:rPr>
          <w:rFonts w:asciiTheme="minorHAnsi" w:hAnsiTheme="minorHAnsi" w:cs="Arial"/>
          <w:b/>
          <w:i/>
          <w:sz w:val="22"/>
          <w:szCs w:val="22"/>
        </w:rPr>
        <w:t>and Decision</w:t>
      </w:r>
    </w:p>
    <w:p w:rsidR="00626809" w:rsidRPr="004B3C69" w:rsidRDefault="00626809" w:rsidP="00626809">
      <w:pPr>
        <w:pStyle w:val="Default"/>
        <w:spacing w:before="120" w:after="120"/>
        <w:rPr>
          <w:rFonts w:asciiTheme="minorHAnsi" w:hAnsiTheme="minorHAnsi" w:cs="Arial"/>
          <w:sz w:val="22"/>
          <w:szCs w:val="22"/>
        </w:rPr>
      </w:pPr>
      <w:r w:rsidRPr="004B3C69">
        <w:rPr>
          <w:rFonts w:asciiTheme="minorHAnsi" w:hAnsiTheme="minorHAnsi" w:cs="Arial"/>
          <w:sz w:val="22"/>
          <w:szCs w:val="22"/>
        </w:rPr>
        <w:t>Once approved, the case will be presented to the SAR Panel by the agency that raised the notification. The Panel will:</w:t>
      </w:r>
    </w:p>
    <w:p w:rsidR="00626809" w:rsidRPr="004B3C69" w:rsidRDefault="00626809" w:rsidP="00626809">
      <w:pPr>
        <w:numPr>
          <w:ilvl w:val="0"/>
          <w:numId w:val="1"/>
        </w:num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Review the report and decide whether the case meets the criteria for a Safeguarding Adults Review. </w:t>
      </w:r>
    </w:p>
    <w:p w:rsidR="00626809" w:rsidRPr="004B3C69" w:rsidRDefault="00626809" w:rsidP="00626809">
      <w:pPr>
        <w:numPr>
          <w:ilvl w:val="0"/>
          <w:numId w:val="1"/>
        </w:num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Agree what type of review is proportionate and will offer the best learning. </w:t>
      </w:r>
    </w:p>
    <w:p w:rsidR="00626809" w:rsidRPr="004B3C69" w:rsidRDefault="00626809" w:rsidP="00626809">
      <w:pPr>
        <w:numPr>
          <w:ilvl w:val="0"/>
          <w:numId w:val="1"/>
        </w:numPr>
        <w:spacing w:before="120" w:after="120"/>
        <w:jc w:val="both"/>
        <w:rPr>
          <w:rFonts w:asciiTheme="minorHAnsi" w:hAnsiTheme="minorHAnsi" w:cs="Arial"/>
          <w:sz w:val="22"/>
          <w:szCs w:val="22"/>
        </w:rPr>
      </w:pPr>
      <w:r w:rsidRPr="004B3C69">
        <w:rPr>
          <w:rFonts w:asciiTheme="minorHAnsi" w:hAnsiTheme="minorHAnsi" w:cs="Arial"/>
          <w:sz w:val="22"/>
          <w:szCs w:val="22"/>
        </w:rPr>
        <w:t>Identify lead agency for the Review.</w:t>
      </w:r>
    </w:p>
    <w:p w:rsidR="00626809" w:rsidRPr="004B3C69" w:rsidRDefault="00626809" w:rsidP="00626809">
      <w:pPr>
        <w:numPr>
          <w:ilvl w:val="0"/>
          <w:numId w:val="1"/>
        </w:num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Agree a timeframe for reporting back. </w:t>
      </w:r>
    </w:p>
    <w:p w:rsidR="00626809" w:rsidRPr="004B3C6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SAR Panel meetings will be held quarterly, with additional panel meetings called as necessary. </w:t>
      </w:r>
    </w:p>
    <w:p w:rsidR="00626809" w:rsidRPr="00E60DD3"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The SAR Panel will consist of Board members relevant to the case. Core members will include at least a social care and health representative. Senior managers will be invited and if so wish, can delegate to the safeguarding lead, along with responsibility to make decisions. </w:t>
      </w:r>
    </w:p>
    <w:p w:rsidR="00626809" w:rsidRPr="004B3C69" w:rsidRDefault="00626809" w:rsidP="00626809">
      <w:pPr>
        <w:keepNext/>
        <w:spacing w:before="240" w:after="120"/>
        <w:jc w:val="both"/>
        <w:rPr>
          <w:rFonts w:asciiTheme="minorHAnsi" w:hAnsiTheme="minorHAnsi" w:cs="Arial"/>
          <w:b/>
          <w:i/>
          <w:sz w:val="22"/>
          <w:szCs w:val="22"/>
        </w:rPr>
      </w:pPr>
      <w:r w:rsidRPr="004B3C69">
        <w:rPr>
          <w:rFonts w:asciiTheme="minorHAnsi" w:hAnsiTheme="minorHAnsi" w:cs="Arial"/>
          <w:b/>
          <w:i/>
          <w:sz w:val="22"/>
          <w:szCs w:val="22"/>
        </w:rPr>
        <w:t>Step 3</w:t>
      </w:r>
      <w:r w:rsidRPr="004B3C69">
        <w:rPr>
          <w:rFonts w:asciiTheme="minorHAnsi" w:hAnsiTheme="minorHAnsi" w:cs="Arial"/>
          <w:b/>
          <w:i/>
          <w:sz w:val="22"/>
          <w:szCs w:val="22"/>
        </w:rPr>
        <w:tab/>
        <w:t xml:space="preserve"> </w:t>
      </w:r>
      <w:r>
        <w:rPr>
          <w:rFonts w:asciiTheme="minorHAnsi" w:hAnsiTheme="minorHAnsi" w:cs="Arial"/>
          <w:b/>
          <w:i/>
          <w:sz w:val="22"/>
          <w:szCs w:val="22"/>
        </w:rPr>
        <w:t>Feedback</w:t>
      </w:r>
    </w:p>
    <w:p w:rsidR="00626809" w:rsidRPr="004B3C69" w:rsidRDefault="00626809" w:rsidP="00626809">
      <w:pPr>
        <w:keepNext/>
        <w:spacing w:before="120" w:after="120"/>
        <w:jc w:val="both"/>
        <w:rPr>
          <w:rFonts w:asciiTheme="minorHAnsi" w:hAnsiTheme="minorHAnsi" w:cs="Arial"/>
          <w:sz w:val="22"/>
          <w:szCs w:val="22"/>
        </w:rPr>
      </w:pPr>
      <w:r w:rsidRPr="004B3C69">
        <w:rPr>
          <w:rFonts w:asciiTheme="minorHAnsi" w:hAnsiTheme="minorHAnsi" w:cs="Arial"/>
          <w:sz w:val="22"/>
          <w:szCs w:val="22"/>
        </w:rPr>
        <w:t xml:space="preserve">The Panel’s decision is fed back to the Independent Chair of the SAB who will consider the Panel’s recommendation and decide whether a review should be undertaken. </w:t>
      </w:r>
    </w:p>
    <w:p w:rsidR="0062680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The decision is fed back to the agency who initiated the notification.</w:t>
      </w:r>
    </w:p>
    <w:p w:rsidR="00626809" w:rsidRPr="00E60DD3" w:rsidRDefault="00626809" w:rsidP="00626809">
      <w:pPr>
        <w:spacing w:before="120" w:after="120"/>
        <w:jc w:val="both"/>
        <w:rPr>
          <w:rFonts w:asciiTheme="minorHAnsi" w:hAnsiTheme="minorHAnsi" w:cs="Arial"/>
          <w:sz w:val="22"/>
          <w:szCs w:val="22"/>
        </w:rPr>
      </w:pPr>
      <w:r>
        <w:rPr>
          <w:rFonts w:asciiTheme="minorHAnsi" w:hAnsiTheme="minorHAnsi" w:cs="Arial"/>
          <w:sz w:val="22"/>
          <w:szCs w:val="22"/>
        </w:rPr>
        <w:t xml:space="preserve">CQC is informed of any review for a regulated provider. </w:t>
      </w:r>
    </w:p>
    <w:p w:rsidR="00626809" w:rsidRPr="004B3C69" w:rsidRDefault="00626809" w:rsidP="00626809">
      <w:pPr>
        <w:spacing w:before="240" w:after="120"/>
        <w:jc w:val="both"/>
        <w:rPr>
          <w:rFonts w:asciiTheme="minorHAnsi" w:hAnsiTheme="minorHAnsi" w:cs="Arial"/>
          <w:b/>
          <w:i/>
          <w:sz w:val="22"/>
          <w:szCs w:val="22"/>
        </w:rPr>
      </w:pPr>
      <w:r w:rsidRPr="004B3C69">
        <w:rPr>
          <w:rFonts w:asciiTheme="minorHAnsi" w:hAnsiTheme="minorHAnsi" w:cs="Arial"/>
          <w:b/>
          <w:i/>
          <w:sz w:val="22"/>
          <w:szCs w:val="22"/>
        </w:rPr>
        <w:t xml:space="preserve">Step 4 Commencement of Review </w:t>
      </w:r>
    </w:p>
    <w:p w:rsidR="00626809" w:rsidRPr="004B3C6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Lead agency commences the Safeguarding Adult Review and keeps the Chair and Business Manager informed of progress. The lead agency will be expected to provide management overview and administrative support for the Review. </w:t>
      </w:r>
    </w:p>
    <w:p w:rsidR="00626809" w:rsidRPr="004B3C6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The lead agency will provide a progress report for every SAR Panel meeting.</w:t>
      </w:r>
    </w:p>
    <w:p w:rsidR="00626809" w:rsidRPr="004B3C69" w:rsidRDefault="00626809" w:rsidP="00626809">
      <w:pPr>
        <w:keepNext/>
        <w:spacing w:before="240" w:after="120"/>
        <w:jc w:val="both"/>
        <w:rPr>
          <w:rFonts w:asciiTheme="minorHAnsi" w:hAnsiTheme="minorHAnsi" w:cs="Arial"/>
          <w:b/>
          <w:i/>
          <w:sz w:val="22"/>
          <w:szCs w:val="22"/>
        </w:rPr>
      </w:pPr>
      <w:r w:rsidRPr="004B3C69">
        <w:rPr>
          <w:rFonts w:asciiTheme="minorHAnsi" w:hAnsiTheme="minorHAnsi" w:cs="Arial"/>
          <w:b/>
          <w:i/>
          <w:sz w:val="22"/>
          <w:szCs w:val="22"/>
        </w:rPr>
        <w:lastRenderedPageBreak/>
        <w:t xml:space="preserve">Step 5 Final Report and Recommendations </w:t>
      </w:r>
    </w:p>
    <w:p w:rsidR="00626809" w:rsidRPr="004B3C69" w:rsidRDefault="00626809" w:rsidP="00626809">
      <w:pPr>
        <w:keepNext/>
        <w:spacing w:before="120" w:after="120"/>
        <w:jc w:val="both"/>
        <w:rPr>
          <w:rFonts w:asciiTheme="minorHAnsi" w:hAnsiTheme="minorHAnsi" w:cs="Arial"/>
          <w:sz w:val="22"/>
          <w:szCs w:val="22"/>
        </w:rPr>
      </w:pPr>
      <w:r w:rsidRPr="004B3C69">
        <w:rPr>
          <w:rFonts w:asciiTheme="minorHAnsi" w:hAnsiTheme="minorHAnsi" w:cs="Arial"/>
          <w:sz w:val="22"/>
          <w:szCs w:val="22"/>
        </w:rPr>
        <w:t xml:space="preserve">Final report is presented to the Effectiveness Subgroup which will review findings and identify multi-agency recommendations. </w:t>
      </w:r>
    </w:p>
    <w:p w:rsidR="00626809" w:rsidRPr="004B3C6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The final findings report and recommendations will be presented to the Board for consideration at its next meeting. The Independent Chair will call an exceptional Board meeting if required. </w:t>
      </w:r>
    </w:p>
    <w:p w:rsidR="00626809" w:rsidRPr="004B3C69" w:rsidRDefault="00626809" w:rsidP="00626809">
      <w:pPr>
        <w:spacing w:before="240" w:after="120"/>
        <w:jc w:val="both"/>
        <w:rPr>
          <w:rFonts w:asciiTheme="minorHAnsi" w:hAnsiTheme="minorHAnsi" w:cs="Arial"/>
          <w:b/>
          <w:i/>
          <w:sz w:val="22"/>
          <w:szCs w:val="22"/>
        </w:rPr>
      </w:pPr>
      <w:r w:rsidRPr="004B3C69">
        <w:rPr>
          <w:rFonts w:asciiTheme="minorHAnsi" w:hAnsiTheme="minorHAnsi" w:cs="Arial"/>
          <w:b/>
          <w:i/>
          <w:sz w:val="22"/>
          <w:szCs w:val="22"/>
        </w:rPr>
        <w:t xml:space="preserve">Step 6 Action Plans </w:t>
      </w:r>
    </w:p>
    <w:p w:rsidR="00626809" w:rsidRPr="004B3C6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Once the findings report and recommendations are accepted by the Board, recommendations will be allocated to the relevant agency for action. Action plans will be developed by the relevant agencies and presented back to the Effectiveness Subgroup. </w:t>
      </w:r>
    </w:p>
    <w:p w:rsidR="00626809" w:rsidRPr="00E60DD3" w:rsidRDefault="00626809" w:rsidP="00626809">
      <w:pPr>
        <w:spacing w:before="120" w:after="120"/>
        <w:jc w:val="both"/>
        <w:rPr>
          <w:rFonts w:asciiTheme="minorHAnsi" w:hAnsiTheme="minorHAnsi" w:cs="Arial"/>
          <w:color w:val="000000" w:themeColor="text1"/>
          <w:sz w:val="22"/>
          <w:szCs w:val="22"/>
        </w:rPr>
      </w:pPr>
      <w:r w:rsidRPr="004B3C69">
        <w:rPr>
          <w:rFonts w:asciiTheme="minorHAnsi" w:hAnsiTheme="minorHAnsi" w:cs="Arial"/>
          <w:color w:val="000000" w:themeColor="text1"/>
          <w:sz w:val="22"/>
          <w:szCs w:val="22"/>
        </w:rPr>
        <w:t xml:space="preserve">The Effectiveness Subgroup will monitor whether an action plan has been developed. Delivery and monitoring of the action plan will be the responsibility of the relevant organisation. </w:t>
      </w:r>
    </w:p>
    <w:p w:rsidR="00626809" w:rsidRPr="004B3C69" w:rsidRDefault="00626809" w:rsidP="00626809">
      <w:pPr>
        <w:spacing w:before="240" w:after="120"/>
        <w:jc w:val="both"/>
        <w:rPr>
          <w:rFonts w:asciiTheme="minorHAnsi" w:hAnsiTheme="minorHAnsi" w:cs="Arial"/>
          <w:b/>
          <w:i/>
          <w:sz w:val="22"/>
          <w:szCs w:val="22"/>
        </w:rPr>
      </w:pPr>
      <w:r w:rsidRPr="004B3C69">
        <w:rPr>
          <w:rFonts w:asciiTheme="minorHAnsi" w:hAnsiTheme="minorHAnsi" w:cs="Arial"/>
          <w:b/>
          <w:i/>
          <w:sz w:val="22"/>
          <w:szCs w:val="22"/>
        </w:rPr>
        <w:t xml:space="preserve">Step 7 Monitoring and Review </w:t>
      </w:r>
    </w:p>
    <w:p w:rsidR="00626809" w:rsidRPr="004B3C6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All recommendations will be included in a monitoring action plan, to be kept up to date by the Business Manager. </w:t>
      </w:r>
    </w:p>
    <w:p w:rsidR="00626809" w:rsidRPr="00E60DD3" w:rsidRDefault="00626809" w:rsidP="00626809">
      <w:pPr>
        <w:spacing w:before="120" w:after="120"/>
        <w:jc w:val="both"/>
        <w:rPr>
          <w:rFonts w:asciiTheme="minorHAnsi" w:hAnsiTheme="minorHAnsi" w:cs="Arial"/>
          <w:sz w:val="22"/>
          <w:szCs w:val="22"/>
        </w:rPr>
      </w:pPr>
      <w:r>
        <w:rPr>
          <w:rFonts w:asciiTheme="minorHAnsi" w:hAnsiTheme="minorHAnsi" w:cs="Arial"/>
          <w:sz w:val="22"/>
          <w:szCs w:val="22"/>
        </w:rPr>
        <w:t xml:space="preserve">The </w:t>
      </w:r>
      <w:r w:rsidRPr="004B3C69">
        <w:rPr>
          <w:rFonts w:asciiTheme="minorHAnsi" w:hAnsiTheme="minorHAnsi" w:cs="Arial"/>
          <w:sz w:val="22"/>
          <w:szCs w:val="22"/>
        </w:rPr>
        <w:t xml:space="preserve">Effectiveness Subgroup will review the monitoring action plan at quarterly meetings, escalating issues to the Board where relevant. </w:t>
      </w:r>
    </w:p>
    <w:p w:rsidR="00626809" w:rsidRPr="004B3C69" w:rsidRDefault="00626809" w:rsidP="00626809">
      <w:pPr>
        <w:keepNext/>
        <w:spacing w:before="240" w:after="120"/>
        <w:jc w:val="both"/>
        <w:rPr>
          <w:rFonts w:asciiTheme="minorHAnsi" w:hAnsiTheme="minorHAnsi" w:cs="Arial"/>
          <w:b/>
          <w:i/>
          <w:sz w:val="22"/>
          <w:szCs w:val="22"/>
        </w:rPr>
      </w:pPr>
      <w:r w:rsidRPr="004B3C69">
        <w:rPr>
          <w:rFonts w:asciiTheme="minorHAnsi" w:hAnsiTheme="minorHAnsi" w:cs="Arial"/>
          <w:b/>
          <w:i/>
          <w:sz w:val="22"/>
          <w:szCs w:val="22"/>
        </w:rPr>
        <w:t xml:space="preserve">Step 8 Sharing Learning </w:t>
      </w:r>
    </w:p>
    <w:p w:rsidR="00626809" w:rsidRPr="004B3C6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The lead agency will provide a summary learning document to be published on the website and shared with partner agencies for dissemination and use in training. </w:t>
      </w:r>
    </w:p>
    <w:p w:rsidR="00626809" w:rsidRDefault="00626809" w:rsidP="00626809">
      <w:pPr>
        <w:keepNext/>
        <w:spacing w:before="120" w:after="120"/>
        <w:jc w:val="both"/>
        <w:rPr>
          <w:rFonts w:asciiTheme="minorHAnsi" w:hAnsiTheme="minorHAnsi" w:cs="Arial"/>
          <w:sz w:val="22"/>
          <w:szCs w:val="22"/>
        </w:rPr>
      </w:pPr>
      <w:r w:rsidRPr="004B3C69">
        <w:rPr>
          <w:rFonts w:asciiTheme="minorHAnsi" w:hAnsiTheme="minorHAnsi" w:cs="Arial"/>
          <w:sz w:val="22"/>
          <w:szCs w:val="22"/>
        </w:rPr>
        <w:t xml:space="preserve">Oversight and Quality Subgroup will review and revise the self-assessment audit document on an annual basis to ensure it reflect findings from Safeguarding Adults Reviews.   </w:t>
      </w:r>
    </w:p>
    <w:p w:rsidR="00626809" w:rsidRPr="004B3C6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Under the remit of the Effectiveness Subgroup, thematic audits will take place twice a year, on either a single or multi-agency basis, based on findings from Safeguarding Adults Reviews.   </w:t>
      </w:r>
    </w:p>
    <w:p w:rsidR="00626809" w:rsidRPr="004B3C6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The Annual Report will report on Safeguarding Adults Reviews carried out within the year and what agencies have done to deliver actions and embed learning. </w:t>
      </w:r>
    </w:p>
    <w:p w:rsidR="00626809" w:rsidRDefault="00626809" w:rsidP="00626809">
      <w:pPr>
        <w:spacing w:before="120" w:after="120"/>
        <w:jc w:val="both"/>
        <w:rPr>
          <w:rFonts w:asciiTheme="minorHAnsi" w:hAnsiTheme="minorHAnsi" w:cs="Arial"/>
          <w:sz w:val="22"/>
          <w:szCs w:val="22"/>
        </w:rPr>
      </w:pPr>
    </w:p>
    <w:p w:rsidR="00626809" w:rsidRPr="004B3C69" w:rsidRDefault="00626809" w:rsidP="00626809">
      <w:pPr>
        <w:spacing w:before="120" w:after="120"/>
        <w:jc w:val="both"/>
        <w:rPr>
          <w:rFonts w:asciiTheme="minorHAnsi" w:hAnsiTheme="minorHAnsi" w:cs="Arial"/>
          <w:sz w:val="22"/>
          <w:szCs w:val="22"/>
        </w:rPr>
      </w:pPr>
    </w:p>
    <w:p w:rsidR="00626809" w:rsidRPr="004B3C6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Version 2 August 2017</w:t>
      </w:r>
    </w:p>
    <w:p w:rsidR="00626809" w:rsidRPr="004B3C69" w:rsidRDefault="00626809" w:rsidP="00626809">
      <w:pPr>
        <w:spacing w:before="120" w:after="120"/>
        <w:jc w:val="both"/>
        <w:rPr>
          <w:rFonts w:asciiTheme="minorHAnsi" w:hAnsiTheme="minorHAnsi" w:cs="Arial"/>
          <w:sz w:val="22"/>
          <w:szCs w:val="22"/>
        </w:rPr>
      </w:pPr>
      <w:r w:rsidRPr="004B3C69">
        <w:rPr>
          <w:rFonts w:asciiTheme="minorHAnsi" w:hAnsiTheme="minorHAnsi" w:cs="Arial"/>
          <w:sz w:val="22"/>
          <w:szCs w:val="22"/>
        </w:rPr>
        <w:t xml:space="preserve">Review date August 2018 </w:t>
      </w:r>
    </w:p>
    <w:p w:rsidR="00626809" w:rsidRPr="004B3C69" w:rsidRDefault="00626809" w:rsidP="00626809">
      <w:pPr>
        <w:spacing w:after="200" w:line="276" w:lineRule="auto"/>
        <w:rPr>
          <w:rFonts w:asciiTheme="minorHAnsi" w:hAnsiTheme="minorHAnsi" w:cs="Arial"/>
          <w:b/>
          <w:sz w:val="22"/>
          <w:szCs w:val="22"/>
          <w:u w:val="single"/>
        </w:rPr>
      </w:pPr>
      <w:r w:rsidRPr="004B3C69">
        <w:rPr>
          <w:rFonts w:asciiTheme="minorHAnsi" w:hAnsiTheme="minorHAnsi" w:cs="Arial"/>
          <w:b/>
          <w:sz w:val="22"/>
          <w:szCs w:val="22"/>
          <w:u w:val="single"/>
        </w:rPr>
        <w:br w:type="page"/>
      </w:r>
    </w:p>
    <w:p w:rsidR="00626809" w:rsidRDefault="00626809" w:rsidP="00626809">
      <w:pPr>
        <w:ind w:left="2925" w:hanging="2925"/>
        <w:jc w:val="center"/>
        <w:rPr>
          <w:rFonts w:ascii="Arial" w:hAnsi="Arial" w:cs="Arial"/>
          <w:b/>
        </w:rPr>
      </w:pPr>
      <w:r>
        <w:rPr>
          <w:noProof/>
          <w:lang w:eastAsia="en-GB"/>
        </w:rPr>
        <w:lastRenderedPageBreak/>
        <w:drawing>
          <wp:inline distT="0" distB="0" distL="0" distR="0" wp14:anchorId="1CA7FBB2" wp14:editId="736F9E6C">
            <wp:extent cx="1583871" cy="557636"/>
            <wp:effectExtent l="0" t="0" r="0" b="0"/>
            <wp:docPr id="2" name="Picture 2" descr="C:\SAPB\sap-logo-xl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APB\sap-logo-xlr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4027" cy="557691"/>
                    </a:xfrm>
                    <a:prstGeom prst="rect">
                      <a:avLst/>
                    </a:prstGeom>
                    <a:noFill/>
                    <a:ln>
                      <a:noFill/>
                    </a:ln>
                  </pic:spPr>
                </pic:pic>
              </a:graphicData>
            </a:graphic>
          </wp:inline>
        </w:drawing>
      </w:r>
    </w:p>
    <w:p w:rsidR="00626809" w:rsidRPr="0078428E" w:rsidRDefault="00626809" w:rsidP="00626809">
      <w:pPr>
        <w:ind w:left="2925" w:hanging="2925"/>
        <w:jc w:val="center"/>
        <w:rPr>
          <w:rFonts w:ascii="Arial" w:hAnsi="Arial" w:cs="Arial"/>
          <w:b/>
        </w:rPr>
      </w:pPr>
      <w:r w:rsidRPr="0078428E">
        <w:rPr>
          <w:rFonts w:ascii="Arial" w:hAnsi="Arial" w:cs="Arial"/>
          <w:b/>
        </w:rPr>
        <w:t>Guidance for Multi-Agency Safeguarding Adults Reviews of Serious Cases</w:t>
      </w:r>
    </w:p>
    <w:p w:rsidR="00626809" w:rsidRPr="0078428E" w:rsidRDefault="00626809" w:rsidP="00626809">
      <w:pPr>
        <w:ind w:left="2925" w:hanging="2925"/>
        <w:jc w:val="center"/>
        <w:rPr>
          <w:rFonts w:ascii="Arial" w:hAnsi="Arial" w:cs="Arial"/>
          <w:b/>
        </w:rPr>
      </w:pPr>
    </w:p>
    <w:p w:rsidR="00626809" w:rsidRPr="0078428E" w:rsidRDefault="00626809" w:rsidP="00626809">
      <w:pPr>
        <w:ind w:left="2925" w:hanging="2925"/>
        <w:jc w:val="center"/>
        <w:rPr>
          <w:rFonts w:ascii="Arial" w:hAnsi="Arial" w:cs="Arial"/>
          <w:b/>
        </w:rPr>
      </w:pPr>
      <w:r w:rsidRPr="0078428E">
        <w:rPr>
          <w:rFonts w:ascii="Arial" w:hAnsi="Arial" w:cs="Arial"/>
          <w:b/>
        </w:rPr>
        <w:t xml:space="preserve">Notification of a Case for Consideration </w:t>
      </w:r>
    </w:p>
    <w:p w:rsidR="00626809" w:rsidRPr="0078428E" w:rsidRDefault="00626809" w:rsidP="00626809">
      <w:pPr>
        <w:ind w:left="2925" w:hanging="2925"/>
        <w:rPr>
          <w:rFonts w:ascii="Arial" w:hAnsi="Arial" w:cs="Arial"/>
          <w:b/>
        </w:rPr>
      </w:pPr>
    </w:p>
    <w:p w:rsidR="00626809" w:rsidRPr="0078428E" w:rsidRDefault="00626809" w:rsidP="00626809">
      <w:pPr>
        <w:ind w:left="2925" w:hanging="2925"/>
        <w:rPr>
          <w:rFonts w:ascii="Arial" w:hAnsi="Arial" w:cs="Arial"/>
          <w:b/>
          <w:color w:val="0000FF"/>
        </w:rPr>
      </w:pPr>
      <w:r w:rsidRPr="0078428E">
        <w:rPr>
          <w:rFonts w:ascii="Arial" w:hAnsi="Arial" w:cs="Arial"/>
          <w:b/>
          <w:color w:val="0000FF"/>
          <w:sz w:val="21"/>
          <w:szCs w:val="21"/>
          <w:u w:val="single"/>
        </w:rPr>
        <w:t xml:space="preserve">Complete in as much detail as possible and send </w:t>
      </w:r>
      <w:r>
        <w:rPr>
          <w:rFonts w:ascii="Arial" w:hAnsi="Arial" w:cs="Arial"/>
          <w:b/>
          <w:color w:val="0000FF"/>
          <w:sz w:val="21"/>
          <w:szCs w:val="21"/>
          <w:u w:val="single"/>
        </w:rPr>
        <w:t xml:space="preserve">securely </w:t>
      </w:r>
      <w:r w:rsidRPr="0078428E">
        <w:rPr>
          <w:rFonts w:ascii="Arial" w:hAnsi="Arial" w:cs="Arial"/>
          <w:b/>
          <w:color w:val="0000FF"/>
          <w:sz w:val="21"/>
          <w:szCs w:val="21"/>
          <w:u w:val="single"/>
        </w:rPr>
        <w:t>to:</w:t>
      </w:r>
    </w:p>
    <w:p w:rsidR="00626809" w:rsidRPr="0078428E" w:rsidRDefault="00626809" w:rsidP="00626809">
      <w:pPr>
        <w:ind w:left="2925" w:hanging="2205"/>
        <w:rPr>
          <w:rFonts w:ascii="Arial" w:hAnsi="Arial" w:cs="Arial"/>
          <w:color w:val="0000FF"/>
          <w:sz w:val="21"/>
          <w:szCs w:val="21"/>
          <w:u w:val="single"/>
        </w:rPr>
      </w:pPr>
    </w:p>
    <w:p w:rsidR="00626809" w:rsidRDefault="00626809" w:rsidP="00626809">
      <w:pPr>
        <w:rPr>
          <w:rFonts w:ascii="Arial" w:hAnsi="Arial" w:cs="Arial"/>
          <w:color w:val="0000FF"/>
          <w:sz w:val="21"/>
          <w:szCs w:val="21"/>
        </w:rPr>
      </w:pPr>
      <w:r w:rsidRPr="0078428E">
        <w:rPr>
          <w:rFonts w:ascii="Arial" w:hAnsi="Arial" w:cs="Arial"/>
          <w:color w:val="0000FF"/>
          <w:sz w:val="21"/>
          <w:szCs w:val="21"/>
        </w:rPr>
        <w:t xml:space="preserve">Natalie Madden, Business Manager for the Board at </w:t>
      </w:r>
      <w:hyperlink r:id="rId9" w:history="1">
        <w:r w:rsidRPr="0078428E">
          <w:rPr>
            <w:rStyle w:val="Hyperlink"/>
            <w:rFonts w:ascii="Arial" w:hAnsi="Arial" w:cs="Arial"/>
            <w:sz w:val="21"/>
            <w:szCs w:val="21"/>
          </w:rPr>
          <w:t>natalie.madden@reading.gov.uk</w:t>
        </w:r>
      </w:hyperlink>
      <w:r w:rsidRPr="0078428E">
        <w:rPr>
          <w:rFonts w:ascii="Arial" w:hAnsi="Arial" w:cs="Arial"/>
          <w:color w:val="0000FF"/>
          <w:sz w:val="21"/>
          <w:szCs w:val="21"/>
        </w:rPr>
        <w:t xml:space="preserve"> Tel. </w:t>
      </w:r>
      <w:r>
        <w:rPr>
          <w:rFonts w:ascii="Arial" w:hAnsi="Arial" w:cs="Arial"/>
          <w:color w:val="0000FF"/>
          <w:sz w:val="21"/>
          <w:szCs w:val="21"/>
        </w:rPr>
        <w:t>07718 120601</w:t>
      </w:r>
    </w:p>
    <w:p w:rsidR="00626809" w:rsidRDefault="00626809" w:rsidP="00626809">
      <w:pPr>
        <w:rPr>
          <w:rFonts w:ascii="Arial" w:hAnsi="Arial" w:cs="Arial"/>
          <w:color w:val="0000FF"/>
          <w:sz w:val="21"/>
          <w:szCs w:val="21"/>
        </w:rPr>
      </w:pPr>
    </w:p>
    <w:p w:rsidR="00626809" w:rsidRPr="0078428E" w:rsidRDefault="00626809" w:rsidP="00626809">
      <w:pPr>
        <w:rPr>
          <w:rFonts w:ascii="Arial" w:hAnsi="Arial" w:cs="Arial"/>
          <w:color w:val="0000FF"/>
          <w:sz w:val="21"/>
          <w:szCs w:val="21"/>
        </w:rPr>
      </w:pPr>
      <w:r>
        <w:rPr>
          <w:rFonts w:ascii="Arial" w:hAnsi="Arial" w:cs="Arial"/>
          <w:color w:val="0000FF"/>
          <w:sz w:val="21"/>
          <w:szCs w:val="21"/>
        </w:rPr>
        <w:t>Send a copy securely to the appropriate Safeguarding Adults Team.</w:t>
      </w:r>
    </w:p>
    <w:p w:rsidR="00626809" w:rsidRPr="0078428E" w:rsidRDefault="00626809" w:rsidP="00626809">
      <w:pPr>
        <w:ind w:left="2925" w:hanging="2925"/>
        <w:jc w:val="both"/>
        <w:rPr>
          <w:rFonts w:ascii="Arial" w:hAnsi="Arial" w:cs="Arial"/>
        </w:rPr>
      </w:pPr>
    </w:p>
    <w:tbl>
      <w:tblPr>
        <w:tblW w:w="104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7272"/>
      </w:tblGrid>
      <w:tr w:rsidR="00626809" w:rsidRPr="0078428E" w:rsidTr="00220812">
        <w:tc>
          <w:tcPr>
            <w:tcW w:w="3168" w:type="dxa"/>
            <w:shd w:val="clear" w:color="auto" w:fill="auto"/>
          </w:tcPr>
          <w:p w:rsidR="00626809" w:rsidRPr="00626809" w:rsidRDefault="00626809" w:rsidP="00220812">
            <w:pPr>
              <w:jc w:val="both"/>
              <w:rPr>
                <w:rFonts w:asciiTheme="minorHAnsi" w:eastAsia="Times New Roman" w:hAnsiTheme="minorHAnsi" w:cs="Arial"/>
                <w:b/>
              </w:rPr>
            </w:pPr>
            <w:r w:rsidRPr="00626809">
              <w:rPr>
                <w:rFonts w:asciiTheme="minorHAnsi" w:eastAsia="Times New Roman" w:hAnsiTheme="minorHAnsi" w:cs="Arial"/>
                <w:b/>
              </w:rPr>
              <w:t>Report completed by:</w:t>
            </w:r>
          </w:p>
          <w:p w:rsidR="00626809" w:rsidRPr="00626809" w:rsidRDefault="00626809" w:rsidP="00220812">
            <w:pPr>
              <w:jc w:val="both"/>
              <w:rPr>
                <w:rFonts w:asciiTheme="minorHAnsi" w:eastAsia="Times New Roman" w:hAnsiTheme="minorHAnsi" w:cs="Arial"/>
                <w:b/>
              </w:rPr>
            </w:pPr>
          </w:p>
        </w:tc>
        <w:tc>
          <w:tcPr>
            <w:tcW w:w="7272" w:type="dxa"/>
            <w:shd w:val="clear" w:color="auto" w:fill="auto"/>
          </w:tcPr>
          <w:p w:rsidR="00626809" w:rsidRPr="00626809" w:rsidRDefault="00626809" w:rsidP="00220812">
            <w:pPr>
              <w:jc w:val="both"/>
              <w:rPr>
                <w:rFonts w:ascii="Arial" w:eastAsia="Times New Roman" w:hAnsi="Arial" w:cs="Arial"/>
              </w:rPr>
            </w:pPr>
          </w:p>
        </w:tc>
      </w:tr>
      <w:tr w:rsidR="00626809" w:rsidRPr="0078428E" w:rsidTr="00220812">
        <w:tc>
          <w:tcPr>
            <w:tcW w:w="3168" w:type="dxa"/>
            <w:shd w:val="clear" w:color="auto" w:fill="auto"/>
          </w:tcPr>
          <w:p w:rsidR="00626809" w:rsidRPr="00626809" w:rsidRDefault="00626809" w:rsidP="00220812">
            <w:pPr>
              <w:jc w:val="both"/>
              <w:rPr>
                <w:rFonts w:asciiTheme="minorHAnsi" w:eastAsia="Times New Roman" w:hAnsiTheme="minorHAnsi" w:cs="Arial"/>
                <w:b/>
              </w:rPr>
            </w:pPr>
            <w:r w:rsidRPr="00626809">
              <w:rPr>
                <w:rFonts w:asciiTheme="minorHAnsi" w:eastAsia="Times New Roman" w:hAnsiTheme="minorHAnsi" w:cs="Arial"/>
                <w:b/>
              </w:rPr>
              <w:t>Date report completed:</w:t>
            </w:r>
          </w:p>
          <w:p w:rsidR="00626809" w:rsidRPr="00626809" w:rsidRDefault="00626809" w:rsidP="00220812">
            <w:pPr>
              <w:jc w:val="both"/>
              <w:rPr>
                <w:rFonts w:asciiTheme="minorHAnsi" w:eastAsia="Times New Roman" w:hAnsiTheme="minorHAnsi" w:cs="Arial"/>
                <w:b/>
              </w:rPr>
            </w:pPr>
          </w:p>
        </w:tc>
        <w:tc>
          <w:tcPr>
            <w:tcW w:w="7272" w:type="dxa"/>
            <w:shd w:val="clear" w:color="auto" w:fill="auto"/>
          </w:tcPr>
          <w:p w:rsidR="00626809" w:rsidRPr="00626809" w:rsidRDefault="00626809" w:rsidP="00220812">
            <w:pPr>
              <w:jc w:val="both"/>
              <w:rPr>
                <w:rFonts w:ascii="Arial" w:eastAsia="Times New Roman" w:hAnsi="Arial" w:cs="Arial"/>
              </w:rPr>
            </w:pPr>
          </w:p>
        </w:tc>
      </w:tr>
      <w:tr w:rsidR="00626809" w:rsidRPr="0078428E" w:rsidTr="00220812">
        <w:tc>
          <w:tcPr>
            <w:tcW w:w="3168" w:type="dxa"/>
            <w:shd w:val="clear" w:color="auto" w:fill="auto"/>
          </w:tcPr>
          <w:p w:rsidR="00626809" w:rsidRPr="00626809" w:rsidRDefault="00626809" w:rsidP="00220812">
            <w:pPr>
              <w:jc w:val="both"/>
              <w:rPr>
                <w:rFonts w:asciiTheme="minorHAnsi" w:eastAsia="Times New Roman" w:hAnsiTheme="minorHAnsi" w:cs="Arial"/>
                <w:b/>
              </w:rPr>
            </w:pPr>
            <w:r w:rsidRPr="00626809">
              <w:rPr>
                <w:rFonts w:asciiTheme="minorHAnsi" w:eastAsia="Times New Roman" w:hAnsiTheme="minorHAnsi" w:cs="Arial"/>
                <w:b/>
              </w:rPr>
              <w:t>Report Audience:</w:t>
            </w:r>
          </w:p>
          <w:p w:rsidR="00626809" w:rsidRPr="00626809" w:rsidRDefault="00626809" w:rsidP="00220812">
            <w:pPr>
              <w:jc w:val="both"/>
              <w:rPr>
                <w:rFonts w:asciiTheme="minorHAnsi" w:eastAsia="Times New Roman" w:hAnsiTheme="minorHAnsi" w:cs="Arial"/>
                <w:b/>
              </w:rPr>
            </w:pPr>
          </w:p>
        </w:tc>
        <w:tc>
          <w:tcPr>
            <w:tcW w:w="7272" w:type="dxa"/>
            <w:shd w:val="clear" w:color="auto" w:fill="auto"/>
          </w:tcPr>
          <w:p w:rsidR="00626809" w:rsidRPr="00626809" w:rsidRDefault="00626809" w:rsidP="00220812">
            <w:pPr>
              <w:jc w:val="both"/>
              <w:rPr>
                <w:rFonts w:asciiTheme="minorHAnsi" w:eastAsia="Times New Roman" w:hAnsiTheme="minorHAnsi" w:cs="Arial"/>
              </w:rPr>
            </w:pPr>
            <w:r w:rsidRPr="00626809">
              <w:rPr>
                <w:rFonts w:asciiTheme="minorHAnsi" w:eastAsia="Times New Roman" w:hAnsiTheme="minorHAnsi" w:cs="Arial"/>
              </w:rPr>
              <w:t>Safeguarding Adult Board (SAB) for consideration for action under the West of Berkshire Safeguarding Adults Board Guidance for Multi-Agency Safeguarding Adults Reviews of Serious Cases</w:t>
            </w:r>
          </w:p>
          <w:p w:rsidR="00626809" w:rsidRPr="00626809" w:rsidRDefault="00626809" w:rsidP="00220812">
            <w:pPr>
              <w:jc w:val="both"/>
              <w:rPr>
                <w:rFonts w:ascii="Arial" w:eastAsia="Times New Roman" w:hAnsi="Arial" w:cs="Arial"/>
              </w:rPr>
            </w:pPr>
          </w:p>
        </w:tc>
      </w:tr>
      <w:tr w:rsidR="00626809" w:rsidRPr="0078428E" w:rsidTr="00220812">
        <w:tc>
          <w:tcPr>
            <w:tcW w:w="3168" w:type="dxa"/>
            <w:shd w:val="clear" w:color="auto" w:fill="auto"/>
          </w:tcPr>
          <w:p w:rsidR="00626809" w:rsidRPr="00626809" w:rsidRDefault="00626809" w:rsidP="00220812">
            <w:pPr>
              <w:jc w:val="both"/>
              <w:rPr>
                <w:rFonts w:asciiTheme="minorHAnsi" w:eastAsia="Times New Roman" w:hAnsiTheme="minorHAnsi" w:cs="Arial"/>
                <w:b/>
              </w:rPr>
            </w:pPr>
            <w:r w:rsidRPr="00626809">
              <w:rPr>
                <w:rFonts w:asciiTheme="minorHAnsi" w:eastAsia="Times New Roman" w:hAnsiTheme="minorHAnsi" w:cs="Arial"/>
                <w:b/>
              </w:rPr>
              <w:t>Purpose of report:</w:t>
            </w:r>
          </w:p>
          <w:p w:rsidR="00626809" w:rsidRPr="00626809" w:rsidRDefault="00626809" w:rsidP="00220812">
            <w:pPr>
              <w:jc w:val="both"/>
              <w:rPr>
                <w:rFonts w:asciiTheme="minorHAnsi" w:eastAsia="Times New Roman" w:hAnsiTheme="minorHAnsi" w:cs="Arial"/>
              </w:rPr>
            </w:pPr>
          </w:p>
        </w:tc>
        <w:tc>
          <w:tcPr>
            <w:tcW w:w="7272" w:type="dxa"/>
            <w:shd w:val="clear" w:color="auto" w:fill="auto"/>
          </w:tcPr>
          <w:p w:rsidR="00626809" w:rsidRPr="00626809" w:rsidRDefault="00626809" w:rsidP="00220812">
            <w:pPr>
              <w:jc w:val="both"/>
              <w:rPr>
                <w:rFonts w:ascii="Arial" w:eastAsia="Times New Roman" w:hAnsi="Arial" w:cs="Arial"/>
                <w:i/>
              </w:rPr>
            </w:pPr>
          </w:p>
        </w:tc>
      </w:tr>
    </w:tbl>
    <w:p w:rsidR="00626809" w:rsidRPr="0078428E" w:rsidRDefault="00626809" w:rsidP="00626809">
      <w:pPr>
        <w:jc w:val="both"/>
        <w:rPr>
          <w:rFonts w:ascii="Arial" w:hAnsi="Arial" w:cs="Arial"/>
          <w:color w:val="FF0000"/>
        </w:rPr>
      </w:pPr>
      <w:bookmarkStart w:id="0" w:name="_GoBack"/>
      <w:bookmarkEnd w:id="0"/>
    </w:p>
    <w:tbl>
      <w:tblPr>
        <w:tblW w:w="104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26809" w:rsidRPr="0078428E" w:rsidTr="00220812">
        <w:tc>
          <w:tcPr>
            <w:tcW w:w="10440" w:type="dxa"/>
            <w:shd w:val="clear" w:color="auto" w:fill="auto"/>
          </w:tcPr>
          <w:p w:rsidR="00626809" w:rsidRPr="00803B9F" w:rsidRDefault="00626809" w:rsidP="00220812">
            <w:pPr>
              <w:rPr>
                <w:rFonts w:asciiTheme="minorHAnsi" w:hAnsiTheme="minorHAnsi"/>
                <w:color w:val="FF0000"/>
              </w:rPr>
            </w:pPr>
            <w:r w:rsidRPr="00803B9F">
              <w:rPr>
                <w:rFonts w:asciiTheme="minorHAnsi" w:hAnsiTheme="minorHAnsi"/>
                <w:color w:val="FF0000"/>
              </w:rPr>
              <w:t xml:space="preserve">Are there any safeguarding concerns for children or other adults from this case that need to be actioned and / or shared with Local Authority adult or children safeguarding teams?  If so, confirm what action has been </w:t>
            </w:r>
            <w:r>
              <w:rPr>
                <w:rFonts w:asciiTheme="minorHAnsi" w:hAnsiTheme="minorHAnsi"/>
                <w:color w:val="FF0000"/>
              </w:rPr>
              <w:t>taken</w:t>
            </w:r>
            <w:r w:rsidRPr="00803B9F">
              <w:rPr>
                <w:rFonts w:asciiTheme="minorHAnsi" w:hAnsiTheme="minorHAnsi"/>
                <w:color w:val="FF0000"/>
              </w:rPr>
              <w:t xml:space="preserve">:   </w:t>
            </w:r>
          </w:p>
          <w:p w:rsidR="00626809" w:rsidRPr="0078428E" w:rsidRDefault="00626809" w:rsidP="00220812">
            <w:pPr>
              <w:jc w:val="both"/>
              <w:rPr>
                <w:rFonts w:ascii="Arial" w:eastAsia="Times New Roman" w:hAnsi="Arial" w:cs="Arial"/>
              </w:rPr>
            </w:pPr>
          </w:p>
        </w:tc>
      </w:tr>
      <w:tr w:rsidR="00626809" w:rsidRPr="0078428E" w:rsidTr="00220812">
        <w:tc>
          <w:tcPr>
            <w:tcW w:w="10440" w:type="dxa"/>
            <w:shd w:val="clear" w:color="auto" w:fill="auto"/>
          </w:tcPr>
          <w:p w:rsidR="00626809" w:rsidRPr="00626809" w:rsidRDefault="00626809" w:rsidP="00220812">
            <w:pPr>
              <w:pStyle w:val="ListParagraph"/>
              <w:ind w:left="0"/>
              <w:jc w:val="both"/>
              <w:rPr>
                <w:rFonts w:asciiTheme="minorHAnsi" w:hAnsiTheme="minorHAnsi" w:cs="Arial"/>
                <w:b/>
                <w:u w:val="single"/>
              </w:rPr>
            </w:pPr>
            <w:r w:rsidRPr="00626809">
              <w:rPr>
                <w:rFonts w:asciiTheme="minorHAnsi" w:hAnsiTheme="minorHAnsi" w:cs="Arial"/>
                <w:b/>
              </w:rPr>
              <w:t xml:space="preserve">Section 1 - </w:t>
            </w:r>
            <w:r w:rsidRPr="00626809">
              <w:rPr>
                <w:rFonts w:asciiTheme="minorHAnsi" w:hAnsiTheme="minorHAnsi" w:cs="Arial"/>
                <w:b/>
                <w:u w:val="single"/>
              </w:rPr>
              <w:t>Summary of case:</w:t>
            </w:r>
          </w:p>
          <w:p w:rsidR="00626809" w:rsidRPr="00626809" w:rsidRDefault="00626809" w:rsidP="00220812">
            <w:pPr>
              <w:pStyle w:val="ListParagraph"/>
              <w:ind w:left="0"/>
              <w:jc w:val="both"/>
              <w:rPr>
                <w:rFonts w:asciiTheme="minorHAnsi" w:hAnsiTheme="minorHAnsi" w:cs="Arial"/>
                <w:b/>
                <w:u w:val="single"/>
              </w:rPr>
            </w:pPr>
          </w:p>
          <w:p w:rsidR="00626809" w:rsidRPr="00626809" w:rsidRDefault="00626809" w:rsidP="00220812">
            <w:pPr>
              <w:pStyle w:val="ListParagraph"/>
              <w:ind w:left="0"/>
              <w:jc w:val="both"/>
              <w:rPr>
                <w:rFonts w:asciiTheme="minorHAnsi" w:hAnsiTheme="minorHAnsi" w:cs="Arial"/>
                <w:b/>
              </w:rPr>
            </w:pPr>
          </w:p>
        </w:tc>
      </w:tr>
      <w:tr w:rsidR="00626809" w:rsidRPr="0078428E" w:rsidTr="00220812">
        <w:tc>
          <w:tcPr>
            <w:tcW w:w="10440" w:type="dxa"/>
            <w:shd w:val="clear" w:color="auto" w:fill="auto"/>
          </w:tcPr>
          <w:p w:rsidR="00626809" w:rsidRPr="00626809" w:rsidRDefault="00626809" w:rsidP="00220812">
            <w:pPr>
              <w:pStyle w:val="ListParagraph"/>
              <w:ind w:left="0"/>
              <w:jc w:val="both"/>
              <w:rPr>
                <w:rFonts w:asciiTheme="minorHAnsi" w:hAnsiTheme="minorHAnsi" w:cs="Arial"/>
                <w:b/>
              </w:rPr>
            </w:pPr>
            <w:r w:rsidRPr="00626809">
              <w:rPr>
                <w:rFonts w:asciiTheme="minorHAnsi" w:hAnsiTheme="minorHAnsi" w:cs="Arial"/>
                <w:b/>
              </w:rPr>
              <w:t xml:space="preserve">Section 2 - </w:t>
            </w:r>
            <w:r w:rsidRPr="00626809">
              <w:rPr>
                <w:rFonts w:asciiTheme="minorHAnsi" w:hAnsiTheme="minorHAnsi" w:cs="Arial"/>
                <w:b/>
                <w:u w:val="single"/>
              </w:rPr>
              <w:t>Information received and Documents reviewed:</w:t>
            </w:r>
          </w:p>
          <w:p w:rsidR="00626809" w:rsidRPr="00626809" w:rsidRDefault="00626809" w:rsidP="00220812">
            <w:pPr>
              <w:jc w:val="both"/>
              <w:rPr>
                <w:rFonts w:asciiTheme="minorHAnsi" w:eastAsia="Times New Roman" w:hAnsiTheme="minorHAnsi" w:cs="Arial"/>
              </w:rPr>
            </w:pPr>
          </w:p>
          <w:p w:rsidR="00626809" w:rsidRPr="00626809" w:rsidRDefault="00626809" w:rsidP="00626809">
            <w:pPr>
              <w:jc w:val="both"/>
              <w:rPr>
                <w:rFonts w:asciiTheme="minorHAnsi" w:hAnsiTheme="minorHAnsi" w:cs="Arial"/>
                <w:vanish/>
              </w:rPr>
            </w:pPr>
          </w:p>
          <w:p w:rsidR="00626809" w:rsidRPr="00626809" w:rsidRDefault="00626809" w:rsidP="00220812">
            <w:pPr>
              <w:pStyle w:val="ListParagraph"/>
              <w:ind w:left="0"/>
              <w:jc w:val="both"/>
              <w:rPr>
                <w:rFonts w:asciiTheme="minorHAnsi" w:hAnsiTheme="minorHAnsi" w:cs="Arial"/>
              </w:rPr>
            </w:pPr>
          </w:p>
        </w:tc>
      </w:tr>
      <w:tr w:rsidR="00626809" w:rsidRPr="0078428E" w:rsidTr="00220812">
        <w:tc>
          <w:tcPr>
            <w:tcW w:w="10440" w:type="dxa"/>
            <w:shd w:val="clear" w:color="auto" w:fill="auto"/>
          </w:tcPr>
          <w:p w:rsidR="00626809" w:rsidRPr="00626809" w:rsidRDefault="00626809" w:rsidP="00220812">
            <w:pPr>
              <w:pStyle w:val="ListParagraph"/>
              <w:ind w:left="0"/>
              <w:jc w:val="both"/>
              <w:rPr>
                <w:rFonts w:asciiTheme="minorHAnsi" w:hAnsiTheme="minorHAnsi" w:cs="Arial"/>
                <w:b/>
              </w:rPr>
            </w:pPr>
            <w:r w:rsidRPr="00626809">
              <w:rPr>
                <w:rFonts w:asciiTheme="minorHAnsi" w:hAnsiTheme="minorHAnsi" w:cs="Arial"/>
                <w:b/>
              </w:rPr>
              <w:t xml:space="preserve">Section 3 - </w:t>
            </w:r>
            <w:r w:rsidRPr="00626809">
              <w:rPr>
                <w:rFonts w:asciiTheme="minorHAnsi" w:hAnsiTheme="minorHAnsi" w:cs="Arial"/>
                <w:b/>
                <w:u w:val="single"/>
              </w:rPr>
              <w:t>Evaluation of Information received and Documents reviewed:</w:t>
            </w:r>
          </w:p>
          <w:p w:rsidR="00626809" w:rsidRPr="00626809" w:rsidRDefault="00626809" w:rsidP="00220812">
            <w:pPr>
              <w:pStyle w:val="ListParagraph"/>
              <w:ind w:left="1241"/>
              <w:jc w:val="both"/>
              <w:rPr>
                <w:rFonts w:asciiTheme="minorHAnsi" w:hAnsiTheme="minorHAnsi" w:cs="Arial"/>
              </w:rPr>
            </w:pPr>
          </w:p>
          <w:p w:rsidR="00626809" w:rsidRPr="00626809" w:rsidRDefault="00626809" w:rsidP="00220812">
            <w:pPr>
              <w:jc w:val="both"/>
              <w:rPr>
                <w:rFonts w:asciiTheme="minorHAnsi" w:eastAsia="Times New Roman" w:hAnsiTheme="minorHAnsi" w:cs="Arial"/>
              </w:rPr>
            </w:pPr>
          </w:p>
          <w:p w:rsidR="00626809" w:rsidRPr="00626809" w:rsidRDefault="00626809" w:rsidP="00220812">
            <w:pPr>
              <w:pStyle w:val="ListParagraph"/>
              <w:ind w:left="0"/>
              <w:jc w:val="both"/>
              <w:rPr>
                <w:rFonts w:asciiTheme="minorHAnsi" w:hAnsiTheme="minorHAnsi" w:cs="Arial"/>
              </w:rPr>
            </w:pPr>
          </w:p>
        </w:tc>
      </w:tr>
      <w:tr w:rsidR="00626809" w:rsidRPr="0078428E" w:rsidTr="00220812">
        <w:tc>
          <w:tcPr>
            <w:tcW w:w="10440" w:type="dxa"/>
            <w:shd w:val="clear" w:color="auto" w:fill="auto"/>
          </w:tcPr>
          <w:p w:rsidR="00626809" w:rsidRPr="00626809" w:rsidRDefault="00626809" w:rsidP="00220812">
            <w:pPr>
              <w:pStyle w:val="ListParagraph"/>
              <w:ind w:left="0"/>
              <w:jc w:val="both"/>
              <w:rPr>
                <w:rFonts w:asciiTheme="minorHAnsi" w:hAnsiTheme="minorHAnsi" w:cs="Arial"/>
                <w:b/>
              </w:rPr>
            </w:pPr>
            <w:r w:rsidRPr="00626809">
              <w:rPr>
                <w:rFonts w:asciiTheme="minorHAnsi" w:hAnsiTheme="minorHAnsi" w:cs="Arial"/>
                <w:b/>
              </w:rPr>
              <w:t xml:space="preserve">Section 4 – </w:t>
            </w:r>
            <w:r w:rsidRPr="00626809">
              <w:rPr>
                <w:rFonts w:asciiTheme="minorHAnsi" w:hAnsiTheme="minorHAnsi" w:cs="Arial"/>
                <w:b/>
                <w:u w:val="single"/>
              </w:rPr>
              <w:t>Conclusions:</w:t>
            </w:r>
          </w:p>
          <w:p w:rsidR="00626809" w:rsidRPr="00626809" w:rsidRDefault="00626809" w:rsidP="00220812">
            <w:pPr>
              <w:jc w:val="both"/>
              <w:rPr>
                <w:rFonts w:asciiTheme="minorHAnsi" w:eastAsia="Times New Roman" w:hAnsiTheme="minorHAnsi" w:cs="Arial"/>
              </w:rPr>
            </w:pPr>
          </w:p>
          <w:p w:rsidR="00626809" w:rsidRPr="00626809" w:rsidRDefault="00626809" w:rsidP="00220812">
            <w:pPr>
              <w:jc w:val="both"/>
              <w:rPr>
                <w:rFonts w:asciiTheme="minorHAnsi" w:eastAsia="Times New Roman" w:hAnsiTheme="minorHAnsi" w:cs="Arial"/>
              </w:rPr>
            </w:pPr>
          </w:p>
          <w:p w:rsidR="00626809" w:rsidRPr="00626809" w:rsidRDefault="00626809" w:rsidP="00220812">
            <w:pPr>
              <w:jc w:val="both"/>
              <w:rPr>
                <w:rFonts w:asciiTheme="minorHAnsi" w:eastAsia="Times New Roman" w:hAnsiTheme="minorHAnsi" w:cs="Arial"/>
              </w:rPr>
            </w:pPr>
          </w:p>
        </w:tc>
      </w:tr>
      <w:tr w:rsidR="00626809" w:rsidRPr="00A85220" w:rsidTr="00220812">
        <w:tc>
          <w:tcPr>
            <w:tcW w:w="10440" w:type="dxa"/>
            <w:shd w:val="clear" w:color="auto" w:fill="auto"/>
          </w:tcPr>
          <w:p w:rsidR="00626809" w:rsidRPr="00626809" w:rsidRDefault="00626809" w:rsidP="00220812">
            <w:pPr>
              <w:spacing w:before="120" w:after="120"/>
              <w:jc w:val="both"/>
              <w:rPr>
                <w:rFonts w:asciiTheme="minorHAnsi" w:eastAsia="Times New Roman" w:hAnsiTheme="minorHAnsi" w:cs="Arial"/>
                <w:b/>
              </w:rPr>
            </w:pPr>
            <w:r w:rsidRPr="00626809">
              <w:rPr>
                <w:rFonts w:asciiTheme="minorHAnsi" w:eastAsia="Times New Roman" w:hAnsiTheme="minorHAnsi" w:cs="Arial"/>
                <w:b/>
              </w:rPr>
              <w:t xml:space="preserve">Signed: </w:t>
            </w:r>
          </w:p>
          <w:p w:rsidR="00626809" w:rsidRPr="00626809" w:rsidRDefault="00626809" w:rsidP="00220812">
            <w:pPr>
              <w:spacing w:before="120" w:after="120"/>
              <w:jc w:val="both"/>
              <w:rPr>
                <w:rFonts w:asciiTheme="minorHAnsi" w:eastAsia="Times New Roman" w:hAnsiTheme="minorHAnsi" w:cs="Arial"/>
                <w:b/>
              </w:rPr>
            </w:pPr>
            <w:r w:rsidRPr="00626809">
              <w:rPr>
                <w:rFonts w:asciiTheme="minorHAnsi" w:eastAsia="Times New Roman" w:hAnsiTheme="minorHAnsi" w:cs="Arial"/>
                <w:b/>
              </w:rPr>
              <w:t xml:space="preserve">Dated:  </w:t>
            </w:r>
          </w:p>
        </w:tc>
      </w:tr>
    </w:tbl>
    <w:p w:rsidR="002A63E2" w:rsidRDefault="002A63E2"/>
    <w:sectPr w:rsidR="002A63E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809" w:rsidRDefault="00626809" w:rsidP="008B38C7">
      <w:r>
        <w:separator/>
      </w:r>
    </w:p>
  </w:endnote>
  <w:endnote w:type="continuationSeparator" w:id="0">
    <w:p w:rsidR="00626809" w:rsidRDefault="00626809" w:rsidP="008B3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8B38C7">
    <w:pPr>
      <w:pStyle w:val="Footer"/>
    </w:pPr>
  </w:p>
  <w:p w:rsidR="008B38C7" w:rsidRDefault="00626809">
    <w:pPr>
      <w:pStyle w:val="Footer"/>
    </w:pPr>
    <w:r>
      <w:fldChar w:fldCharType="begin"/>
    </w:r>
    <w:r>
      <w:instrText xml:space="preserve"> DOCPROPERTY ClassificationMarking \* MERGEFORMAT </w:instrText>
    </w:r>
    <w:r>
      <w:fldChar w:fldCharType="separate"/>
    </w:r>
    <w:r>
      <w:t>Classification: OFFICIAL</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809" w:rsidRPr="00626809" w:rsidRDefault="00626809">
    <w:pPr>
      <w:pStyle w:val="Footer"/>
      <w:rPr>
        <w:rFonts w:asciiTheme="minorHAnsi" w:hAnsiTheme="minorHAnsi"/>
        <w:sz w:val="18"/>
        <w:szCs w:val="18"/>
      </w:rPr>
    </w:pPr>
    <w:r w:rsidRPr="00626809">
      <w:rPr>
        <w:rFonts w:asciiTheme="minorHAnsi" w:hAnsiTheme="minorHAnsi"/>
        <w:sz w:val="18"/>
        <w:szCs w:val="18"/>
      </w:rPr>
      <w:t>West of Berkshire Safeguarding Adults Review Panel Aug</w:t>
    </w:r>
    <w:r>
      <w:rPr>
        <w:rFonts w:asciiTheme="minorHAnsi" w:hAnsiTheme="minorHAnsi"/>
        <w:sz w:val="18"/>
        <w:szCs w:val="18"/>
      </w:rPr>
      <w:t>ust</w:t>
    </w:r>
    <w:r w:rsidRPr="00626809">
      <w:rPr>
        <w:rFonts w:asciiTheme="minorHAnsi" w:hAnsiTheme="minorHAnsi"/>
        <w:sz w:val="18"/>
        <w:szCs w:val="18"/>
      </w:rPr>
      <w:t xml:space="preserve"> 2017</w:t>
    </w:r>
  </w:p>
  <w:p w:rsidR="008B38C7" w:rsidRDefault="008B38C7">
    <w:pPr>
      <w:pStyle w:val="Footer"/>
    </w:pPr>
  </w:p>
  <w:p w:rsidR="00626809" w:rsidRDefault="00626809">
    <w:pPr>
      <w:pStyle w:val="Footer"/>
    </w:pPr>
    <w:fldSimple w:instr=" DOCPROPERTY ClassificationMarking \* MERGEFORMAT ">
      <w:r>
        <w:t>Classification: OFFICIAL</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8B38C7">
    <w:pPr>
      <w:pStyle w:val="Footer"/>
    </w:pPr>
  </w:p>
  <w:p w:rsidR="008B38C7" w:rsidRDefault="00626809">
    <w:pPr>
      <w:pStyle w:val="Footer"/>
    </w:pPr>
    <w:r>
      <w:fldChar w:fldCharType="begin"/>
    </w:r>
    <w:r>
      <w:instrText xml:space="preserve"> DOCPROPERTY Classi</w:instrText>
    </w:r>
    <w:r>
      <w:instrText xml:space="preserve">ficationMarking \* MERGEFORMAT </w:instrText>
    </w:r>
    <w:r>
      <w:fldChar w:fldCharType="separate"/>
    </w:r>
    <w:r>
      <w:t>Classification: OFFICIAL</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809" w:rsidRDefault="00626809" w:rsidP="008B38C7">
      <w:r>
        <w:separator/>
      </w:r>
    </w:p>
  </w:footnote>
  <w:footnote w:type="continuationSeparator" w:id="0">
    <w:p w:rsidR="00626809" w:rsidRDefault="00626809" w:rsidP="008B38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626809">
    <w:pPr>
      <w:pStyle w:val="Header"/>
    </w:pPr>
    <w:r>
      <w:fldChar w:fldCharType="begin"/>
    </w:r>
    <w:r>
      <w:instrText xml:space="preserve"> DOCPROPERTY ClassificationMarking \* MERGEFORMAT </w:instrText>
    </w:r>
    <w:r>
      <w:fldChar w:fldCharType="separate"/>
    </w:r>
    <w:r>
      <w:t>Classification: OFFICIAL</w:t>
    </w:r>
    <w:r>
      <w:fldChar w:fldCharType="end"/>
    </w:r>
  </w:p>
  <w:p w:rsidR="008B38C7" w:rsidRDefault="008B38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626809">
    <w:pPr>
      <w:pStyle w:val="Header"/>
    </w:pPr>
    <w:r>
      <w:fldChar w:fldCharType="begin"/>
    </w:r>
    <w:r>
      <w:instrText xml:space="preserve"> DOCPROPERTY ClassificationMarking \* MERGEFORMAT </w:instrText>
    </w:r>
    <w:r>
      <w:fldChar w:fldCharType="separate"/>
    </w:r>
    <w:r>
      <w:t>Classification: OFFICIAL</w:t>
    </w:r>
    <w:r>
      <w:fldChar w:fldCharType="end"/>
    </w:r>
  </w:p>
  <w:p w:rsidR="008B38C7" w:rsidRDefault="008B38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626809">
    <w:pPr>
      <w:pStyle w:val="Header"/>
    </w:pPr>
    <w:r>
      <w:fldChar w:fldCharType="begin"/>
    </w:r>
    <w:r>
      <w:instrText xml:space="preserve"> DOCPROPERTY ClassificationMarking \* MERGEFORMAT </w:instrText>
    </w:r>
    <w:r>
      <w:fldChar w:fldCharType="separate"/>
    </w:r>
    <w:r>
      <w:t>Classification: OFFICIAL</w:t>
    </w:r>
    <w:r>
      <w:fldChar w:fldCharType="end"/>
    </w:r>
  </w:p>
  <w:p w:rsidR="008B38C7" w:rsidRDefault="008B38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4C85"/>
    <w:multiLevelType w:val="hybridMultilevel"/>
    <w:tmpl w:val="6CDCCAC4"/>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6809"/>
    <w:rsid w:val="000000E2"/>
    <w:rsid w:val="00000EF8"/>
    <w:rsid w:val="00001854"/>
    <w:rsid w:val="00002BDE"/>
    <w:rsid w:val="000031B4"/>
    <w:rsid w:val="00004F28"/>
    <w:rsid w:val="00005004"/>
    <w:rsid w:val="00005021"/>
    <w:rsid w:val="00005BD5"/>
    <w:rsid w:val="00005E69"/>
    <w:rsid w:val="0001059C"/>
    <w:rsid w:val="00012EA1"/>
    <w:rsid w:val="000141DB"/>
    <w:rsid w:val="00016B50"/>
    <w:rsid w:val="0001711D"/>
    <w:rsid w:val="00020B20"/>
    <w:rsid w:val="00021308"/>
    <w:rsid w:val="000248B2"/>
    <w:rsid w:val="000250D6"/>
    <w:rsid w:val="00025A54"/>
    <w:rsid w:val="00025E9A"/>
    <w:rsid w:val="00026F62"/>
    <w:rsid w:val="00030825"/>
    <w:rsid w:val="000313F2"/>
    <w:rsid w:val="00034797"/>
    <w:rsid w:val="00035B73"/>
    <w:rsid w:val="0003644F"/>
    <w:rsid w:val="00045C9D"/>
    <w:rsid w:val="000479B9"/>
    <w:rsid w:val="0005359C"/>
    <w:rsid w:val="0005405B"/>
    <w:rsid w:val="00057ACB"/>
    <w:rsid w:val="00060398"/>
    <w:rsid w:val="00060810"/>
    <w:rsid w:val="000616F2"/>
    <w:rsid w:val="00062252"/>
    <w:rsid w:val="0006338C"/>
    <w:rsid w:val="000638E0"/>
    <w:rsid w:val="00067EF4"/>
    <w:rsid w:val="000718E0"/>
    <w:rsid w:val="00074D2E"/>
    <w:rsid w:val="00075A94"/>
    <w:rsid w:val="00077944"/>
    <w:rsid w:val="00077BE1"/>
    <w:rsid w:val="00077D12"/>
    <w:rsid w:val="00081CB9"/>
    <w:rsid w:val="0008433B"/>
    <w:rsid w:val="000844C6"/>
    <w:rsid w:val="00084E9D"/>
    <w:rsid w:val="0008657C"/>
    <w:rsid w:val="00091DA7"/>
    <w:rsid w:val="00093B56"/>
    <w:rsid w:val="000968FA"/>
    <w:rsid w:val="00097461"/>
    <w:rsid w:val="000A2B31"/>
    <w:rsid w:val="000A5544"/>
    <w:rsid w:val="000A5858"/>
    <w:rsid w:val="000B0637"/>
    <w:rsid w:val="000B0C03"/>
    <w:rsid w:val="000B0C28"/>
    <w:rsid w:val="000B2B5C"/>
    <w:rsid w:val="000B32D9"/>
    <w:rsid w:val="000B7603"/>
    <w:rsid w:val="000C0F13"/>
    <w:rsid w:val="000C1789"/>
    <w:rsid w:val="000C4C77"/>
    <w:rsid w:val="000C6C93"/>
    <w:rsid w:val="000C70DB"/>
    <w:rsid w:val="000C759C"/>
    <w:rsid w:val="000C7B97"/>
    <w:rsid w:val="000D1A57"/>
    <w:rsid w:val="000D596D"/>
    <w:rsid w:val="000D740B"/>
    <w:rsid w:val="000D78D9"/>
    <w:rsid w:val="000E0B96"/>
    <w:rsid w:val="000E31E6"/>
    <w:rsid w:val="000E4952"/>
    <w:rsid w:val="000E4EEE"/>
    <w:rsid w:val="000E50B7"/>
    <w:rsid w:val="000E6586"/>
    <w:rsid w:val="000E65C3"/>
    <w:rsid w:val="000E7870"/>
    <w:rsid w:val="000F0196"/>
    <w:rsid w:val="000F1DB4"/>
    <w:rsid w:val="000F20B3"/>
    <w:rsid w:val="000F26B9"/>
    <w:rsid w:val="000F5D8B"/>
    <w:rsid w:val="000F61BE"/>
    <w:rsid w:val="000F712A"/>
    <w:rsid w:val="00100ACE"/>
    <w:rsid w:val="001020C7"/>
    <w:rsid w:val="00102A14"/>
    <w:rsid w:val="00102CF8"/>
    <w:rsid w:val="00102FEF"/>
    <w:rsid w:val="0010307F"/>
    <w:rsid w:val="00104F11"/>
    <w:rsid w:val="00105961"/>
    <w:rsid w:val="0011251F"/>
    <w:rsid w:val="0011331A"/>
    <w:rsid w:val="00113501"/>
    <w:rsid w:val="001165F2"/>
    <w:rsid w:val="0012068E"/>
    <w:rsid w:val="00121C97"/>
    <w:rsid w:val="001232E1"/>
    <w:rsid w:val="001245AE"/>
    <w:rsid w:val="00124959"/>
    <w:rsid w:val="00127435"/>
    <w:rsid w:val="001303BE"/>
    <w:rsid w:val="0013063F"/>
    <w:rsid w:val="00133056"/>
    <w:rsid w:val="00133F03"/>
    <w:rsid w:val="00137F83"/>
    <w:rsid w:val="00140DA7"/>
    <w:rsid w:val="0014163C"/>
    <w:rsid w:val="0014246C"/>
    <w:rsid w:val="00142DA3"/>
    <w:rsid w:val="0014308D"/>
    <w:rsid w:val="00144BB7"/>
    <w:rsid w:val="001512D0"/>
    <w:rsid w:val="00152813"/>
    <w:rsid w:val="001533EB"/>
    <w:rsid w:val="001558EB"/>
    <w:rsid w:val="0016094F"/>
    <w:rsid w:val="00162A59"/>
    <w:rsid w:val="001643F7"/>
    <w:rsid w:val="00164A5D"/>
    <w:rsid w:val="001662AB"/>
    <w:rsid w:val="00172D03"/>
    <w:rsid w:val="00174263"/>
    <w:rsid w:val="001766DD"/>
    <w:rsid w:val="0018191F"/>
    <w:rsid w:val="0018606D"/>
    <w:rsid w:val="00190B39"/>
    <w:rsid w:val="001912BD"/>
    <w:rsid w:val="00195D7C"/>
    <w:rsid w:val="00197476"/>
    <w:rsid w:val="00197A71"/>
    <w:rsid w:val="00197D90"/>
    <w:rsid w:val="001A048D"/>
    <w:rsid w:val="001A0CEB"/>
    <w:rsid w:val="001A3426"/>
    <w:rsid w:val="001A4E2E"/>
    <w:rsid w:val="001A6AC2"/>
    <w:rsid w:val="001B38D4"/>
    <w:rsid w:val="001B3EFF"/>
    <w:rsid w:val="001B7BAE"/>
    <w:rsid w:val="001C02ED"/>
    <w:rsid w:val="001C2D4A"/>
    <w:rsid w:val="001C5AE3"/>
    <w:rsid w:val="001C7A41"/>
    <w:rsid w:val="001D173C"/>
    <w:rsid w:val="001D2254"/>
    <w:rsid w:val="001D33D9"/>
    <w:rsid w:val="001D6D23"/>
    <w:rsid w:val="001D7544"/>
    <w:rsid w:val="001D7A26"/>
    <w:rsid w:val="001E0974"/>
    <w:rsid w:val="001E1CA4"/>
    <w:rsid w:val="001E1F60"/>
    <w:rsid w:val="001E23B2"/>
    <w:rsid w:val="001E31F0"/>
    <w:rsid w:val="001E5A59"/>
    <w:rsid w:val="001E7542"/>
    <w:rsid w:val="001F1BBF"/>
    <w:rsid w:val="001F1DD2"/>
    <w:rsid w:val="001F2D47"/>
    <w:rsid w:val="001F4DAD"/>
    <w:rsid w:val="0020042D"/>
    <w:rsid w:val="00210071"/>
    <w:rsid w:val="0021126E"/>
    <w:rsid w:val="002143FB"/>
    <w:rsid w:val="00217415"/>
    <w:rsid w:val="002224C7"/>
    <w:rsid w:val="00222DB7"/>
    <w:rsid w:val="00223859"/>
    <w:rsid w:val="00224604"/>
    <w:rsid w:val="00224675"/>
    <w:rsid w:val="002248C5"/>
    <w:rsid w:val="00225DFD"/>
    <w:rsid w:val="00226E36"/>
    <w:rsid w:val="00231EFA"/>
    <w:rsid w:val="002374B2"/>
    <w:rsid w:val="00237829"/>
    <w:rsid w:val="002409FC"/>
    <w:rsid w:val="00242AA0"/>
    <w:rsid w:val="002437B5"/>
    <w:rsid w:val="00244358"/>
    <w:rsid w:val="00244498"/>
    <w:rsid w:val="00245EA8"/>
    <w:rsid w:val="00246051"/>
    <w:rsid w:val="0024652B"/>
    <w:rsid w:val="00246753"/>
    <w:rsid w:val="00246C16"/>
    <w:rsid w:val="00246EB5"/>
    <w:rsid w:val="00250ADC"/>
    <w:rsid w:val="002515BE"/>
    <w:rsid w:val="002539C2"/>
    <w:rsid w:val="00253B4F"/>
    <w:rsid w:val="00254BB9"/>
    <w:rsid w:val="00260DDB"/>
    <w:rsid w:val="002612B2"/>
    <w:rsid w:val="00261508"/>
    <w:rsid w:val="00262EAB"/>
    <w:rsid w:val="00263C0C"/>
    <w:rsid w:val="002651BB"/>
    <w:rsid w:val="002657BB"/>
    <w:rsid w:val="00267244"/>
    <w:rsid w:val="00267251"/>
    <w:rsid w:val="00273A97"/>
    <w:rsid w:val="0027699F"/>
    <w:rsid w:val="002775B9"/>
    <w:rsid w:val="00277A0A"/>
    <w:rsid w:val="0028022E"/>
    <w:rsid w:val="00280D41"/>
    <w:rsid w:val="00280DD1"/>
    <w:rsid w:val="0028138C"/>
    <w:rsid w:val="00286681"/>
    <w:rsid w:val="0028731E"/>
    <w:rsid w:val="00290114"/>
    <w:rsid w:val="002909AE"/>
    <w:rsid w:val="002939FB"/>
    <w:rsid w:val="00293EDD"/>
    <w:rsid w:val="002A0C29"/>
    <w:rsid w:val="002A1C9C"/>
    <w:rsid w:val="002A1E00"/>
    <w:rsid w:val="002A2311"/>
    <w:rsid w:val="002A3F7A"/>
    <w:rsid w:val="002A5D45"/>
    <w:rsid w:val="002A63E2"/>
    <w:rsid w:val="002B0FB5"/>
    <w:rsid w:val="002B4198"/>
    <w:rsid w:val="002B5797"/>
    <w:rsid w:val="002B58CE"/>
    <w:rsid w:val="002B5F3D"/>
    <w:rsid w:val="002B680D"/>
    <w:rsid w:val="002B6F25"/>
    <w:rsid w:val="002C0DE6"/>
    <w:rsid w:val="002C1CF3"/>
    <w:rsid w:val="002C3822"/>
    <w:rsid w:val="002C4A30"/>
    <w:rsid w:val="002C5441"/>
    <w:rsid w:val="002C78DB"/>
    <w:rsid w:val="002D02E1"/>
    <w:rsid w:val="002D12E5"/>
    <w:rsid w:val="002D4A97"/>
    <w:rsid w:val="002E1743"/>
    <w:rsid w:val="002E2A40"/>
    <w:rsid w:val="002E5409"/>
    <w:rsid w:val="002E6154"/>
    <w:rsid w:val="002E64DD"/>
    <w:rsid w:val="002E698F"/>
    <w:rsid w:val="002E7CBC"/>
    <w:rsid w:val="002F0BCB"/>
    <w:rsid w:val="002F2E91"/>
    <w:rsid w:val="002F31FE"/>
    <w:rsid w:val="002F4BF9"/>
    <w:rsid w:val="00301173"/>
    <w:rsid w:val="003048B7"/>
    <w:rsid w:val="00310BBD"/>
    <w:rsid w:val="00311EC1"/>
    <w:rsid w:val="00315D27"/>
    <w:rsid w:val="00323984"/>
    <w:rsid w:val="00323CB4"/>
    <w:rsid w:val="00323CB5"/>
    <w:rsid w:val="00326D3E"/>
    <w:rsid w:val="00330CE9"/>
    <w:rsid w:val="00332213"/>
    <w:rsid w:val="00332587"/>
    <w:rsid w:val="0033342F"/>
    <w:rsid w:val="0033344B"/>
    <w:rsid w:val="0033450C"/>
    <w:rsid w:val="00335321"/>
    <w:rsid w:val="00335891"/>
    <w:rsid w:val="0033630A"/>
    <w:rsid w:val="003448F4"/>
    <w:rsid w:val="0034570E"/>
    <w:rsid w:val="0034572B"/>
    <w:rsid w:val="00346F5E"/>
    <w:rsid w:val="00346F9E"/>
    <w:rsid w:val="00353449"/>
    <w:rsid w:val="003611E9"/>
    <w:rsid w:val="00361DE3"/>
    <w:rsid w:val="00362E94"/>
    <w:rsid w:val="0036378E"/>
    <w:rsid w:val="00363792"/>
    <w:rsid w:val="00363F32"/>
    <w:rsid w:val="003666BE"/>
    <w:rsid w:val="00367415"/>
    <w:rsid w:val="00370FC2"/>
    <w:rsid w:val="00373BA4"/>
    <w:rsid w:val="00383EA8"/>
    <w:rsid w:val="00384D71"/>
    <w:rsid w:val="00387BAA"/>
    <w:rsid w:val="00387EFC"/>
    <w:rsid w:val="00387F8E"/>
    <w:rsid w:val="00390B89"/>
    <w:rsid w:val="00391BF4"/>
    <w:rsid w:val="0039460D"/>
    <w:rsid w:val="003A04D7"/>
    <w:rsid w:val="003A52B7"/>
    <w:rsid w:val="003A5880"/>
    <w:rsid w:val="003B0C3C"/>
    <w:rsid w:val="003B67BB"/>
    <w:rsid w:val="003C3153"/>
    <w:rsid w:val="003C6A9D"/>
    <w:rsid w:val="003D1C0C"/>
    <w:rsid w:val="003D417D"/>
    <w:rsid w:val="003D6FCB"/>
    <w:rsid w:val="003E2D7B"/>
    <w:rsid w:val="003E4D44"/>
    <w:rsid w:val="003E5068"/>
    <w:rsid w:val="003F0F26"/>
    <w:rsid w:val="003F416D"/>
    <w:rsid w:val="00402319"/>
    <w:rsid w:val="00403EA3"/>
    <w:rsid w:val="0040449F"/>
    <w:rsid w:val="004045D6"/>
    <w:rsid w:val="00405939"/>
    <w:rsid w:val="0041489F"/>
    <w:rsid w:val="00415AED"/>
    <w:rsid w:val="00417115"/>
    <w:rsid w:val="00417407"/>
    <w:rsid w:val="00420964"/>
    <w:rsid w:val="00421EEC"/>
    <w:rsid w:val="00422D4F"/>
    <w:rsid w:val="00423C87"/>
    <w:rsid w:val="00427D3E"/>
    <w:rsid w:val="004374CA"/>
    <w:rsid w:val="00440E65"/>
    <w:rsid w:val="004460B6"/>
    <w:rsid w:val="0044623C"/>
    <w:rsid w:val="004545CB"/>
    <w:rsid w:val="0046053B"/>
    <w:rsid w:val="0046134F"/>
    <w:rsid w:val="00465FCA"/>
    <w:rsid w:val="004673EC"/>
    <w:rsid w:val="004675D8"/>
    <w:rsid w:val="004704E9"/>
    <w:rsid w:val="00470CA3"/>
    <w:rsid w:val="00472F30"/>
    <w:rsid w:val="00474283"/>
    <w:rsid w:val="0047583E"/>
    <w:rsid w:val="0047596C"/>
    <w:rsid w:val="00477855"/>
    <w:rsid w:val="0048196A"/>
    <w:rsid w:val="004825F2"/>
    <w:rsid w:val="00483DC6"/>
    <w:rsid w:val="00485889"/>
    <w:rsid w:val="004872A0"/>
    <w:rsid w:val="0049138F"/>
    <w:rsid w:val="0049276B"/>
    <w:rsid w:val="004929EE"/>
    <w:rsid w:val="00492F1D"/>
    <w:rsid w:val="00493DB8"/>
    <w:rsid w:val="00494959"/>
    <w:rsid w:val="0049753D"/>
    <w:rsid w:val="004A190A"/>
    <w:rsid w:val="004A1A57"/>
    <w:rsid w:val="004A2C4E"/>
    <w:rsid w:val="004A6C82"/>
    <w:rsid w:val="004B66F8"/>
    <w:rsid w:val="004B76BD"/>
    <w:rsid w:val="004C07B4"/>
    <w:rsid w:val="004C09FA"/>
    <w:rsid w:val="004C3355"/>
    <w:rsid w:val="004C6244"/>
    <w:rsid w:val="004C70FE"/>
    <w:rsid w:val="004D1077"/>
    <w:rsid w:val="004D3A05"/>
    <w:rsid w:val="004D59A7"/>
    <w:rsid w:val="004D7743"/>
    <w:rsid w:val="004D7CCE"/>
    <w:rsid w:val="004E18C8"/>
    <w:rsid w:val="004E4CBA"/>
    <w:rsid w:val="004E4D66"/>
    <w:rsid w:val="004E7417"/>
    <w:rsid w:val="004F0C0E"/>
    <w:rsid w:val="004F3339"/>
    <w:rsid w:val="004F3F40"/>
    <w:rsid w:val="0050094D"/>
    <w:rsid w:val="0050165C"/>
    <w:rsid w:val="00501F22"/>
    <w:rsid w:val="00502E8C"/>
    <w:rsid w:val="00503A70"/>
    <w:rsid w:val="00505D61"/>
    <w:rsid w:val="00510076"/>
    <w:rsid w:val="0051049A"/>
    <w:rsid w:val="00512EA1"/>
    <w:rsid w:val="005134DF"/>
    <w:rsid w:val="00515056"/>
    <w:rsid w:val="0051704D"/>
    <w:rsid w:val="00520F40"/>
    <w:rsid w:val="00522C76"/>
    <w:rsid w:val="00524EA6"/>
    <w:rsid w:val="005264F9"/>
    <w:rsid w:val="0053075A"/>
    <w:rsid w:val="0053113D"/>
    <w:rsid w:val="00535031"/>
    <w:rsid w:val="005352E2"/>
    <w:rsid w:val="00537E6E"/>
    <w:rsid w:val="00544836"/>
    <w:rsid w:val="00544B6D"/>
    <w:rsid w:val="005463D5"/>
    <w:rsid w:val="00547391"/>
    <w:rsid w:val="00547454"/>
    <w:rsid w:val="00551182"/>
    <w:rsid w:val="00551BD4"/>
    <w:rsid w:val="005521B4"/>
    <w:rsid w:val="005534EF"/>
    <w:rsid w:val="005542B7"/>
    <w:rsid w:val="00554321"/>
    <w:rsid w:val="00556B4C"/>
    <w:rsid w:val="005636E5"/>
    <w:rsid w:val="00564176"/>
    <w:rsid w:val="00565B23"/>
    <w:rsid w:val="00566262"/>
    <w:rsid w:val="005677FE"/>
    <w:rsid w:val="00571503"/>
    <w:rsid w:val="00572858"/>
    <w:rsid w:val="005729F8"/>
    <w:rsid w:val="00573961"/>
    <w:rsid w:val="0057674E"/>
    <w:rsid w:val="005806D0"/>
    <w:rsid w:val="00581391"/>
    <w:rsid w:val="005828A0"/>
    <w:rsid w:val="00582CEF"/>
    <w:rsid w:val="005836A2"/>
    <w:rsid w:val="00583A6F"/>
    <w:rsid w:val="00584F17"/>
    <w:rsid w:val="00585E98"/>
    <w:rsid w:val="005867D1"/>
    <w:rsid w:val="0059020E"/>
    <w:rsid w:val="0059239B"/>
    <w:rsid w:val="00595B52"/>
    <w:rsid w:val="00596F6F"/>
    <w:rsid w:val="005A2ECF"/>
    <w:rsid w:val="005A30DD"/>
    <w:rsid w:val="005A41EE"/>
    <w:rsid w:val="005A619B"/>
    <w:rsid w:val="005B0DBB"/>
    <w:rsid w:val="005B3FB1"/>
    <w:rsid w:val="005B6BB1"/>
    <w:rsid w:val="005B6E81"/>
    <w:rsid w:val="005B774F"/>
    <w:rsid w:val="005B7F64"/>
    <w:rsid w:val="005C1B1C"/>
    <w:rsid w:val="005C25EF"/>
    <w:rsid w:val="005C311D"/>
    <w:rsid w:val="005C3E69"/>
    <w:rsid w:val="005C58E3"/>
    <w:rsid w:val="005C7A75"/>
    <w:rsid w:val="005D1AE3"/>
    <w:rsid w:val="005D1C14"/>
    <w:rsid w:val="005D20F2"/>
    <w:rsid w:val="005D43CF"/>
    <w:rsid w:val="005D4523"/>
    <w:rsid w:val="005D7AAE"/>
    <w:rsid w:val="005D7CAB"/>
    <w:rsid w:val="005E1AD6"/>
    <w:rsid w:val="005E3A8D"/>
    <w:rsid w:val="005E5CC1"/>
    <w:rsid w:val="005E60B4"/>
    <w:rsid w:val="005E6E33"/>
    <w:rsid w:val="005E7FD1"/>
    <w:rsid w:val="005E7FDE"/>
    <w:rsid w:val="005F0341"/>
    <w:rsid w:val="005F1E13"/>
    <w:rsid w:val="005F316F"/>
    <w:rsid w:val="005F31DA"/>
    <w:rsid w:val="005F33C8"/>
    <w:rsid w:val="005F3FE8"/>
    <w:rsid w:val="005F4112"/>
    <w:rsid w:val="005F629E"/>
    <w:rsid w:val="00602CDF"/>
    <w:rsid w:val="006049A1"/>
    <w:rsid w:val="00613453"/>
    <w:rsid w:val="006143C4"/>
    <w:rsid w:val="0062081B"/>
    <w:rsid w:val="006219C4"/>
    <w:rsid w:val="0062206A"/>
    <w:rsid w:val="0062562D"/>
    <w:rsid w:val="00626809"/>
    <w:rsid w:val="00626E71"/>
    <w:rsid w:val="0063034D"/>
    <w:rsid w:val="00630AB4"/>
    <w:rsid w:val="00630B5D"/>
    <w:rsid w:val="00634C0E"/>
    <w:rsid w:val="00634C7B"/>
    <w:rsid w:val="00635DFC"/>
    <w:rsid w:val="0064325B"/>
    <w:rsid w:val="00643677"/>
    <w:rsid w:val="00643ADE"/>
    <w:rsid w:val="0064426F"/>
    <w:rsid w:val="006467DD"/>
    <w:rsid w:val="0064771E"/>
    <w:rsid w:val="0065005C"/>
    <w:rsid w:val="006543E7"/>
    <w:rsid w:val="00655657"/>
    <w:rsid w:val="00656AD7"/>
    <w:rsid w:val="00656EAE"/>
    <w:rsid w:val="00657DBC"/>
    <w:rsid w:val="00661046"/>
    <w:rsid w:val="006616F0"/>
    <w:rsid w:val="006639F3"/>
    <w:rsid w:val="00664470"/>
    <w:rsid w:val="00667609"/>
    <w:rsid w:val="00671F1F"/>
    <w:rsid w:val="0067264B"/>
    <w:rsid w:val="006814B4"/>
    <w:rsid w:val="00681BA8"/>
    <w:rsid w:val="00681C38"/>
    <w:rsid w:val="00682196"/>
    <w:rsid w:val="006832DA"/>
    <w:rsid w:val="00684F5E"/>
    <w:rsid w:val="00685122"/>
    <w:rsid w:val="00692043"/>
    <w:rsid w:val="006946D1"/>
    <w:rsid w:val="00695243"/>
    <w:rsid w:val="006953AD"/>
    <w:rsid w:val="00696F36"/>
    <w:rsid w:val="00696FFE"/>
    <w:rsid w:val="006A0DBF"/>
    <w:rsid w:val="006A1A7A"/>
    <w:rsid w:val="006A6633"/>
    <w:rsid w:val="006A6752"/>
    <w:rsid w:val="006A6F31"/>
    <w:rsid w:val="006B2271"/>
    <w:rsid w:val="006B2570"/>
    <w:rsid w:val="006B274C"/>
    <w:rsid w:val="006B5838"/>
    <w:rsid w:val="006C07C3"/>
    <w:rsid w:val="006C0806"/>
    <w:rsid w:val="006C27D8"/>
    <w:rsid w:val="006C2BB6"/>
    <w:rsid w:val="006C3077"/>
    <w:rsid w:val="006C3141"/>
    <w:rsid w:val="006C39EB"/>
    <w:rsid w:val="006C40A8"/>
    <w:rsid w:val="006C5182"/>
    <w:rsid w:val="006C6434"/>
    <w:rsid w:val="006C681E"/>
    <w:rsid w:val="006C7DE9"/>
    <w:rsid w:val="006D0554"/>
    <w:rsid w:val="006D0ADC"/>
    <w:rsid w:val="006D1ED7"/>
    <w:rsid w:val="006D39E2"/>
    <w:rsid w:val="006D4307"/>
    <w:rsid w:val="006E0CD2"/>
    <w:rsid w:val="006E1DE5"/>
    <w:rsid w:val="006E3409"/>
    <w:rsid w:val="006E45C1"/>
    <w:rsid w:val="006E67CB"/>
    <w:rsid w:val="006E7933"/>
    <w:rsid w:val="006F1F9B"/>
    <w:rsid w:val="006F4137"/>
    <w:rsid w:val="006F576C"/>
    <w:rsid w:val="006F594E"/>
    <w:rsid w:val="006F6D7E"/>
    <w:rsid w:val="00702727"/>
    <w:rsid w:val="00703B68"/>
    <w:rsid w:val="0070441C"/>
    <w:rsid w:val="007061DA"/>
    <w:rsid w:val="007070F8"/>
    <w:rsid w:val="007072DE"/>
    <w:rsid w:val="00711052"/>
    <w:rsid w:val="00712609"/>
    <w:rsid w:val="00712E35"/>
    <w:rsid w:val="00714766"/>
    <w:rsid w:val="00716A88"/>
    <w:rsid w:val="007212E6"/>
    <w:rsid w:val="00722F54"/>
    <w:rsid w:val="00723F37"/>
    <w:rsid w:val="007242DA"/>
    <w:rsid w:val="00724E4B"/>
    <w:rsid w:val="00727209"/>
    <w:rsid w:val="0073338A"/>
    <w:rsid w:val="00733BEB"/>
    <w:rsid w:val="00733C2A"/>
    <w:rsid w:val="0073454F"/>
    <w:rsid w:val="007371C2"/>
    <w:rsid w:val="0074526E"/>
    <w:rsid w:val="007466A9"/>
    <w:rsid w:val="00746F12"/>
    <w:rsid w:val="00750D2A"/>
    <w:rsid w:val="007564A3"/>
    <w:rsid w:val="00762B68"/>
    <w:rsid w:val="00764916"/>
    <w:rsid w:val="00765EF1"/>
    <w:rsid w:val="00767DFE"/>
    <w:rsid w:val="00774F21"/>
    <w:rsid w:val="007803A1"/>
    <w:rsid w:val="00780F20"/>
    <w:rsid w:val="007834CF"/>
    <w:rsid w:val="00787408"/>
    <w:rsid w:val="007A025C"/>
    <w:rsid w:val="007A27ED"/>
    <w:rsid w:val="007A2A9E"/>
    <w:rsid w:val="007A34CE"/>
    <w:rsid w:val="007A6557"/>
    <w:rsid w:val="007A780A"/>
    <w:rsid w:val="007B0163"/>
    <w:rsid w:val="007B04C1"/>
    <w:rsid w:val="007B0A49"/>
    <w:rsid w:val="007B1899"/>
    <w:rsid w:val="007B19A6"/>
    <w:rsid w:val="007B2A6E"/>
    <w:rsid w:val="007B3AAD"/>
    <w:rsid w:val="007B3B30"/>
    <w:rsid w:val="007B61D7"/>
    <w:rsid w:val="007B6F6D"/>
    <w:rsid w:val="007B7B4E"/>
    <w:rsid w:val="007C0143"/>
    <w:rsid w:val="007C1E8A"/>
    <w:rsid w:val="007C24B7"/>
    <w:rsid w:val="007C2C3B"/>
    <w:rsid w:val="007C7396"/>
    <w:rsid w:val="007D15FA"/>
    <w:rsid w:val="007D41CC"/>
    <w:rsid w:val="007D4E32"/>
    <w:rsid w:val="007D53F9"/>
    <w:rsid w:val="007D57B9"/>
    <w:rsid w:val="007D6220"/>
    <w:rsid w:val="007D6665"/>
    <w:rsid w:val="007D787D"/>
    <w:rsid w:val="007E15C2"/>
    <w:rsid w:val="007E1E1A"/>
    <w:rsid w:val="007E3077"/>
    <w:rsid w:val="007E40C9"/>
    <w:rsid w:val="007E59C6"/>
    <w:rsid w:val="007E5A93"/>
    <w:rsid w:val="007F379A"/>
    <w:rsid w:val="007F55D2"/>
    <w:rsid w:val="007F5A41"/>
    <w:rsid w:val="00801AD6"/>
    <w:rsid w:val="00805E73"/>
    <w:rsid w:val="00812209"/>
    <w:rsid w:val="00813BCB"/>
    <w:rsid w:val="00814C9A"/>
    <w:rsid w:val="00817C94"/>
    <w:rsid w:val="00821C54"/>
    <w:rsid w:val="008227AF"/>
    <w:rsid w:val="0082285D"/>
    <w:rsid w:val="0082758C"/>
    <w:rsid w:val="00833A57"/>
    <w:rsid w:val="00835863"/>
    <w:rsid w:val="008367A2"/>
    <w:rsid w:val="00837CC1"/>
    <w:rsid w:val="008428C4"/>
    <w:rsid w:val="00845123"/>
    <w:rsid w:val="00845AC5"/>
    <w:rsid w:val="00846437"/>
    <w:rsid w:val="00846658"/>
    <w:rsid w:val="00852A9B"/>
    <w:rsid w:val="00852C8C"/>
    <w:rsid w:val="008534DD"/>
    <w:rsid w:val="00853E21"/>
    <w:rsid w:val="008646EE"/>
    <w:rsid w:val="00867955"/>
    <w:rsid w:val="0087067C"/>
    <w:rsid w:val="00870C55"/>
    <w:rsid w:val="00872B12"/>
    <w:rsid w:val="00875A36"/>
    <w:rsid w:val="00876D27"/>
    <w:rsid w:val="00876E81"/>
    <w:rsid w:val="00876F1B"/>
    <w:rsid w:val="00877DA8"/>
    <w:rsid w:val="0088003F"/>
    <w:rsid w:val="00881022"/>
    <w:rsid w:val="008845B4"/>
    <w:rsid w:val="00884ED1"/>
    <w:rsid w:val="0088598A"/>
    <w:rsid w:val="00886469"/>
    <w:rsid w:val="00890B08"/>
    <w:rsid w:val="00891236"/>
    <w:rsid w:val="00891840"/>
    <w:rsid w:val="00893E8F"/>
    <w:rsid w:val="00895B95"/>
    <w:rsid w:val="00896112"/>
    <w:rsid w:val="008A29CD"/>
    <w:rsid w:val="008A43B6"/>
    <w:rsid w:val="008A533A"/>
    <w:rsid w:val="008A6CD8"/>
    <w:rsid w:val="008A7C42"/>
    <w:rsid w:val="008A7E51"/>
    <w:rsid w:val="008B0ABF"/>
    <w:rsid w:val="008B16D5"/>
    <w:rsid w:val="008B2F30"/>
    <w:rsid w:val="008B38C7"/>
    <w:rsid w:val="008B481D"/>
    <w:rsid w:val="008B5736"/>
    <w:rsid w:val="008C024E"/>
    <w:rsid w:val="008C0B11"/>
    <w:rsid w:val="008C31B3"/>
    <w:rsid w:val="008C4447"/>
    <w:rsid w:val="008C6C05"/>
    <w:rsid w:val="008D295D"/>
    <w:rsid w:val="008D29CC"/>
    <w:rsid w:val="008D505E"/>
    <w:rsid w:val="008D6FD6"/>
    <w:rsid w:val="008D79DA"/>
    <w:rsid w:val="008E18E4"/>
    <w:rsid w:val="008E3B5D"/>
    <w:rsid w:val="008E4C66"/>
    <w:rsid w:val="008E59D7"/>
    <w:rsid w:val="008E6647"/>
    <w:rsid w:val="008E7B69"/>
    <w:rsid w:val="008F032E"/>
    <w:rsid w:val="008F3A36"/>
    <w:rsid w:val="008F6E82"/>
    <w:rsid w:val="00900881"/>
    <w:rsid w:val="009008BD"/>
    <w:rsid w:val="0090237D"/>
    <w:rsid w:val="00902FE8"/>
    <w:rsid w:val="00903536"/>
    <w:rsid w:val="00903AD6"/>
    <w:rsid w:val="00903FAB"/>
    <w:rsid w:val="00910BD9"/>
    <w:rsid w:val="00911984"/>
    <w:rsid w:val="00914747"/>
    <w:rsid w:val="009177CF"/>
    <w:rsid w:val="00923023"/>
    <w:rsid w:val="00924A28"/>
    <w:rsid w:val="00926A08"/>
    <w:rsid w:val="00931C9F"/>
    <w:rsid w:val="00932CD2"/>
    <w:rsid w:val="00937B3A"/>
    <w:rsid w:val="0094059C"/>
    <w:rsid w:val="00942B58"/>
    <w:rsid w:val="0094635E"/>
    <w:rsid w:val="00946F95"/>
    <w:rsid w:val="00952774"/>
    <w:rsid w:val="00952EE2"/>
    <w:rsid w:val="00953D88"/>
    <w:rsid w:val="00961113"/>
    <w:rsid w:val="009616CE"/>
    <w:rsid w:val="00962894"/>
    <w:rsid w:val="00963084"/>
    <w:rsid w:val="00963175"/>
    <w:rsid w:val="0096327B"/>
    <w:rsid w:val="009728DB"/>
    <w:rsid w:val="00975223"/>
    <w:rsid w:val="009757A1"/>
    <w:rsid w:val="009777FA"/>
    <w:rsid w:val="00980C7C"/>
    <w:rsid w:val="009814D1"/>
    <w:rsid w:val="00982D1B"/>
    <w:rsid w:val="00986C37"/>
    <w:rsid w:val="00986CF0"/>
    <w:rsid w:val="0099041D"/>
    <w:rsid w:val="00990840"/>
    <w:rsid w:val="009927FE"/>
    <w:rsid w:val="00992BA9"/>
    <w:rsid w:val="00993EB7"/>
    <w:rsid w:val="00996882"/>
    <w:rsid w:val="009A13AB"/>
    <w:rsid w:val="009A27E1"/>
    <w:rsid w:val="009A3790"/>
    <w:rsid w:val="009A74CD"/>
    <w:rsid w:val="009B4049"/>
    <w:rsid w:val="009B5D59"/>
    <w:rsid w:val="009B77D3"/>
    <w:rsid w:val="009B7A57"/>
    <w:rsid w:val="009C035A"/>
    <w:rsid w:val="009C03B0"/>
    <w:rsid w:val="009C35F7"/>
    <w:rsid w:val="009C3CBF"/>
    <w:rsid w:val="009C3EE7"/>
    <w:rsid w:val="009C4CD2"/>
    <w:rsid w:val="009C5BDF"/>
    <w:rsid w:val="009C7F25"/>
    <w:rsid w:val="009D0082"/>
    <w:rsid w:val="009D2211"/>
    <w:rsid w:val="009D38AD"/>
    <w:rsid w:val="009D4293"/>
    <w:rsid w:val="009D4AB9"/>
    <w:rsid w:val="009E1305"/>
    <w:rsid w:val="009E3531"/>
    <w:rsid w:val="009E3E97"/>
    <w:rsid w:val="009E4D48"/>
    <w:rsid w:val="009E6661"/>
    <w:rsid w:val="009F3C8D"/>
    <w:rsid w:val="009F6BC9"/>
    <w:rsid w:val="00A00491"/>
    <w:rsid w:val="00A00EF8"/>
    <w:rsid w:val="00A03668"/>
    <w:rsid w:val="00A03C01"/>
    <w:rsid w:val="00A06122"/>
    <w:rsid w:val="00A078D6"/>
    <w:rsid w:val="00A10063"/>
    <w:rsid w:val="00A10352"/>
    <w:rsid w:val="00A10B18"/>
    <w:rsid w:val="00A21CE0"/>
    <w:rsid w:val="00A21D19"/>
    <w:rsid w:val="00A27C3F"/>
    <w:rsid w:val="00A27F88"/>
    <w:rsid w:val="00A365C8"/>
    <w:rsid w:val="00A366F3"/>
    <w:rsid w:val="00A42665"/>
    <w:rsid w:val="00A4449D"/>
    <w:rsid w:val="00A44A6C"/>
    <w:rsid w:val="00A46174"/>
    <w:rsid w:val="00A462D2"/>
    <w:rsid w:val="00A46483"/>
    <w:rsid w:val="00A47A83"/>
    <w:rsid w:val="00A47CB4"/>
    <w:rsid w:val="00A50918"/>
    <w:rsid w:val="00A5531E"/>
    <w:rsid w:val="00A56B7C"/>
    <w:rsid w:val="00A56C08"/>
    <w:rsid w:val="00A60C89"/>
    <w:rsid w:val="00A61B4F"/>
    <w:rsid w:val="00A63F49"/>
    <w:rsid w:val="00A65FEB"/>
    <w:rsid w:val="00A671BF"/>
    <w:rsid w:val="00A67DBF"/>
    <w:rsid w:val="00A70064"/>
    <w:rsid w:val="00A75ABA"/>
    <w:rsid w:val="00A7676B"/>
    <w:rsid w:val="00A778E4"/>
    <w:rsid w:val="00A8060E"/>
    <w:rsid w:val="00A835F2"/>
    <w:rsid w:val="00A85B4D"/>
    <w:rsid w:val="00A87122"/>
    <w:rsid w:val="00A879CA"/>
    <w:rsid w:val="00A87B4F"/>
    <w:rsid w:val="00A919F0"/>
    <w:rsid w:val="00A91F62"/>
    <w:rsid w:val="00A9328D"/>
    <w:rsid w:val="00A94883"/>
    <w:rsid w:val="00A95ADE"/>
    <w:rsid w:val="00A971CF"/>
    <w:rsid w:val="00AA06FE"/>
    <w:rsid w:val="00AA1DC0"/>
    <w:rsid w:val="00AA286F"/>
    <w:rsid w:val="00AA328E"/>
    <w:rsid w:val="00AA34CF"/>
    <w:rsid w:val="00AA3A95"/>
    <w:rsid w:val="00AA493E"/>
    <w:rsid w:val="00AA77B9"/>
    <w:rsid w:val="00AB1CC0"/>
    <w:rsid w:val="00AB2079"/>
    <w:rsid w:val="00AB35CF"/>
    <w:rsid w:val="00AB4ECC"/>
    <w:rsid w:val="00AB67E5"/>
    <w:rsid w:val="00AB694D"/>
    <w:rsid w:val="00AC1525"/>
    <w:rsid w:val="00AC1F6B"/>
    <w:rsid w:val="00AC2185"/>
    <w:rsid w:val="00AC4A1A"/>
    <w:rsid w:val="00AC52ED"/>
    <w:rsid w:val="00AC5322"/>
    <w:rsid w:val="00AC5E35"/>
    <w:rsid w:val="00AD10B1"/>
    <w:rsid w:val="00AD1FE7"/>
    <w:rsid w:val="00AD30C5"/>
    <w:rsid w:val="00AD6906"/>
    <w:rsid w:val="00AE211F"/>
    <w:rsid w:val="00AE350E"/>
    <w:rsid w:val="00AE3D94"/>
    <w:rsid w:val="00AE47D4"/>
    <w:rsid w:val="00AE7AA5"/>
    <w:rsid w:val="00AF033C"/>
    <w:rsid w:val="00AF0C9C"/>
    <w:rsid w:val="00AF4532"/>
    <w:rsid w:val="00AF4CCD"/>
    <w:rsid w:val="00AF5AF9"/>
    <w:rsid w:val="00AF6D86"/>
    <w:rsid w:val="00AF6FCE"/>
    <w:rsid w:val="00B03365"/>
    <w:rsid w:val="00B05F2F"/>
    <w:rsid w:val="00B073A5"/>
    <w:rsid w:val="00B14774"/>
    <w:rsid w:val="00B158A0"/>
    <w:rsid w:val="00B17686"/>
    <w:rsid w:val="00B17DC1"/>
    <w:rsid w:val="00B210BE"/>
    <w:rsid w:val="00B221FB"/>
    <w:rsid w:val="00B2638C"/>
    <w:rsid w:val="00B30204"/>
    <w:rsid w:val="00B30F07"/>
    <w:rsid w:val="00B318A8"/>
    <w:rsid w:val="00B32814"/>
    <w:rsid w:val="00B335B7"/>
    <w:rsid w:val="00B349F2"/>
    <w:rsid w:val="00B36440"/>
    <w:rsid w:val="00B41F72"/>
    <w:rsid w:val="00B46114"/>
    <w:rsid w:val="00B47896"/>
    <w:rsid w:val="00B50DF8"/>
    <w:rsid w:val="00B51ACC"/>
    <w:rsid w:val="00B55025"/>
    <w:rsid w:val="00B55513"/>
    <w:rsid w:val="00B62C9F"/>
    <w:rsid w:val="00B640FE"/>
    <w:rsid w:val="00B67214"/>
    <w:rsid w:val="00B73F73"/>
    <w:rsid w:val="00B75818"/>
    <w:rsid w:val="00B75905"/>
    <w:rsid w:val="00B76509"/>
    <w:rsid w:val="00B812F3"/>
    <w:rsid w:val="00B8340F"/>
    <w:rsid w:val="00B85055"/>
    <w:rsid w:val="00B87BC3"/>
    <w:rsid w:val="00B935FB"/>
    <w:rsid w:val="00BA2E4B"/>
    <w:rsid w:val="00BA4315"/>
    <w:rsid w:val="00BA488D"/>
    <w:rsid w:val="00BA515F"/>
    <w:rsid w:val="00BA6F2D"/>
    <w:rsid w:val="00BB0FF9"/>
    <w:rsid w:val="00BB1C86"/>
    <w:rsid w:val="00BB2AC7"/>
    <w:rsid w:val="00BB5B41"/>
    <w:rsid w:val="00BB5FAE"/>
    <w:rsid w:val="00BC3286"/>
    <w:rsid w:val="00BC46E4"/>
    <w:rsid w:val="00BC4F9A"/>
    <w:rsid w:val="00BD144C"/>
    <w:rsid w:val="00BD30CD"/>
    <w:rsid w:val="00BD6195"/>
    <w:rsid w:val="00BD6A3C"/>
    <w:rsid w:val="00BD78AB"/>
    <w:rsid w:val="00BE1B83"/>
    <w:rsid w:val="00BE23D5"/>
    <w:rsid w:val="00BE7BDD"/>
    <w:rsid w:val="00BF331E"/>
    <w:rsid w:val="00BF3DEB"/>
    <w:rsid w:val="00BF5796"/>
    <w:rsid w:val="00BF7250"/>
    <w:rsid w:val="00C0181B"/>
    <w:rsid w:val="00C02E5C"/>
    <w:rsid w:val="00C03199"/>
    <w:rsid w:val="00C03C1B"/>
    <w:rsid w:val="00C04A7A"/>
    <w:rsid w:val="00C04DF2"/>
    <w:rsid w:val="00C15507"/>
    <w:rsid w:val="00C17C4E"/>
    <w:rsid w:val="00C2230C"/>
    <w:rsid w:val="00C27581"/>
    <w:rsid w:val="00C313A6"/>
    <w:rsid w:val="00C3211F"/>
    <w:rsid w:val="00C333BE"/>
    <w:rsid w:val="00C401E6"/>
    <w:rsid w:val="00C417D9"/>
    <w:rsid w:val="00C418C5"/>
    <w:rsid w:val="00C418F7"/>
    <w:rsid w:val="00C435C8"/>
    <w:rsid w:val="00C43A0B"/>
    <w:rsid w:val="00C44766"/>
    <w:rsid w:val="00C45F37"/>
    <w:rsid w:val="00C462F5"/>
    <w:rsid w:val="00C46D3A"/>
    <w:rsid w:val="00C51063"/>
    <w:rsid w:val="00C55CB3"/>
    <w:rsid w:val="00C56306"/>
    <w:rsid w:val="00C575FF"/>
    <w:rsid w:val="00C629E8"/>
    <w:rsid w:val="00C63384"/>
    <w:rsid w:val="00C63AB1"/>
    <w:rsid w:val="00C67B97"/>
    <w:rsid w:val="00C704FE"/>
    <w:rsid w:val="00C71590"/>
    <w:rsid w:val="00C717DD"/>
    <w:rsid w:val="00C737B2"/>
    <w:rsid w:val="00C7425E"/>
    <w:rsid w:val="00C752D0"/>
    <w:rsid w:val="00C755FF"/>
    <w:rsid w:val="00C762DE"/>
    <w:rsid w:val="00C77A51"/>
    <w:rsid w:val="00C77F18"/>
    <w:rsid w:val="00C80C3F"/>
    <w:rsid w:val="00C8210D"/>
    <w:rsid w:val="00C8213D"/>
    <w:rsid w:val="00C82D0F"/>
    <w:rsid w:val="00C83474"/>
    <w:rsid w:val="00C84AB2"/>
    <w:rsid w:val="00C866CC"/>
    <w:rsid w:val="00C906F8"/>
    <w:rsid w:val="00C91024"/>
    <w:rsid w:val="00C916CD"/>
    <w:rsid w:val="00C9274F"/>
    <w:rsid w:val="00C94875"/>
    <w:rsid w:val="00C967D2"/>
    <w:rsid w:val="00CA1389"/>
    <w:rsid w:val="00CA28E7"/>
    <w:rsid w:val="00CA32FB"/>
    <w:rsid w:val="00CA45AD"/>
    <w:rsid w:val="00CB3704"/>
    <w:rsid w:val="00CB3CF3"/>
    <w:rsid w:val="00CB69FC"/>
    <w:rsid w:val="00CC0698"/>
    <w:rsid w:val="00CC3231"/>
    <w:rsid w:val="00CC4332"/>
    <w:rsid w:val="00CD232E"/>
    <w:rsid w:val="00CD2B48"/>
    <w:rsid w:val="00CD2B56"/>
    <w:rsid w:val="00CD314A"/>
    <w:rsid w:val="00CD60F8"/>
    <w:rsid w:val="00CD66F1"/>
    <w:rsid w:val="00CD69B4"/>
    <w:rsid w:val="00CD7169"/>
    <w:rsid w:val="00CE1428"/>
    <w:rsid w:val="00CE1D02"/>
    <w:rsid w:val="00CE2B6B"/>
    <w:rsid w:val="00CE5D7C"/>
    <w:rsid w:val="00CF1D16"/>
    <w:rsid w:val="00CF2185"/>
    <w:rsid w:val="00CF2FC7"/>
    <w:rsid w:val="00CF531E"/>
    <w:rsid w:val="00CF5C06"/>
    <w:rsid w:val="00D018D2"/>
    <w:rsid w:val="00D0335B"/>
    <w:rsid w:val="00D0599C"/>
    <w:rsid w:val="00D06DC0"/>
    <w:rsid w:val="00D10A96"/>
    <w:rsid w:val="00D17505"/>
    <w:rsid w:val="00D2569F"/>
    <w:rsid w:val="00D27DBE"/>
    <w:rsid w:val="00D32260"/>
    <w:rsid w:val="00D32BBF"/>
    <w:rsid w:val="00D32F5A"/>
    <w:rsid w:val="00D360B6"/>
    <w:rsid w:val="00D42ED7"/>
    <w:rsid w:val="00D432CC"/>
    <w:rsid w:val="00D454D0"/>
    <w:rsid w:val="00D458DC"/>
    <w:rsid w:val="00D45C62"/>
    <w:rsid w:val="00D46201"/>
    <w:rsid w:val="00D51979"/>
    <w:rsid w:val="00D52AFC"/>
    <w:rsid w:val="00D54237"/>
    <w:rsid w:val="00D54507"/>
    <w:rsid w:val="00D54810"/>
    <w:rsid w:val="00D5483A"/>
    <w:rsid w:val="00D60D36"/>
    <w:rsid w:val="00D61B5B"/>
    <w:rsid w:val="00D61D3E"/>
    <w:rsid w:val="00D63971"/>
    <w:rsid w:val="00D65EE8"/>
    <w:rsid w:val="00D6628E"/>
    <w:rsid w:val="00D70629"/>
    <w:rsid w:val="00D719AC"/>
    <w:rsid w:val="00D7299A"/>
    <w:rsid w:val="00D72BC5"/>
    <w:rsid w:val="00D734F5"/>
    <w:rsid w:val="00D744F1"/>
    <w:rsid w:val="00D747DD"/>
    <w:rsid w:val="00D74FDA"/>
    <w:rsid w:val="00D77AFE"/>
    <w:rsid w:val="00D82118"/>
    <w:rsid w:val="00D84E43"/>
    <w:rsid w:val="00D91100"/>
    <w:rsid w:val="00D921C2"/>
    <w:rsid w:val="00D937E5"/>
    <w:rsid w:val="00D93EA3"/>
    <w:rsid w:val="00D94CF9"/>
    <w:rsid w:val="00D94EE1"/>
    <w:rsid w:val="00D97D7E"/>
    <w:rsid w:val="00DA2F85"/>
    <w:rsid w:val="00DA3B08"/>
    <w:rsid w:val="00DA6949"/>
    <w:rsid w:val="00DB134B"/>
    <w:rsid w:val="00DB3F2A"/>
    <w:rsid w:val="00DB5624"/>
    <w:rsid w:val="00DB574B"/>
    <w:rsid w:val="00DC1AD3"/>
    <w:rsid w:val="00DC6EBB"/>
    <w:rsid w:val="00DD11C6"/>
    <w:rsid w:val="00DD26F2"/>
    <w:rsid w:val="00DD3981"/>
    <w:rsid w:val="00DD6D5D"/>
    <w:rsid w:val="00DE0C5F"/>
    <w:rsid w:val="00DE1D77"/>
    <w:rsid w:val="00DE4E92"/>
    <w:rsid w:val="00DF23D0"/>
    <w:rsid w:val="00DF5EB3"/>
    <w:rsid w:val="00DF6213"/>
    <w:rsid w:val="00DF7FB8"/>
    <w:rsid w:val="00E01C98"/>
    <w:rsid w:val="00E03E20"/>
    <w:rsid w:val="00E03E46"/>
    <w:rsid w:val="00E0416C"/>
    <w:rsid w:val="00E04C89"/>
    <w:rsid w:val="00E05CF3"/>
    <w:rsid w:val="00E061BF"/>
    <w:rsid w:val="00E067DC"/>
    <w:rsid w:val="00E10560"/>
    <w:rsid w:val="00E1324C"/>
    <w:rsid w:val="00E152E3"/>
    <w:rsid w:val="00E204A0"/>
    <w:rsid w:val="00E2317E"/>
    <w:rsid w:val="00E235BD"/>
    <w:rsid w:val="00E27466"/>
    <w:rsid w:val="00E276D6"/>
    <w:rsid w:val="00E316E8"/>
    <w:rsid w:val="00E31FFB"/>
    <w:rsid w:val="00E33AF8"/>
    <w:rsid w:val="00E3717E"/>
    <w:rsid w:val="00E401DF"/>
    <w:rsid w:val="00E41A7A"/>
    <w:rsid w:val="00E4301C"/>
    <w:rsid w:val="00E55503"/>
    <w:rsid w:val="00E575FE"/>
    <w:rsid w:val="00E646D1"/>
    <w:rsid w:val="00E737A6"/>
    <w:rsid w:val="00E73F1D"/>
    <w:rsid w:val="00E7476D"/>
    <w:rsid w:val="00E75EC5"/>
    <w:rsid w:val="00E760BA"/>
    <w:rsid w:val="00E818E1"/>
    <w:rsid w:val="00E853A5"/>
    <w:rsid w:val="00E917E3"/>
    <w:rsid w:val="00E918DB"/>
    <w:rsid w:val="00E9302B"/>
    <w:rsid w:val="00E93E02"/>
    <w:rsid w:val="00E96A45"/>
    <w:rsid w:val="00EA0E1F"/>
    <w:rsid w:val="00EA15F6"/>
    <w:rsid w:val="00EA2F9C"/>
    <w:rsid w:val="00EA38F4"/>
    <w:rsid w:val="00EA3A7E"/>
    <w:rsid w:val="00EA46F5"/>
    <w:rsid w:val="00EA5485"/>
    <w:rsid w:val="00EA56B8"/>
    <w:rsid w:val="00EB00CF"/>
    <w:rsid w:val="00EB1494"/>
    <w:rsid w:val="00EB1C32"/>
    <w:rsid w:val="00EB36C5"/>
    <w:rsid w:val="00EB6221"/>
    <w:rsid w:val="00EC023C"/>
    <w:rsid w:val="00EC031A"/>
    <w:rsid w:val="00EC0789"/>
    <w:rsid w:val="00EC0A58"/>
    <w:rsid w:val="00EC21E7"/>
    <w:rsid w:val="00EC23F8"/>
    <w:rsid w:val="00EC3215"/>
    <w:rsid w:val="00EC3717"/>
    <w:rsid w:val="00EC5095"/>
    <w:rsid w:val="00EC654D"/>
    <w:rsid w:val="00EC661D"/>
    <w:rsid w:val="00EC698A"/>
    <w:rsid w:val="00ED2BFF"/>
    <w:rsid w:val="00ED3D90"/>
    <w:rsid w:val="00ED3F89"/>
    <w:rsid w:val="00EE00F1"/>
    <w:rsid w:val="00EE0C7A"/>
    <w:rsid w:val="00EE2BA2"/>
    <w:rsid w:val="00EE2C3E"/>
    <w:rsid w:val="00EE68E2"/>
    <w:rsid w:val="00EF6401"/>
    <w:rsid w:val="00EF64A9"/>
    <w:rsid w:val="00EF7708"/>
    <w:rsid w:val="00EF7E7D"/>
    <w:rsid w:val="00F006D5"/>
    <w:rsid w:val="00F02DD4"/>
    <w:rsid w:val="00F0350B"/>
    <w:rsid w:val="00F0799A"/>
    <w:rsid w:val="00F11A43"/>
    <w:rsid w:val="00F15BBB"/>
    <w:rsid w:val="00F178DF"/>
    <w:rsid w:val="00F20F85"/>
    <w:rsid w:val="00F220D2"/>
    <w:rsid w:val="00F27633"/>
    <w:rsid w:val="00F278BD"/>
    <w:rsid w:val="00F32FDF"/>
    <w:rsid w:val="00F33806"/>
    <w:rsid w:val="00F44843"/>
    <w:rsid w:val="00F4529C"/>
    <w:rsid w:val="00F46D46"/>
    <w:rsid w:val="00F53336"/>
    <w:rsid w:val="00F536F1"/>
    <w:rsid w:val="00F623CD"/>
    <w:rsid w:val="00F65CC7"/>
    <w:rsid w:val="00F74935"/>
    <w:rsid w:val="00F76400"/>
    <w:rsid w:val="00F7677D"/>
    <w:rsid w:val="00F77ABD"/>
    <w:rsid w:val="00F77B6B"/>
    <w:rsid w:val="00F804DF"/>
    <w:rsid w:val="00F80BA0"/>
    <w:rsid w:val="00F81DB0"/>
    <w:rsid w:val="00F833CB"/>
    <w:rsid w:val="00F84502"/>
    <w:rsid w:val="00F90C6C"/>
    <w:rsid w:val="00F91B64"/>
    <w:rsid w:val="00F93D04"/>
    <w:rsid w:val="00F96746"/>
    <w:rsid w:val="00FA1B87"/>
    <w:rsid w:val="00FA2B7C"/>
    <w:rsid w:val="00FA4E94"/>
    <w:rsid w:val="00FB25CC"/>
    <w:rsid w:val="00FB2D8F"/>
    <w:rsid w:val="00FB7E0F"/>
    <w:rsid w:val="00FC0153"/>
    <w:rsid w:val="00FC0410"/>
    <w:rsid w:val="00FC1868"/>
    <w:rsid w:val="00FC28FF"/>
    <w:rsid w:val="00FC7123"/>
    <w:rsid w:val="00FD36A2"/>
    <w:rsid w:val="00FD3F8B"/>
    <w:rsid w:val="00FD6F2F"/>
    <w:rsid w:val="00FD7469"/>
    <w:rsid w:val="00FE0895"/>
    <w:rsid w:val="00FE0DEA"/>
    <w:rsid w:val="00FE1083"/>
    <w:rsid w:val="00FE7B57"/>
    <w:rsid w:val="00FF41BD"/>
    <w:rsid w:val="00FF4933"/>
    <w:rsid w:val="00FF4C7F"/>
    <w:rsid w:val="00FF5AEF"/>
    <w:rsid w:val="00FF6310"/>
    <w:rsid w:val="00FF6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809"/>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8C7"/>
    <w:pPr>
      <w:tabs>
        <w:tab w:val="center" w:pos="4513"/>
        <w:tab w:val="right" w:pos="9026"/>
      </w:tabs>
    </w:pPr>
  </w:style>
  <w:style w:type="character" w:customStyle="1" w:styleId="HeaderChar">
    <w:name w:val="Header Char"/>
    <w:basedOn w:val="DefaultParagraphFont"/>
    <w:link w:val="Header"/>
    <w:uiPriority w:val="99"/>
    <w:rsid w:val="008B38C7"/>
  </w:style>
  <w:style w:type="paragraph" w:styleId="Footer">
    <w:name w:val="footer"/>
    <w:basedOn w:val="Normal"/>
    <w:link w:val="FooterChar"/>
    <w:uiPriority w:val="99"/>
    <w:unhideWhenUsed/>
    <w:rsid w:val="008B38C7"/>
    <w:pPr>
      <w:tabs>
        <w:tab w:val="center" w:pos="4513"/>
        <w:tab w:val="right" w:pos="9026"/>
      </w:tabs>
    </w:pPr>
  </w:style>
  <w:style w:type="character" w:customStyle="1" w:styleId="FooterChar">
    <w:name w:val="Footer Char"/>
    <w:basedOn w:val="DefaultParagraphFont"/>
    <w:link w:val="Footer"/>
    <w:uiPriority w:val="99"/>
    <w:rsid w:val="008B38C7"/>
  </w:style>
  <w:style w:type="paragraph" w:customStyle="1" w:styleId="Default">
    <w:name w:val="Default"/>
    <w:rsid w:val="0062680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qFormat/>
    <w:rsid w:val="00626809"/>
    <w:pPr>
      <w:ind w:left="720"/>
      <w:contextualSpacing/>
    </w:pPr>
    <w:rPr>
      <w:rFonts w:ascii="Arial" w:eastAsia="Arial" w:hAnsi="Arial"/>
      <w:lang w:val="en-US" w:eastAsia="en-US" w:bidi="en-US"/>
    </w:rPr>
  </w:style>
  <w:style w:type="character" w:styleId="Hyperlink">
    <w:name w:val="Hyperlink"/>
    <w:rsid w:val="00626809"/>
    <w:rPr>
      <w:color w:val="0000FF"/>
      <w:u w:val="single"/>
    </w:rPr>
  </w:style>
  <w:style w:type="paragraph" w:styleId="BalloonText">
    <w:name w:val="Balloon Text"/>
    <w:basedOn w:val="Normal"/>
    <w:link w:val="BalloonTextChar"/>
    <w:uiPriority w:val="99"/>
    <w:semiHidden/>
    <w:unhideWhenUsed/>
    <w:rsid w:val="00626809"/>
    <w:rPr>
      <w:rFonts w:ascii="Tahoma" w:hAnsi="Tahoma" w:cs="Tahoma"/>
      <w:sz w:val="16"/>
      <w:szCs w:val="16"/>
    </w:rPr>
  </w:style>
  <w:style w:type="character" w:customStyle="1" w:styleId="BalloonTextChar">
    <w:name w:val="Balloon Text Char"/>
    <w:basedOn w:val="DefaultParagraphFont"/>
    <w:link w:val="BalloonText"/>
    <w:uiPriority w:val="99"/>
    <w:semiHidden/>
    <w:rsid w:val="00626809"/>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bberkshirewest.co.uk/practitioners/safeguarding-adults-review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atalie.madden@reading.gov.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Reading Borough Council</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Madden, Natalie</dc:creator>
  <cp:lastModifiedBy>Madden, Natalie</cp:lastModifiedBy>
  <cp:revision>1</cp:revision>
  <dcterms:created xsi:type="dcterms:W3CDTF">2017-08-03T08:43:00Z</dcterms:created>
  <dcterms:modified xsi:type="dcterms:W3CDTF">2017-08-03T08:48:00Z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Name">
    <vt:lpwstr>Official</vt:lpwstr>
  </property>
  <property fmtid="{D5CDD505-2E9C-101B-9397-08002B2CF9AE}" pid="3" name="ClassificationMarking">
    <vt:lpwstr>Classification: OFFICIAL</vt:lpwstr>
  </property>
  <property fmtid="{D5CDD505-2E9C-101B-9397-08002B2CF9AE}" pid="4" name="ClassificationMadeBy">
    <vt:lpwstr>RBC\MaddNat</vt:lpwstr>
  </property>
  <property fmtid="{D5CDD505-2E9C-101B-9397-08002B2CF9AE}" pid="5" name="ClassificationMadeExternally">
    <vt:lpwstr>No</vt:lpwstr>
  </property>
  <property fmtid="{D5CDD505-2E9C-101B-9397-08002B2CF9AE}" pid="6" name="ClassificationMadeOn">
    <vt:filetime>2017-08-03T08:47:56Z</vt:filetime>
  </property>
</Properties>
</file>