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7CA46" w14:textId="4AE34B00" w:rsidR="00BA6E0D" w:rsidRDefault="00947D71" w:rsidP="00BA6E0D">
      <w:pPr>
        <w:pStyle w:val="a3"/>
        <w:numPr>
          <w:ilvl w:val="0"/>
          <w:numId w:val="1"/>
        </w:numPr>
        <w:ind w:firstLineChars="0"/>
      </w:pPr>
      <w:r>
        <w:rPr>
          <w:rFonts w:hint="eastAsia"/>
        </w:rPr>
        <w:t>货币政策与固定资产投资</w:t>
      </w:r>
    </w:p>
    <w:p w14:paraId="3EA49D04" w14:textId="40AA5717" w:rsidR="009948EE" w:rsidRDefault="00CC5D0C" w:rsidP="00CC5D0C">
      <w:pPr>
        <w:ind w:firstLineChars="200" w:firstLine="420"/>
      </w:pPr>
      <w:r>
        <w:rPr>
          <w:rFonts w:hint="eastAsia"/>
        </w:rPr>
        <w:t>现有文献认为，</w:t>
      </w:r>
      <w:r w:rsidR="00976B51">
        <w:rPr>
          <w:rFonts w:hint="eastAsia"/>
        </w:rPr>
        <w:t>货币政策与固定投资之间的</w:t>
      </w:r>
      <w:r w:rsidR="00F56351">
        <w:rPr>
          <w:rFonts w:hint="eastAsia"/>
        </w:rPr>
        <w:t>直接</w:t>
      </w:r>
      <w:r w:rsidR="00976B51">
        <w:rPr>
          <w:rFonts w:hint="eastAsia"/>
        </w:rPr>
        <w:t>关系并不是很显著，</w:t>
      </w:r>
      <w:r w:rsidR="00F56351">
        <w:rPr>
          <w:rFonts w:hint="eastAsia"/>
        </w:rPr>
        <w:t>因此货币政策对固定资产投资的影响</w:t>
      </w:r>
      <w:r w:rsidR="00976B51">
        <w:rPr>
          <w:rFonts w:hint="eastAsia"/>
        </w:rPr>
        <w:t>主要是</w:t>
      </w:r>
      <w:r w:rsidR="00F56351">
        <w:rPr>
          <w:rFonts w:hint="eastAsia"/>
        </w:rPr>
        <w:t>通过银行信贷融资约束途径，产生</w:t>
      </w:r>
      <w:r w:rsidR="00976B51">
        <w:rPr>
          <w:rFonts w:hint="eastAsia"/>
        </w:rPr>
        <w:t>间接</w:t>
      </w:r>
      <w:r w:rsidR="00F56351">
        <w:rPr>
          <w:rFonts w:hint="eastAsia"/>
        </w:rPr>
        <w:t>影响</w:t>
      </w:r>
      <w:r w:rsidR="00976B51">
        <w:rPr>
          <w:rFonts w:hint="eastAsia"/>
        </w:rPr>
        <w:t>。而货币政策通过银行信贷传导到固定资产投资的途径，受到融资约束的显著影响</w:t>
      </w:r>
      <w:r w:rsidR="006F1D9F">
        <w:rPr>
          <w:rFonts w:hint="eastAsia"/>
        </w:rPr>
        <w:t>：更依赖银行信贷的企业</w:t>
      </w:r>
      <w:r w:rsidR="00481133">
        <w:rPr>
          <w:rFonts w:hint="eastAsia"/>
        </w:rPr>
        <w:t>，在基准利率上调后，固定投资规模会出现负向调整。</w:t>
      </w:r>
      <w:r w:rsidR="00F56351">
        <w:rPr>
          <w:rFonts w:hint="eastAsia"/>
        </w:rPr>
        <w:t>然而，对于利率风险暴露并不明显的企业，融资约束并没有显著影响固定投资对利率政策冲击的反应</w:t>
      </w:r>
      <w:r w:rsidR="006F1D9F">
        <w:rPr>
          <w:rFonts w:hint="eastAsia"/>
        </w:rPr>
        <w:t>(</w:t>
      </w:r>
      <w:r w:rsidR="006F1D9F">
        <w:t>Ippolito et al. , 2018)</w:t>
      </w:r>
      <w:r w:rsidR="00F56351">
        <w:rPr>
          <w:rFonts w:hint="eastAsia"/>
        </w:rPr>
        <w:t>。这与</w:t>
      </w:r>
      <w:proofErr w:type="spellStart"/>
      <w:r w:rsidR="00F56351">
        <w:rPr>
          <w:rFonts w:hint="eastAsia"/>
        </w:rPr>
        <w:t>Crouzet</w:t>
      </w:r>
      <w:proofErr w:type="spellEnd"/>
      <w:r w:rsidR="00F56351">
        <w:t>(2021)</w:t>
      </w:r>
      <w:r w:rsidR="00F56351">
        <w:rPr>
          <w:rFonts w:hint="eastAsia"/>
        </w:rPr>
        <w:t>的结论相一致：更依赖银行信贷的企业，在面临货币政策冲击时，固定投资规模收缩更严重。</w:t>
      </w:r>
    </w:p>
    <w:p w14:paraId="4F2021AD" w14:textId="2B3FD28C" w:rsidR="00947D71" w:rsidRDefault="00947D71" w:rsidP="00947D71">
      <w:pPr>
        <w:pStyle w:val="a3"/>
        <w:numPr>
          <w:ilvl w:val="0"/>
          <w:numId w:val="1"/>
        </w:numPr>
        <w:ind w:firstLineChars="0"/>
      </w:pPr>
      <w:r>
        <w:rPr>
          <w:rFonts w:hint="eastAsia"/>
        </w:rPr>
        <w:t>货币政策与投资效率</w:t>
      </w:r>
    </w:p>
    <w:p w14:paraId="33A7AAC3" w14:textId="132D6797" w:rsidR="00F61747" w:rsidRDefault="00C9437F" w:rsidP="00C9437F">
      <w:pPr>
        <w:ind w:left="360"/>
      </w:pPr>
      <w:r>
        <w:rPr>
          <w:rFonts w:hint="eastAsia"/>
        </w:rPr>
        <w:t>正式由于以上货币政策对银行信贷的影响，具有获得银行贷款优势的企业，以及主要依赖非银行融资渠道的企业，其投资效率受到货币政策的影响不明显：银行持股</w:t>
      </w:r>
      <w:r>
        <w:rPr>
          <w:rFonts w:hint="eastAsia"/>
        </w:rPr>
        <w:t>(</w:t>
      </w:r>
      <w:r>
        <w:t>Wang et al. 2020)</w:t>
      </w:r>
      <w:r>
        <w:rPr>
          <w:rFonts w:hint="eastAsia"/>
        </w:rPr>
        <w:t>的企业，由于具有银行贷款优势，货币政策收紧对投资效率的影响并不显著。</w:t>
      </w:r>
      <w:r w:rsidR="003907A6">
        <w:rPr>
          <w:rFonts w:hint="eastAsia"/>
        </w:rPr>
        <w:t>而随着</w:t>
      </w:r>
      <w:r w:rsidR="00F61747">
        <w:rPr>
          <w:rFonts w:hint="eastAsia"/>
        </w:rPr>
        <w:t>诸如“</w:t>
      </w:r>
      <w:proofErr w:type="gramStart"/>
      <w:r w:rsidR="00F61747">
        <w:rPr>
          <w:rFonts w:hint="eastAsia"/>
        </w:rPr>
        <w:t>四万亿</w:t>
      </w:r>
      <w:proofErr w:type="gramEnd"/>
      <w:r w:rsidR="00F61747">
        <w:rPr>
          <w:rFonts w:hint="eastAsia"/>
        </w:rPr>
        <w:t>刺激政策”等</w:t>
      </w:r>
      <w:r w:rsidR="003907A6">
        <w:rPr>
          <w:rFonts w:hint="eastAsia"/>
        </w:rPr>
        <w:t>大规模财政政策一同出台的宽松</w:t>
      </w:r>
      <w:proofErr w:type="gramStart"/>
      <w:r w:rsidR="003907A6">
        <w:rPr>
          <w:rFonts w:hint="eastAsia"/>
        </w:rPr>
        <w:t>型货币</w:t>
      </w:r>
      <w:proofErr w:type="gramEnd"/>
      <w:r w:rsidR="003907A6">
        <w:rPr>
          <w:rFonts w:hint="eastAsia"/>
        </w:rPr>
        <w:t>政策</w:t>
      </w:r>
      <w:r w:rsidR="00F61747">
        <w:rPr>
          <w:rFonts w:hint="eastAsia"/>
        </w:rPr>
        <w:t>，投资资金来源大多是银行，投资效率并不高，在国有企业中这一特征表现更明显：</w:t>
      </w:r>
      <w:r w:rsidR="00C910BC">
        <w:rPr>
          <w:rFonts w:hint="eastAsia"/>
        </w:rPr>
        <w:t>一方面，</w:t>
      </w:r>
      <w:r w:rsidR="00F61747" w:rsidRPr="00F61747">
        <w:rPr>
          <w:rFonts w:hint="eastAsia"/>
        </w:rPr>
        <w:t>政府可能通过国有或有政治背景的高管来干预企业的投资，迫使企业</w:t>
      </w:r>
      <w:r w:rsidR="00F61747">
        <w:rPr>
          <w:rFonts w:hint="eastAsia"/>
        </w:rPr>
        <w:t>转变投资目标</w:t>
      </w:r>
      <w:r w:rsidR="00C910BC">
        <w:rPr>
          <w:rFonts w:hint="eastAsia"/>
        </w:rPr>
        <w:t>；另一方面，在政府干预的情况下，国有股东和政府相关的控股股东与少数股东之间产生冲突时，国有股东的支配地位可能忽视私人部门股东的需求，</w:t>
      </w:r>
      <w:r w:rsidR="00C910BC" w:rsidRPr="00F61747">
        <w:rPr>
          <w:rFonts w:hint="eastAsia"/>
        </w:rPr>
        <w:t>因此，在经济刺激方案规模空前、紧迫性极大的情况下，政府干预企业偏离了股东财富最大化的目标，转而</w:t>
      </w:r>
      <w:proofErr w:type="gramStart"/>
      <w:r w:rsidR="00C910BC" w:rsidRPr="00F61747">
        <w:rPr>
          <w:rFonts w:hint="eastAsia"/>
        </w:rPr>
        <w:t>投资于负</w:t>
      </w:r>
      <w:proofErr w:type="gramEnd"/>
      <w:r w:rsidR="00C910BC" w:rsidRPr="00F61747">
        <w:rPr>
          <w:rFonts w:hint="eastAsia"/>
        </w:rPr>
        <w:t>NPV</w:t>
      </w:r>
      <w:r w:rsidR="00C910BC" w:rsidRPr="00F61747">
        <w:rPr>
          <w:rFonts w:hint="eastAsia"/>
        </w:rPr>
        <w:t>项目，从而导致投资效率降低</w:t>
      </w:r>
      <w:r w:rsidR="00C910BC">
        <w:rPr>
          <w:rFonts w:hint="eastAsia"/>
        </w:rPr>
        <w:t>(</w:t>
      </w:r>
      <w:r w:rsidR="00C910BC">
        <w:t>Deng et al. 2020)</w:t>
      </w:r>
      <w:r w:rsidR="00C910BC" w:rsidRPr="00F61747">
        <w:rPr>
          <w:rFonts w:hint="eastAsia"/>
        </w:rPr>
        <w:t>。</w:t>
      </w:r>
    </w:p>
    <w:p w14:paraId="04B509A2" w14:textId="00A7B033" w:rsidR="00947D71" w:rsidRDefault="00947D71" w:rsidP="00947D71">
      <w:pPr>
        <w:pStyle w:val="a3"/>
        <w:numPr>
          <w:ilvl w:val="0"/>
          <w:numId w:val="1"/>
        </w:numPr>
        <w:ind w:firstLineChars="0"/>
      </w:pPr>
      <w:r>
        <w:rPr>
          <w:rFonts w:hint="eastAsia"/>
        </w:rPr>
        <w:t>货币政策与</w:t>
      </w:r>
      <w:r w:rsidR="00FC61FD">
        <w:rPr>
          <w:rFonts w:hint="eastAsia"/>
        </w:rPr>
        <w:t>商业信用</w:t>
      </w:r>
    </w:p>
    <w:p w14:paraId="747C20B3" w14:textId="1E1B1732" w:rsidR="002507BC" w:rsidRDefault="00AA7D6A" w:rsidP="00CC5D0C">
      <w:pPr>
        <w:pStyle w:val="target"/>
        <w:shd w:val="clear" w:color="auto" w:fill="FFFFFF"/>
        <w:spacing w:before="0" w:beforeAutospacing="0" w:after="360" w:afterAutospacing="0" w:line="338" w:lineRule="atLeast"/>
        <w:ind w:left="360"/>
        <w:rPr>
          <w:rFonts w:ascii="Times New Roman" w:hAnsi="Times New Roman" w:cstheme="minorBidi" w:hint="eastAsia"/>
          <w:kern w:val="2"/>
          <w:sz w:val="21"/>
          <w:szCs w:val="22"/>
        </w:rPr>
      </w:pPr>
      <w:r>
        <w:rPr>
          <w:rFonts w:ascii="Times New Roman" w:hAnsi="Times New Roman" w:cstheme="minorBidi" w:hint="eastAsia"/>
          <w:kern w:val="2"/>
          <w:sz w:val="21"/>
          <w:szCs w:val="22"/>
        </w:rPr>
        <w:t>对货币政策影响应付账款和应收账款规模的研究近年来并不多，关注点更多集中在货币政策如何影响企业的负债结构</w:t>
      </w:r>
      <w:r>
        <w:rPr>
          <w:rFonts w:ascii="Times New Roman" w:hAnsi="Times New Roman" w:cstheme="minorBidi" w:hint="eastAsia"/>
          <w:kern w:val="2"/>
          <w:sz w:val="21"/>
          <w:szCs w:val="22"/>
        </w:rPr>
        <w:t>(</w:t>
      </w:r>
      <w:r>
        <w:rPr>
          <w:rFonts w:ascii="Times New Roman" w:hAnsi="Times New Roman" w:cstheme="minorBidi"/>
          <w:kern w:val="2"/>
          <w:sz w:val="21"/>
          <w:szCs w:val="22"/>
        </w:rPr>
        <w:t>Corporate debt structure)</w:t>
      </w:r>
      <w:r>
        <w:rPr>
          <w:rFonts w:ascii="Times New Roman" w:hAnsi="Times New Roman" w:cstheme="minorBidi" w:hint="eastAsia"/>
          <w:kern w:val="2"/>
          <w:sz w:val="21"/>
          <w:szCs w:val="22"/>
        </w:rPr>
        <w:t>上</w:t>
      </w:r>
      <w:r w:rsidR="00CC5D0C">
        <w:rPr>
          <w:rFonts w:ascii="Times New Roman" w:hAnsi="Times New Roman" w:cstheme="minorBidi" w:hint="eastAsia"/>
          <w:kern w:val="2"/>
          <w:sz w:val="21"/>
          <w:szCs w:val="22"/>
        </w:rPr>
        <w:t>，且大多从货币政策</w:t>
      </w:r>
      <w:r w:rsidR="002507BC">
        <w:rPr>
          <w:rFonts w:ascii="Times New Roman" w:hAnsi="Times New Roman" w:cstheme="minorBidi" w:hint="eastAsia"/>
          <w:kern w:val="2"/>
          <w:sz w:val="21"/>
          <w:szCs w:val="22"/>
        </w:rPr>
        <w:t>角度</w:t>
      </w:r>
      <w:r w:rsidR="00CC5D0C">
        <w:rPr>
          <w:rFonts w:ascii="Times New Roman" w:hAnsi="Times New Roman" w:cstheme="minorBidi" w:hint="eastAsia"/>
          <w:kern w:val="2"/>
          <w:sz w:val="21"/>
          <w:szCs w:val="22"/>
        </w:rPr>
        <w:t>探讨货币政策影响负债结构的异质性因素</w:t>
      </w:r>
      <w:r>
        <w:rPr>
          <w:rFonts w:ascii="Times New Roman" w:hAnsi="Times New Roman" w:cstheme="minorBidi" w:hint="eastAsia"/>
          <w:kern w:val="2"/>
          <w:sz w:val="21"/>
          <w:szCs w:val="22"/>
        </w:rPr>
        <w:t>。比如，</w:t>
      </w:r>
      <w:proofErr w:type="spellStart"/>
      <w:r>
        <w:rPr>
          <w:rFonts w:ascii="Times New Roman" w:hAnsi="Times New Roman" w:cstheme="minorBidi" w:hint="eastAsia"/>
          <w:kern w:val="2"/>
          <w:sz w:val="21"/>
          <w:szCs w:val="22"/>
        </w:rPr>
        <w:t>Lhuissier</w:t>
      </w:r>
      <w:proofErr w:type="spellEnd"/>
      <w:r>
        <w:rPr>
          <w:rFonts w:ascii="Times New Roman" w:hAnsi="Times New Roman" w:cstheme="minorBidi"/>
          <w:kern w:val="2"/>
          <w:sz w:val="21"/>
          <w:szCs w:val="22"/>
        </w:rPr>
        <w:t xml:space="preserve"> &amp; </w:t>
      </w:r>
      <w:proofErr w:type="spellStart"/>
      <w:r>
        <w:rPr>
          <w:rFonts w:ascii="Times New Roman" w:hAnsi="Times New Roman" w:cstheme="minorBidi"/>
          <w:kern w:val="2"/>
          <w:sz w:val="21"/>
          <w:szCs w:val="22"/>
        </w:rPr>
        <w:t>Szczerbowicz</w:t>
      </w:r>
      <w:proofErr w:type="spellEnd"/>
      <w:r>
        <w:rPr>
          <w:rFonts w:ascii="Times New Roman" w:hAnsi="Times New Roman" w:cstheme="minorBidi"/>
          <w:kern w:val="2"/>
          <w:sz w:val="21"/>
          <w:szCs w:val="22"/>
        </w:rPr>
        <w:t>(2022)</w:t>
      </w:r>
      <w:r>
        <w:rPr>
          <w:rFonts w:ascii="Times New Roman" w:hAnsi="Times New Roman" w:cstheme="minorBidi" w:hint="eastAsia"/>
          <w:kern w:val="2"/>
          <w:sz w:val="21"/>
          <w:szCs w:val="22"/>
        </w:rPr>
        <w:t>认为，货币政策对债务结构的影响存在异质性：</w:t>
      </w:r>
      <w:r w:rsidRPr="00AA7D6A">
        <w:rPr>
          <w:rFonts w:ascii="Times New Roman" w:hAnsi="Times New Roman" w:cstheme="minorBidi" w:hint="eastAsia"/>
          <w:kern w:val="2"/>
          <w:sz w:val="21"/>
          <w:szCs w:val="22"/>
        </w:rPr>
        <w:t>传统的宽松货币政策增加了对非金融企业的贷款，但减少了企业债券的发行，从而支持了</w:t>
      </w:r>
      <w:r w:rsidR="006D553F">
        <w:rPr>
          <w:rFonts w:ascii="Times New Roman" w:hAnsi="Times New Roman" w:cstheme="minorBidi" w:hint="eastAsia"/>
          <w:kern w:val="2"/>
          <w:sz w:val="21"/>
          <w:szCs w:val="22"/>
        </w:rPr>
        <w:t>常规货币政策</w:t>
      </w:r>
      <w:r w:rsidRPr="00AA7D6A">
        <w:rPr>
          <w:rFonts w:ascii="Times New Roman" w:hAnsi="Times New Roman" w:cstheme="minorBidi" w:hint="eastAsia"/>
          <w:kern w:val="2"/>
          <w:sz w:val="21"/>
          <w:szCs w:val="22"/>
        </w:rPr>
        <w:t>传导的“银行贷款渠道”的存在。以资产购买为特征的非常规货币政策</w:t>
      </w:r>
      <w:r w:rsidR="006D553F">
        <w:rPr>
          <w:rFonts w:ascii="Times New Roman" w:hAnsi="Times New Roman" w:cstheme="minorBidi" w:hint="eastAsia"/>
          <w:kern w:val="2"/>
          <w:sz w:val="21"/>
          <w:szCs w:val="22"/>
        </w:rPr>
        <w:t>存在</w:t>
      </w:r>
      <w:r w:rsidRPr="00AA7D6A">
        <w:rPr>
          <w:rFonts w:ascii="Times New Roman" w:hAnsi="Times New Roman" w:cstheme="minorBidi" w:hint="eastAsia"/>
          <w:kern w:val="2"/>
          <w:sz w:val="21"/>
          <w:szCs w:val="22"/>
        </w:rPr>
        <w:t>不同的传导渠道</w:t>
      </w:r>
      <w:r w:rsidRPr="00AA7D6A">
        <w:rPr>
          <w:rFonts w:ascii="Times New Roman" w:hAnsi="Times New Roman" w:cstheme="minorBidi" w:hint="eastAsia"/>
          <w:kern w:val="2"/>
          <w:sz w:val="21"/>
          <w:szCs w:val="22"/>
        </w:rPr>
        <w:t>:</w:t>
      </w:r>
      <w:r w:rsidR="006D553F">
        <w:rPr>
          <w:rFonts w:ascii="Times New Roman" w:hAnsi="Times New Roman" w:cstheme="minorBidi" w:hint="eastAsia"/>
          <w:kern w:val="2"/>
          <w:sz w:val="21"/>
          <w:szCs w:val="22"/>
        </w:rPr>
        <w:t>扩张性</w:t>
      </w:r>
      <w:r w:rsidRPr="00AA7D6A">
        <w:rPr>
          <w:rFonts w:ascii="Times New Roman" w:hAnsi="Times New Roman" w:cstheme="minorBidi" w:hint="eastAsia"/>
          <w:kern w:val="2"/>
          <w:sz w:val="21"/>
          <w:szCs w:val="22"/>
        </w:rPr>
        <w:t>非常规</w:t>
      </w:r>
      <w:r w:rsidR="006D553F">
        <w:rPr>
          <w:rFonts w:ascii="Times New Roman" w:hAnsi="Times New Roman" w:cstheme="minorBidi" w:hint="eastAsia"/>
          <w:kern w:val="2"/>
          <w:sz w:val="21"/>
          <w:szCs w:val="22"/>
        </w:rPr>
        <w:t>货币</w:t>
      </w:r>
      <w:r w:rsidRPr="00AA7D6A">
        <w:rPr>
          <w:rFonts w:ascii="Times New Roman" w:hAnsi="Times New Roman" w:cstheme="minorBidi" w:hint="eastAsia"/>
          <w:kern w:val="2"/>
          <w:sz w:val="21"/>
          <w:szCs w:val="22"/>
        </w:rPr>
        <w:t>政策在短期内会减少贷款，但会刺激企业债务的发行。</w:t>
      </w:r>
      <w:r w:rsidR="006D553F">
        <w:rPr>
          <w:rFonts w:ascii="Times New Roman" w:hAnsi="Times New Roman" w:cstheme="minorBidi" w:hint="eastAsia"/>
          <w:kern w:val="2"/>
          <w:sz w:val="21"/>
          <w:szCs w:val="22"/>
        </w:rPr>
        <w:t>其认为非常规货币政策通过两种渠道引发短期内企业债券发行规模的扩张：一方面，非常规货币政策减少了企业对银行信贷额度的需求；另一方面是所谓的“空白填补”机制：当央行购买长期政府债券时，长期资产缺乏，企业发行更多长期债券，填补长期流动性缺口，满足对长期资产的需求。</w:t>
      </w:r>
      <w:r w:rsidR="002507BC">
        <w:rPr>
          <w:rFonts w:ascii="Times New Roman" w:hAnsi="Times New Roman" w:cstheme="minorBidi" w:hint="eastAsia"/>
          <w:kern w:val="2"/>
          <w:sz w:val="21"/>
          <w:szCs w:val="22"/>
        </w:rPr>
        <w:t>此外还有</w:t>
      </w:r>
      <w:r w:rsidR="002507BC">
        <w:rPr>
          <w:rFonts w:ascii="Times New Roman" w:hAnsi="Times New Roman" w:cstheme="minorBidi" w:hint="eastAsia"/>
          <w:kern w:val="2"/>
          <w:sz w:val="21"/>
          <w:szCs w:val="22"/>
        </w:rPr>
        <w:t>Arce</w:t>
      </w:r>
      <w:r w:rsidR="002507BC">
        <w:rPr>
          <w:rFonts w:ascii="Times New Roman" w:hAnsi="Times New Roman" w:cstheme="minorBidi"/>
          <w:kern w:val="2"/>
          <w:sz w:val="21"/>
          <w:szCs w:val="22"/>
        </w:rPr>
        <w:t xml:space="preserve"> et al. (2019)</w:t>
      </w:r>
      <w:r w:rsidR="002507BC">
        <w:rPr>
          <w:rFonts w:ascii="Times New Roman" w:hAnsi="Times New Roman" w:cstheme="minorBidi" w:hint="eastAsia"/>
          <w:kern w:val="2"/>
          <w:sz w:val="21"/>
          <w:szCs w:val="22"/>
        </w:rPr>
        <w:t>和</w:t>
      </w:r>
      <w:r w:rsidR="002507BC">
        <w:rPr>
          <w:rFonts w:ascii="Times New Roman" w:hAnsi="Times New Roman" w:cstheme="minorBidi" w:hint="eastAsia"/>
          <w:kern w:val="2"/>
          <w:sz w:val="21"/>
          <w:szCs w:val="22"/>
        </w:rPr>
        <w:t>Grosse</w:t>
      </w:r>
      <w:r w:rsidR="002507BC">
        <w:rPr>
          <w:rFonts w:ascii="Times New Roman" w:hAnsi="Times New Roman" w:cstheme="minorBidi"/>
          <w:kern w:val="2"/>
          <w:sz w:val="21"/>
          <w:szCs w:val="22"/>
        </w:rPr>
        <w:t>-</w:t>
      </w:r>
      <w:proofErr w:type="spellStart"/>
      <w:r w:rsidR="002507BC">
        <w:rPr>
          <w:rFonts w:ascii="Times New Roman" w:hAnsi="Times New Roman" w:cstheme="minorBidi"/>
          <w:kern w:val="2"/>
          <w:sz w:val="21"/>
          <w:szCs w:val="22"/>
        </w:rPr>
        <w:t>Rueschkamp</w:t>
      </w:r>
      <w:proofErr w:type="spellEnd"/>
      <w:r w:rsidR="002507BC">
        <w:rPr>
          <w:rFonts w:ascii="Times New Roman" w:hAnsi="Times New Roman" w:cstheme="minorBidi"/>
          <w:kern w:val="2"/>
          <w:sz w:val="21"/>
          <w:szCs w:val="22"/>
        </w:rPr>
        <w:t xml:space="preserve"> et al. (2019)</w:t>
      </w:r>
      <w:r w:rsidR="002507BC">
        <w:rPr>
          <w:rFonts w:ascii="Times New Roman" w:hAnsi="Times New Roman" w:cstheme="minorBidi" w:hint="eastAsia"/>
          <w:kern w:val="2"/>
          <w:sz w:val="21"/>
          <w:szCs w:val="22"/>
        </w:rPr>
        <w:t>，结论与上述类似。</w:t>
      </w:r>
    </w:p>
    <w:p w14:paraId="2BE963DA" w14:textId="01B36BF8" w:rsidR="005F4BBD" w:rsidRPr="00CC5D0C" w:rsidRDefault="002507BC" w:rsidP="00CC5D0C">
      <w:pPr>
        <w:pStyle w:val="target"/>
        <w:shd w:val="clear" w:color="auto" w:fill="FFFFFF"/>
        <w:spacing w:before="0" w:beforeAutospacing="0" w:after="360" w:afterAutospacing="0" w:line="338" w:lineRule="atLeast"/>
        <w:ind w:left="360"/>
        <w:rPr>
          <w:rFonts w:ascii="Times New Roman" w:hAnsi="Times New Roman" w:cstheme="minorBidi" w:hint="eastAsia"/>
          <w:kern w:val="2"/>
          <w:sz w:val="21"/>
          <w:szCs w:val="22"/>
        </w:rPr>
      </w:pPr>
      <w:r>
        <w:rPr>
          <w:rFonts w:ascii="Times New Roman" w:hAnsi="Times New Roman" w:cstheme="minorBidi" w:hint="eastAsia"/>
          <w:kern w:val="2"/>
          <w:sz w:val="21"/>
          <w:szCs w:val="22"/>
        </w:rPr>
        <w:t>而</w:t>
      </w:r>
      <w:r>
        <w:rPr>
          <w:rFonts w:ascii="Times New Roman" w:hAnsi="Times New Roman" w:cstheme="minorBidi" w:hint="eastAsia"/>
          <w:kern w:val="2"/>
          <w:sz w:val="21"/>
          <w:szCs w:val="22"/>
        </w:rPr>
        <w:t>H</w:t>
      </w:r>
      <w:r>
        <w:rPr>
          <w:rFonts w:ascii="Times New Roman" w:hAnsi="Times New Roman" w:cstheme="minorBidi"/>
          <w:kern w:val="2"/>
          <w:sz w:val="21"/>
          <w:szCs w:val="22"/>
        </w:rPr>
        <w:t>olm-</w:t>
      </w:r>
      <w:proofErr w:type="spellStart"/>
      <w:r>
        <w:rPr>
          <w:rFonts w:ascii="Times New Roman" w:hAnsi="Times New Roman" w:cstheme="minorBidi" w:hint="eastAsia"/>
          <w:kern w:val="2"/>
          <w:sz w:val="21"/>
          <w:szCs w:val="22"/>
        </w:rPr>
        <w:t>H</w:t>
      </w:r>
      <w:r>
        <w:rPr>
          <w:rFonts w:ascii="Times New Roman" w:hAnsi="Times New Roman" w:cstheme="minorBidi"/>
          <w:kern w:val="2"/>
          <w:sz w:val="21"/>
          <w:szCs w:val="22"/>
        </w:rPr>
        <w:t>adulla</w:t>
      </w:r>
      <w:proofErr w:type="spellEnd"/>
      <w:r>
        <w:rPr>
          <w:rFonts w:ascii="Times New Roman" w:hAnsi="Times New Roman" w:cstheme="minorBidi"/>
          <w:kern w:val="2"/>
          <w:sz w:val="21"/>
          <w:szCs w:val="22"/>
        </w:rPr>
        <w:t xml:space="preserve"> &amp; </w:t>
      </w:r>
      <w:proofErr w:type="spellStart"/>
      <w:r w:rsidRPr="002507BC">
        <w:rPr>
          <w:rFonts w:ascii="Times New Roman" w:hAnsi="Times New Roman" w:cstheme="minorBidi"/>
          <w:kern w:val="2"/>
          <w:sz w:val="21"/>
          <w:szCs w:val="22"/>
        </w:rPr>
        <w:t>Thürwächter</w:t>
      </w:r>
      <w:proofErr w:type="spellEnd"/>
      <w:r>
        <w:rPr>
          <w:rFonts w:ascii="Times New Roman" w:hAnsi="Times New Roman" w:cstheme="minorBidi" w:hint="eastAsia"/>
          <w:kern w:val="2"/>
          <w:sz w:val="21"/>
          <w:szCs w:val="22"/>
        </w:rPr>
        <w:t>则基于经济体特征分析货币政策对信贷结构的影响。</w:t>
      </w:r>
      <w:r w:rsidR="005F4BBD" w:rsidRPr="00CC5D0C">
        <w:rPr>
          <w:rFonts w:ascii="Times New Roman" w:hAnsi="Times New Roman" w:cstheme="minorBidi" w:hint="eastAsia"/>
          <w:kern w:val="2"/>
          <w:sz w:val="21"/>
          <w:szCs w:val="22"/>
        </w:rPr>
        <w:t>对于商业信用融资</w:t>
      </w:r>
      <w:proofErr w:type="gramStart"/>
      <w:r w:rsidR="005F4BBD" w:rsidRPr="00CC5D0C">
        <w:rPr>
          <w:rFonts w:ascii="Times New Roman" w:hAnsi="Times New Roman" w:cstheme="minorBidi" w:hint="eastAsia"/>
          <w:kern w:val="2"/>
          <w:sz w:val="21"/>
          <w:szCs w:val="22"/>
        </w:rPr>
        <w:t>占比较</w:t>
      </w:r>
      <w:proofErr w:type="gramEnd"/>
      <w:r w:rsidR="005F4BBD" w:rsidRPr="00CC5D0C">
        <w:rPr>
          <w:rFonts w:ascii="Times New Roman" w:hAnsi="Times New Roman" w:cstheme="minorBidi" w:hint="eastAsia"/>
          <w:kern w:val="2"/>
          <w:sz w:val="21"/>
          <w:szCs w:val="22"/>
        </w:rPr>
        <w:t>高的经济体，银行信用和商业信用呈现出互补关系；而对于商业信用融资占比较低的经济体，银行信用和商业信用的替代关系更弱，甚至有可能逆转：商业信用融资规模的增长，加强了企业对货币政策冲击的反应</w:t>
      </w:r>
      <w:r w:rsidR="00E2131E" w:rsidRPr="00CC5D0C">
        <w:rPr>
          <w:rFonts w:ascii="Times New Roman" w:hAnsi="Times New Roman" w:cstheme="minorBidi" w:hint="eastAsia"/>
          <w:kern w:val="2"/>
          <w:sz w:val="21"/>
          <w:szCs w:val="22"/>
        </w:rPr>
        <w:t>。商业信用融资占比较低的经济体，货币政策传导</w:t>
      </w:r>
      <w:r w:rsidR="00E2131E" w:rsidRPr="00CC5D0C">
        <w:rPr>
          <w:rFonts w:ascii="Times New Roman" w:hAnsi="Times New Roman" w:cstheme="minorBidi" w:hint="eastAsia"/>
          <w:kern w:val="2"/>
          <w:sz w:val="21"/>
          <w:szCs w:val="22"/>
        </w:rPr>
        <w:t>模式与国家或企业对不同融资工具的偏好是一致的，因为银行贷款提供的灵活性</w:t>
      </w:r>
      <w:r w:rsidR="00E2131E" w:rsidRPr="00CC5D0C">
        <w:rPr>
          <w:rFonts w:ascii="Times New Roman" w:hAnsi="Times New Roman" w:cstheme="minorBidi" w:hint="eastAsia"/>
          <w:kern w:val="2"/>
          <w:sz w:val="21"/>
          <w:szCs w:val="22"/>
        </w:rPr>
        <w:t>(</w:t>
      </w:r>
      <w:r w:rsidR="00E2131E" w:rsidRPr="00CC5D0C">
        <w:rPr>
          <w:rFonts w:ascii="Times New Roman" w:hAnsi="Times New Roman" w:cstheme="minorBidi" w:hint="eastAsia"/>
          <w:kern w:val="2"/>
          <w:sz w:val="21"/>
          <w:szCs w:val="22"/>
        </w:rPr>
        <w:t>例如，为应对</w:t>
      </w:r>
      <w:r w:rsidR="00E2131E" w:rsidRPr="00CC5D0C">
        <w:rPr>
          <w:rFonts w:ascii="Times New Roman" w:hAnsi="Times New Roman" w:cstheme="minorBidi" w:hint="eastAsia"/>
          <w:kern w:val="2"/>
          <w:sz w:val="21"/>
          <w:szCs w:val="22"/>
        </w:rPr>
        <w:t>经济下行压力，商业银行选择展期</w:t>
      </w:r>
      <w:r w:rsidR="00E2131E" w:rsidRPr="00CC5D0C">
        <w:rPr>
          <w:rFonts w:ascii="Times New Roman" w:hAnsi="Times New Roman" w:cstheme="minorBidi" w:hint="eastAsia"/>
          <w:kern w:val="2"/>
          <w:sz w:val="21"/>
          <w:szCs w:val="22"/>
        </w:rPr>
        <w:t>)</w:t>
      </w:r>
      <w:r w:rsidR="00E2131E" w:rsidRPr="00CC5D0C">
        <w:rPr>
          <w:rFonts w:ascii="Times New Roman" w:hAnsi="Times New Roman" w:cstheme="minorBidi" w:hint="eastAsia"/>
          <w:kern w:val="2"/>
          <w:sz w:val="21"/>
          <w:szCs w:val="22"/>
        </w:rPr>
        <w:t>在紧缩的货币条件下变得更有价值，而在宽松的货币条件下变得不那么有价值</w:t>
      </w:r>
      <w:r w:rsidR="00E2131E" w:rsidRPr="00CC5D0C">
        <w:rPr>
          <w:rFonts w:ascii="Times New Roman" w:hAnsi="Times New Roman" w:cstheme="minorBidi" w:hint="eastAsia"/>
          <w:kern w:val="2"/>
          <w:sz w:val="21"/>
          <w:szCs w:val="22"/>
        </w:rPr>
        <w:t>。</w:t>
      </w:r>
    </w:p>
    <w:p w14:paraId="68432263" w14:textId="72D2E8E5" w:rsidR="00F56351" w:rsidRDefault="00F56351" w:rsidP="00F56351"/>
    <w:p w14:paraId="203D84A4" w14:textId="74DD4456" w:rsidR="00F56351" w:rsidRDefault="00B83B60" w:rsidP="00F56351">
      <w:r>
        <w:rPr>
          <w:rFonts w:hint="eastAsia"/>
        </w:rPr>
        <w:lastRenderedPageBreak/>
        <w:t>[</w:t>
      </w:r>
      <w:proofErr w:type="gramStart"/>
      <w:r>
        <w:t>1]</w:t>
      </w:r>
      <w:r w:rsidR="00F56351" w:rsidRPr="00B83B60">
        <w:t>Ippolito</w:t>
      </w:r>
      <w:proofErr w:type="gramEnd"/>
      <w:r w:rsidR="00F56351" w:rsidRPr="00B83B60">
        <w:t xml:space="preserve"> F, </w:t>
      </w:r>
      <w:proofErr w:type="spellStart"/>
      <w:r w:rsidR="00F56351" w:rsidRPr="00B83B60">
        <w:t>Ozdagli</w:t>
      </w:r>
      <w:proofErr w:type="spellEnd"/>
      <w:r w:rsidR="00F56351" w:rsidRPr="00B83B60">
        <w:t xml:space="preserve"> A K, Perez-</w:t>
      </w:r>
      <w:proofErr w:type="spellStart"/>
      <w:r w:rsidR="00F56351" w:rsidRPr="00B83B60">
        <w:t>Orive</w:t>
      </w:r>
      <w:proofErr w:type="spellEnd"/>
      <w:r w:rsidR="00F56351" w:rsidRPr="00B83B60">
        <w:t xml:space="preserve"> A. The transmission of monetary policy through bank lending: The floating rate channel[J]. Journal of Monetary Economics, 2018, 95: 49-71.</w:t>
      </w:r>
    </w:p>
    <w:p w14:paraId="3B56A68C" w14:textId="7593397D" w:rsidR="00F56351" w:rsidRPr="00B83B60" w:rsidRDefault="00B83B60" w:rsidP="00F56351">
      <w:r>
        <w:t>[</w:t>
      </w:r>
      <w:proofErr w:type="gramStart"/>
      <w:r>
        <w:t>2]</w:t>
      </w:r>
      <w:proofErr w:type="spellStart"/>
      <w:r w:rsidR="00F56351" w:rsidRPr="00B83B60">
        <w:t>Crouzet</w:t>
      </w:r>
      <w:proofErr w:type="spellEnd"/>
      <w:proofErr w:type="gramEnd"/>
      <w:r w:rsidR="00F56351" w:rsidRPr="00B83B60">
        <w:t xml:space="preserve"> N. Credit disintermediation and monetary policy[J]. IMF Economic Review, 2021, 69(1): 23-89.</w:t>
      </w:r>
    </w:p>
    <w:p w14:paraId="668AE1CA" w14:textId="77777777" w:rsidR="002507BC" w:rsidRPr="00B83B60" w:rsidRDefault="002507BC" w:rsidP="00F56351"/>
    <w:p w14:paraId="3D7E3956" w14:textId="3721C69E" w:rsidR="00C910BC" w:rsidRPr="00B83B60" w:rsidRDefault="00B83B60" w:rsidP="00F56351">
      <w:r>
        <w:t>[</w:t>
      </w:r>
      <w:proofErr w:type="gramStart"/>
      <w:r>
        <w:t>3</w:t>
      </w:r>
      <w:r>
        <w:t>]</w:t>
      </w:r>
      <w:r w:rsidR="00C910BC" w:rsidRPr="00B83B60">
        <w:t>Wang</w:t>
      </w:r>
      <w:proofErr w:type="gramEnd"/>
      <w:r w:rsidR="00C910BC" w:rsidRPr="00B83B60">
        <w:t xml:space="preserve"> H, Luo T, Tian G </w:t>
      </w:r>
      <w:proofErr w:type="spellStart"/>
      <w:r w:rsidR="00C910BC" w:rsidRPr="00B83B60">
        <w:t>G</w:t>
      </w:r>
      <w:proofErr w:type="spellEnd"/>
      <w:r w:rsidR="00C910BC" w:rsidRPr="00B83B60">
        <w:t>, et al. How does bank ownership affect firm investment? Evidence from China[J]. Journal of Banking &amp; Finance, 2020, 113: 105741.</w:t>
      </w:r>
    </w:p>
    <w:p w14:paraId="346508B4" w14:textId="2B5CECA3" w:rsidR="00C910BC" w:rsidRPr="00B83B60" w:rsidRDefault="00B83B60" w:rsidP="00F56351">
      <w:r>
        <w:t>[</w:t>
      </w:r>
      <w:proofErr w:type="gramStart"/>
      <w:r>
        <w:t>4</w:t>
      </w:r>
      <w:r>
        <w:t>]</w:t>
      </w:r>
      <w:r w:rsidR="00C910BC" w:rsidRPr="00B83B60">
        <w:t>Deng</w:t>
      </w:r>
      <w:proofErr w:type="gramEnd"/>
      <w:r w:rsidR="00C910BC" w:rsidRPr="00B83B60">
        <w:t xml:space="preserve"> L, Jiang P, Li S, et al. Government intervention and firm investment[J]. Journal of Corporate Finance, 2020, 63: 101231.</w:t>
      </w:r>
    </w:p>
    <w:p w14:paraId="3FC5B0AD" w14:textId="77777777" w:rsidR="002507BC" w:rsidRPr="00B83B60" w:rsidRDefault="002507BC" w:rsidP="00F56351"/>
    <w:p w14:paraId="4F7D8EF5" w14:textId="6ED34030" w:rsidR="002507BC" w:rsidRPr="00B83B60" w:rsidRDefault="00B83B60" w:rsidP="00F56351">
      <w:r>
        <w:t>[</w:t>
      </w:r>
      <w:proofErr w:type="gramStart"/>
      <w:r>
        <w:t>5</w:t>
      </w:r>
      <w:r>
        <w:t>]</w:t>
      </w:r>
      <w:proofErr w:type="spellStart"/>
      <w:r w:rsidR="002507BC" w:rsidRPr="00B83B60">
        <w:t>Lhuissier</w:t>
      </w:r>
      <w:proofErr w:type="spellEnd"/>
      <w:proofErr w:type="gramEnd"/>
      <w:r w:rsidR="002507BC" w:rsidRPr="00B83B60">
        <w:t xml:space="preserve"> S, </w:t>
      </w:r>
      <w:proofErr w:type="spellStart"/>
      <w:r w:rsidR="002507BC" w:rsidRPr="00B83B60">
        <w:t>Szczerbowicz</w:t>
      </w:r>
      <w:proofErr w:type="spellEnd"/>
      <w:r w:rsidR="002507BC" w:rsidRPr="00B83B60">
        <w:t xml:space="preserve"> U. Monetary policy and corporate debt structure[J]. Oxford Bulletin of Economics and Statistics, 2022, 84(3): 497-515.</w:t>
      </w:r>
    </w:p>
    <w:p w14:paraId="5D3EA336" w14:textId="404E6432" w:rsidR="00C23FC5" w:rsidRPr="00B83B60" w:rsidRDefault="00B83B60" w:rsidP="00F56351">
      <w:r>
        <w:t>[</w:t>
      </w:r>
      <w:proofErr w:type="gramStart"/>
      <w:r>
        <w:t>6</w:t>
      </w:r>
      <w:r>
        <w:t>]</w:t>
      </w:r>
      <w:r w:rsidR="00C23FC5" w:rsidRPr="00B83B60">
        <w:t>Arce</w:t>
      </w:r>
      <w:proofErr w:type="gramEnd"/>
      <w:r w:rsidR="00C23FC5" w:rsidRPr="00B83B60">
        <w:t xml:space="preserve"> O, </w:t>
      </w:r>
      <w:proofErr w:type="spellStart"/>
      <w:r w:rsidR="00C23FC5" w:rsidRPr="00B83B60">
        <w:t>Gimeno</w:t>
      </w:r>
      <w:proofErr w:type="spellEnd"/>
      <w:r w:rsidR="00C23FC5" w:rsidRPr="00B83B60">
        <w:t xml:space="preserve"> R, Mayordomo S. Making Room for the Needy: The Credit-Reallocation Effects of the ECB's Corporate QE[J]. 2017.</w:t>
      </w:r>
    </w:p>
    <w:p w14:paraId="4C133CE8" w14:textId="122312EF" w:rsidR="002507BC" w:rsidRPr="00B83B60" w:rsidRDefault="00B83B60" w:rsidP="00F56351">
      <w:r>
        <w:t>[</w:t>
      </w:r>
      <w:proofErr w:type="gramStart"/>
      <w:r>
        <w:t>7</w:t>
      </w:r>
      <w:r>
        <w:t>]</w:t>
      </w:r>
      <w:r w:rsidR="002507BC" w:rsidRPr="00B83B60">
        <w:t>Grosse</w:t>
      </w:r>
      <w:proofErr w:type="gramEnd"/>
      <w:r w:rsidR="002507BC" w:rsidRPr="00B83B60">
        <w:t>-</w:t>
      </w:r>
      <w:proofErr w:type="spellStart"/>
      <w:r w:rsidR="002507BC" w:rsidRPr="00B83B60">
        <w:t>Rueschkamp</w:t>
      </w:r>
      <w:proofErr w:type="spellEnd"/>
      <w:r w:rsidR="002507BC" w:rsidRPr="00B83B60">
        <w:t xml:space="preserve"> B, Steffen S, </w:t>
      </w:r>
      <w:proofErr w:type="spellStart"/>
      <w:r w:rsidR="002507BC" w:rsidRPr="00B83B60">
        <w:t>Streitz</w:t>
      </w:r>
      <w:proofErr w:type="spellEnd"/>
      <w:r w:rsidR="002507BC" w:rsidRPr="00B83B60">
        <w:t xml:space="preserve"> D. A capital structure channel of monetary policy[J]. Journal of Financial Economics, 2019, 133(2): 357-378.</w:t>
      </w:r>
    </w:p>
    <w:p w14:paraId="2AC0676B" w14:textId="10D6633E" w:rsidR="00FC61FD" w:rsidRDefault="00B83B60" w:rsidP="00F56351">
      <w:r>
        <w:t>[</w:t>
      </w:r>
      <w:proofErr w:type="gramStart"/>
      <w:r>
        <w:t>8</w:t>
      </w:r>
      <w:r>
        <w:t>]</w:t>
      </w:r>
      <w:r w:rsidR="00FC61FD" w:rsidRPr="00FC61FD">
        <w:t>Holm</w:t>
      </w:r>
      <w:proofErr w:type="gramEnd"/>
      <w:r w:rsidR="00FC61FD" w:rsidRPr="00FC61FD">
        <w:t>-</w:t>
      </w:r>
      <w:proofErr w:type="spellStart"/>
      <w:r w:rsidR="00FC61FD" w:rsidRPr="00FC61FD">
        <w:t>Hadulla</w:t>
      </w:r>
      <w:proofErr w:type="spellEnd"/>
      <w:r w:rsidR="00FC61FD" w:rsidRPr="00FC61FD">
        <w:t xml:space="preserve"> F, </w:t>
      </w:r>
      <w:proofErr w:type="spellStart"/>
      <w:r w:rsidR="00FC61FD" w:rsidRPr="00FC61FD">
        <w:t>Thürwächter</w:t>
      </w:r>
      <w:proofErr w:type="spellEnd"/>
      <w:r w:rsidR="00FC61FD" w:rsidRPr="00FC61FD">
        <w:t xml:space="preserve"> C. Heterogeneity in corporate debt structures and the transmission of monetary policy[J]. European Economic Review, 2021, 136: 103743.</w:t>
      </w:r>
    </w:p>
    <w:sectPr w:rsidR="00FC61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42A8E" w14:textId="77777777" w:rsidR="00AA2A9C" w:rsidRDefault="00AA2A9C" w:rsidP="005F4BBD">
      <w:r>
        <w:separator/>
      </w:r>
    </w:p>
  </w:endnote>
  <w:endnote w:type="continuationSeparator" w:id="0">
    <w:p w14:paraId="52A04E08" w14:textId="77777777" w:rsidR="00AA2A9C" w:rsidRDefault="00AA2A9C" w:rsidP="005F4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4FD67" w14:textId="77777777" w:rsidR="00AA2A9C" w:rsidRDefault="00AA2A9C" w:rsidP="005F4BBD">
      <w:r>
        <w:separator/>
      </w:r>
    </w:p>
  </w:footnote>
  <w:footnote w:type="continuationSeparator" w:id="0">
    <w:p w14:paraId="079DB31C" w14:textId="77777777" w:rsidR="00AA2A9C" w:rsidRDefault="00AA2A9C" w:rsidP="005F4B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81E64"/>
    <w:multiLevelType w:val="hybridMultilevel"/>
    <w:tmpl w:val="3D0082C0"/>
    <w:lvl w:ilvl="0" w:tplc="89529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41613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513"/>
    <w:rsid w:val="002046A4"/>
    <w:rsid w:val="00214513"/>
    <w:rsid w:val="002507BC"/>
    <w:rsid w:val="003907A6"/>
    <w:rsid w:val="00481133"/>
    <w:rsid w:val="00530C66"/>
    <w:rsid w:val="005F4B57"/>
    <w:rsid w:val="005F4BBD"/>
    <w:rsid w:val="006D553F"/>
    <w:rsid w:val="006F1D9F"/>
    <w:rsid w:val="0070554B"/>
    <w:rsid w:val="00947D71"/>
    <w:rsid w:val="00976B51"/>
    <w:rsid w:val="009948EE"/>
    <w:rsid w:val="00AA2A9C"/>
    <w:rsid w:val="00AA7D6A"/>
    <w:rsid w:val="00AB41EA"/>
    <w:rsid w:val="00B25B39"/>
    <w:rsid w:val="00B44B28"/>
    <w:rsid w:val="00B83B60"/>
    <w:rsid w:val="00BA6E0D"/>
    <w:rsid w:val="00C23FC5"/>
    <w:rsid w:val="00C910BC"/>
    <w:rsid w:val="00C9437F"/>
    <w:rsid w:val="00CC5D0C"/>
    <w:rsid w:val="00DC3D02"/>
    <w:rsid w:val="00E2131E"/>
    <w:rsid w:val="00F56351"/>
    <w:rsid w:val="00F61747"/>
    <w:rsid w:val="00FC6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70559"/>
  <w15:chartTrackingRefBased/>
  <w15:docId w15:val="{CDF2C683-ACAF-42CC-92DC-4C9EE46F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41EA"/>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7D71"/>
    <w:pPr>
      <w:ind w:firstLineChars="200" w:firstLine="420"/>
    </w:pPr>
  </w:style>
  <w:style w:type="paragraph" w:styleId="a4">
    <w:name w:val="header"/>
    <w:basedOn w:val="a"/>
    <w:link w:val="a5"/>
    <w:uiPriority w:val="99"/>
    <w:unhideWhenUsed/>
    <w:rsid w:val="005F4BB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F4BBD"/>
    <w:rPr>
      <w:rFonts w:ascii="Times New Roman" w:eastAsia="宋体" w:hAnsi="Times New Roman"/>
      <w:sz w:val="18"/>
      <w:szCs w:val="18"/>
    </w:rPr>
  </w:style>
  <w:style w:type="paragraph" w:styleId="a6">
    <w:name w:val="footer"/>
    <w:basedOn w:val="a"/>
    <w:link w:val="a7"/>
    <w:uiPriority w:val="99"/>
    <w:unhideWhenUsed/>
    <w:rsid w:val="005F4BBD"/>
    <w:pPr>
      <w:tabs>
        <w:tab w:val="center" w:pos="4153"/>
        <w:tab w:val="right" w:pos="8306"/>
      </w:tabs>
      <w:snapToGrid w:val="0"/>
      <w:jc w:val="left"/>
    </w:pPr>
    <w:rPr>
      <w:sz w:val="18"/>
      <w:szCs w:val="18"/>
    </w:rPr>
  </w:style>
  <w:style w:type="character" w:customStyle="1" w:styleId="a7">
    <w:name w:val="页脚 字符"/>
    <w:basedOn w:val="a0"/>
    <w:link w:val="a6"/>
    <w:uiPriority w:val="99"/>
    <w:rsid w:val="005F4BBD"/>
    <w:rPr>
      <w:rFonts w:ascii="Times New Roman" w:eastAsia="宋体" w:hAnsi="Times New Roman"/>
      <w:sz w:val="18"/>
      <w:szCs w:val="18"/>
    </w:rPr>
  </w:style>
  <w:style w:type="paragraph" w:customStyle="1" w:styleId="target">
    <w:name w:val="target"/>
    <w:basedOn w:val="a"/>
    <w:rsid w:val="00AA7D6A"/>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928319">
      <w:bodyDiv w:val="1"/>
      <w:marLeft w:val="0"/>
      <w:marRight w:val="0"/>
      <w:marTop w:val="0"/>
      <w:marBottom w:val="0"/>
      <w:divBdr>
        <w:top w:val="none" w:sz="0" w:space="0" w:color="auto"/>
        <w:left w:val="none" w:sz="0" w:space="0" w:color="auto"/>
        <w:bottom w:val="none" w:sz="0" w:space="0" w:color="auto"/>
        <w:right w:val="none" w:sz="0" w:space="0" w:color="auto"/>
      </w:divBdr>
      <w:divsChild>
        <w:div w:id="811403655">
          <w:marLeft w:val="0"/>
          <w:marRight w:val="0"/>
          <w:marTop w:val="0"/>
          <w:marBottom w:val="0"/>
          <w:divBdr>
            <w:top w:val="none" w:sz="0" w:space="0" w:color="auto"/>
            <w:left w:val="none" w:sz="0" w:space="0" w:color="auto"/>
            <w:bottom w:val="none" w:sz="0" w:space="0" w:color="auto"/>
            <w:right w:val="none" w:sz="0" w:space="0" w:color="auto"/>
          </w:divBdr>
        </w:div>
      </w:divsChild>
    </w:div>
    <w:div w:id="892616546">
      <w:bodyDiv w:val="1"/>
      <w:marLeft w:val="0"/>
      <w:marRight w:val="0"/>
      <w:marTop w:val="0"/>
      <w:marBottom w:val="0"/>
      <w:divBdr>
        <w:top w:val="none" w:sz="0" w:space="0" w:color="auto"/>
        <w:left w:val="none" w:sz="0" w:space="0" w:color="auto"/>
        <w:bottom w:val="none" w:sz="0" w:space="0" w:color="auto"/>
        <w:right w:val="none" w:sz="0" w:space="0" w:color="auto"/>
      </w:divBdr>
      <w:divsChild>
        <w:div w:id="1921060583">
          <w:marLeft w:val="0"/>
          <w:marRight w:val="0"/>
          <w:marTop w:val="0"/>
          <w:marBottom w:val="0"/>
          <w:divBdr>
            <w:top w:val="none" w:sz="0" w:space="0" w:color="auto"/>
            <w:left w:val="none" w:sz="0" w:space="0" w:color="auto"/>
            <w:bottom w:val="none" w:sz="0" w:space="0" w:color="auto"/>
            <w:right w:val="none" w:sz="0" w:space="0" w:color="auto"/>
          </w:divBdr>
        </w:div>
      </w:divsChild>
    </w:div>
    <w:div w:id="99938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3856</TotalTime>
  <Pages>2</Pages>
  <Words>387</Words>
  <Characters>2207</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Michael</dc:creator>
  <cp:keywords/>
  <dc:description/>
  <cp:lastModifiedBy>Zhao Michael</cp:lastModifiedBy>
  <cp:revision>4</cp:revision>
  <dcterms:created xsi:type="dcterms:W3CDTF">2022-08-13T03:39:00Z</dcterms:created>
  <dcterms:modified xsi:type="dcterms:W3CDTF">2022-08-16T09:45:00Z</dcterms:modified>
</cp:coreProperties>
</file>