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DB7FB" w14:textId="77777777" w:rsidR="00000000" w:rsidRDefault="00000000">
      <w:pPr>
        <w:pStyle w:val="1"/>
        <w:divId w:val="986202768"/>
        <w:rPr>
          <w:lang w:val="en"/>
          <w14:ligatures w14:val="none"/>
        </w:rPr>
      </w:pPr>
      <w:r>
        <w:rPr>
          <w:lang w:val="en"/>
        </w:rPr>
        <w:t>Geopolitical Oil Price Risk and Economic Fluctuations</w:t>
      </w:r>
    </w:p>
    <w:p w14:paraId="7767BD45" w14:textId="77777777" w:rsidR="00000000" w:rsidRDefault="00000000">
      <w:pPr>
        <w:divId w:val="986202768"/>
        <w:rPr>
          <w:lang w:val="en"/>
        </w:rPr>
      </w:pPr>
      <w:r>
        <w:rPr>
          <w:lang w:val="en"/>
        </w:rPr>
        <w:pict w14:anchorId="310583BA">
          <v:rect id="_x0000_i1025" style="width:0;height:1.5pt" o:hralign="center" o:hrstd="t" o:hr="t" fillcolor="#a0a0a0" stroked="f"/>
        </w:pict>
      </w:r>
    </w:p>
    <w:p w14:paraId="61D4FCE5" w14:textId="77777777" w:rsidR="00000000" w:rsidRDefault="00000000">
      <w:pPr>
        <w:pStyle w:val="1"/>
        <w:divId w:val="986202768"/>
        <w:rPr>
          <w:lang w:val="en"/>
        </w:rPr>
      </w:pPr>
      <w:r>
        <w:rPr>
          <w:lang w:val="en"/>
        </w:rPr>
        <w:t xml:space="preserve">Kilian </w:t>
      </w:r>
      <w:proofErr w:type="spellStart"/>
      <w:proofErr w:type="gramStart"/>
      <w:r>
        <w:rPr>
          <w:lang w:val="en"/>
        </w:rPr>
        <w:t>Lutz,Plante</w:t>
      </w:r>
      <w:proofErr w:type="spellEnd"/>
      <w:proofErr w:type="gramEnd"/>
      <w:r>
        <w:rPr>
          <w:lang w:val="en"/>
        </w:rPr>
        <w:t xml:space="preserve"> </w:t>
      </w:r>
      <w:proofErr w:type="spellStart"/>
      <w:r>
        <w:rPr>
          <w:lang w:val="en"/>
        </w:rPr>
        <w:t>Michael,Richter</w:t>
      </w:r>
      <w:proofErr w:type="spellEnd"/>
      <w:r>
        <w:rPr>
          <w:lang w:val="en"/>
        </w:rPr>
        <w:t xml:space="preserve"> Alexander W. | </w:t>
      </w:r>
      <w:hyperlink r:id="rId4" w:history="1">
        <w:r>
          <w:rPr>
            <w:rStyle w:val="a3"/>
            <w:lang w:val="en"/>
          </w:rPr>
          <w:t>Geopolitical Oil Price Risk and Economic Fluctuations</w:t>
        </w:r>
      </w:hyperlink>
      <w:r>
        <w:rPr>
          <w:lang w:val="en"/>
        </w:rPr>
        <w:t xml:space="preserve"> (2024) , DOI:10.24149/wp2403</w:t>
      </w:r>
    </w:p>
    <w:p w14:paraId="42F6CEB5" w14:textId="77777777" w:rsidR="00000000" w:rsidRDefault="00000000">
      <w:pPr>
        <w:pStyle w:val="a4"/>
        <w:divId w:val="986202768"/>
        <w:rPr>
          <w:lang w:val="en"/>
        </w:rPr>
      </w:pPr>
      <w:r>
        <w:rPr>
          <w:lang w:val="en"/>
        </w:rPr>
        <w:t>关键词：economic fluctuations 、endogeneity 、geopolitical risk 、inventories 、macroeconomic risk 、oil 、precautionary savings 、rare disasters 、shock propagation 、time-varying uncertainty</w:t>
      </w:r>
    </w:p>
    <w:p w14:paraId="1164D6B7" w14:textId="77777777" w:rsidR="00000000" w:rsidRDefault="00000000">
      <w:pPr>
        <w:divId w:val="986202768"/>
        <w:rPr>
          <w:lang w:val="en"/>
        </w:rPr>
      </w:pPr>
      <w:r>
        <w:rPr>
          <w:lang w:val="en"/>
        </w:rPr>
        <w:pict w14:anchorId="3B9B3429">
          <v:rect id="_x0000_i1026" style="width:0;height:1.5pt" o:hralign="center" o:hrstd="t" o:hr="t" fillcolor="#a0a0a0" stroked="f"/>
        </w:pict>
      </w:r>
    </w:p>
    <w:p w14:paraId="648DDF9A" w14:textId="77777777" w:rsidR="00000000" w:rsidRDefault="00000000">
      <w:pPr>
        <w:pStyle w:val="1"/>
        <w:divId w:val="986202768"/>
        <w:rPr>
          <w:lang w:val="en"/>
        </w:rPr>
      </w:pPr>
      <w:r>
        <w:rPr>
          <w:lang w:val="en"/>
        </w:rPr>
        <w:t>摘要：</w:t>
      </w:r>
    </w:p>
    <w:p w14:paraId="31C80ED5" w14:textId="77777777" w:rsidR="00000000" w:rsidRDefault="00000000">
      <w:pPr>
        <w:pStyle w:val="a4"/>
        <w:divId w:val="986202768"/>
        <w:rPr>
          <w:lang w:val="en"/>
        </w:rPr>
      </w:pPr>
      <w:r>
        <w:rPr>
          <w:lang w:val="en"/>
        </w:rPr>
        <w:t>This paper seeks to understand the general equilibrium effects of time-varying geopolitical risk in oil markets. Answering this question requires simultaneously modeling several features including macroeconomic disasters and geopolitically driven oil production disasters, oil storage and precautionary savings, and the endogenous determination of uncertainty about output and the price of oil. We find that oil price uncertainty tends to be driven by macroeconomic uncertainty. Shifts in the probability of a geopolitically driven major oil supply disruption have meaningful effects on the price of oil and the macro economy, but the resulting oil price uncertainty is not a major driver of fluctuations in macroeconomic aggregates.</w:t>
      </w:r>
    </w:p>
    <w:p w14:paraId="62EDCCD4" w14:textId="77777777" w:rsidR="00000000" w:rsidRDefault="00000000">
      <w:pPr>
        <w:divId w:val="986202768"/>
        <w:rPr>
          <w:lang w:val="en"/>
        </w:rPr>
      </w:pPr>
      <w:r>
        <w:rPr>
          <w:lang w:val="en"/>
        </w:rPr>
        <w:pict w14:anchorId="4C2CEE92">
          <v:rect id="_x0000_i1027" style="width:0;height:1.5pt" o:hralign="center" o:hrstd="t" o:hr="t" fillcolor="#a0a0a0" stroked="f"/>
        </w:pict>
      </w:r>
    </w:p>
    <w:p w14:paraId="57D7DDD8" w14:textId="77777777" w:rsidR="00000000" w:rsidRDefault="00000000">
      <w:pPr>
        <w:pStyle w:val="1"/>
        <w:divId w:val="986202768"/>
        <w:rPr>
          <w:lang w:val="en"/>
        </w:rPr>
      </w:pPr>
      <w:r>
        <w:rPr>
          <w:lang w:val="en"/>
        </w:rPr>
        <w:t>CEPR摘要</w:t>
      </w:r>
    </w:p>
    <w:p w14:paraId="0F6698D7" w14:textId="77777777" w:rsidR="00000000" w:rsidRDefault="00000000">
      <w:pPr>
        <w:pStyle w:val="a4"/>
        <w:divId w:val="986202768"/>
        <w:rPr>
          <w:lang w:val="en"/>
        </w:rPr>
      </w:pPr>
      <w:r>
        <w:rPr>
          <w:rStyle w:val="a5"/>
          <w:lang w:val="en"/>
        </w:rPr>
        <w:t>地缘政治风险会导致石油价格下行和经济冲击</w:t>
      </w:r>
    </w:p>
    <w:p w14:paraId="6E021CC3" w14:textId="77777777" w:rsidR="00000000" w:rsidRDefault="00000000">
      <w:pPr>
        <w:pStyle w:val="a4"/>
        <w:divId w:val="986202768"/>
        <w:rPr>
          <w:lang w:val="en"/>
        </w:rPr>
      </w:pPr>
      <w:r>
        <w:rPr>
          <w:rStyle w:val="a5"/>
          <w:lang w:val="en"/>
        </w:rPr>
        <w:lastRenderedPageBreak/>
        <w:t>然而，本文认为地缘政治风险不是宏观经济波动的主要驱动因素，因为地缘政治风险并不多见。</w:t>
      </w:r>
    </w:p>
    <w:p w14:paraId="62164891" w14:textId="77777777" w:rsidR="00000000" w:rsidRDefault="00000000">
      <w:pPr>
        <w:pStyle w:val="a4"/>
        <w:divId w:val="986202768"/>
        <w:rPr>
          <w:lang w:val="en"/>
        </w:rPr>
      </w:pPr>
      <w:r>
        <w:rPr>
          <w:rStyle w:val="a5"/>
          <w:lang w:val="en"/>
        </w:rPr>
        <w:t>但宏观经济重大风险是经济下行和油价不确定性的重要驱动因素。</w:t>
      </w:r>
    </w:p>
    <w:p w14:paraId="0BEAD9E4" w14:textId="77777777" w:rsidR="00000000" w:rsidRDefault="00000000">
      <w:pPr>
        <w:pStyle w:val="a4"/>
        <w:divId w:val="986202768"/>
        <w:rPr>
          <w:lang w:val="en"/>
        </w:rPr>
      </w:pPr>
      <w:r>
        <w:rPr>
          <w:lang w:val="en"/>
        </w:rPr>
        <w:t>地缘政治事件不仅在罕见事件发生时重要，也会影响投资者决策。这一特征在能源市场上表现明显。</w:t>
      </w:r>
    </w:p>
    <w:p w14:paraId="4BB5B2EE" w14:textId="77777777" w:rsidR="00000000" w:rsidRDefault="00000000">
      <w:pPr>
        <w:pStyle w:val="a4"/>
        <w:divId w:val="986202768"/>
        <w:rPr>
          <w:lang w:val="en"/>
        </w:rPr>
      </w:pPr>
      <w:r>
        <w:rPr>
          <w:lang w:val="en"/>
        </w:rPr>
        <w:t>低概率的地缘政治事件对经济影响很大，产生了地缘政治风险。</w:t>
      </w:r>
    </w:p>
    <w:p w14:paraId="149E29A8" w14:textId="77777777" w:rsidR="00000000" w:rsidRDefault="00000000">
      <w:pPr>
        <w:pStyle w:val="a4"/>
        <w:divId w:val="986202768"/>
        <w:rPr>
          <w:lang w:val="en"/>
        </w:rPr>
      </w:pPr>
      <w:r>
        <w:rPr>
          <w:rStyle w:val="a5"/>
          <w:color w:val="FF2020"/>
          <w:lang w:val="en"/>
        </w:rPr>
        <w:t>文章分析了地缘政治风险的时变性如何影响油价。</w:t>
      </w:r>
      <w:r>
        <w:rPr>
          <w:b/>
          <w:bCs/>
          <w:color w:val="FF2020"/>
          <w:lang w:val="en"/>
        </w:rPr>
        <w:br/>
      </w:r>
      <w:r>
        <w:rPr>
          <w:rStyle w:val="a5"/>
          <w:color w:val="FF2020"/>
          <w:lang w:val="en"/>
        </w:rPr>
        <w:t>虽然石油生产的地缘政治下行风险会提高石油价格的不确定性，但并非所有石油价格不确定性的飙升都是由地缘政治事件驱动的。</w:t>
      </w:r>
    </w:p>
    <w:p w14:paraId="12B0D9AA" w14:textId="77777777" w:rsidR="00000000" w:rsidRDefault="00000000">
      <w:pPr>
        <w:pStyle w:val="a4"/>
        <w:divId w:val="986202768"/>
        <w:rPr>
          <w:lang w:val="en"/>
        </w:rPr>
      </w:pPr>
      <w:r>
        <w:rPr>
          <w:lang w:val="en"/>
        </w:rPr>
        <w:t>图1：实际油价不确定性</w:t>
      </w:r>
      <w:r>
        <w:rPr>
          <w:rFonts w:hint="eastAsia"/>
          <w:noProof/>
          <w:lang w:val="en"/>
        </w:rPr>
        <w:drawing>
          <wp:inline distT="0" distB="0" distL="0" distR="0" wp14:anchorId="72C94388" wp14:editId="125B2A82">
            <wp:extent cx="5756069" cy="312108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7184" cy="3132535"/>
                    </a:xfrm>
                    <a:prstGeom prst="rect">
                      <a:avLst/>
                    </a:prstGeom>
                    <a:noFill/>
                    <a:ln>
                      <a:noFill/>
                    </a:ln>
                  </pic:spPr>
                </pic:pic>
              </a:graphicData>
            </a:graphic>
          </wp:inline>
        </w:drawing>
      </w:r>
    </w:p>
    <w:p w14:paraId="259B1B1D" w14:textId="77777777" w:rsidR="00000000" w:rsidRDefault="00000000">
      <w:pPr>
        <w:pStyle w:val="a4"/>
        <w:divId w:val="986202768"/>
        <w:rPr>
          <w:lang w:val="en"/>
        </w:rPr>
      </w:pPr>
      <w:r>
        <w:rPr>
          <w:rStyle w:val="a5"/>
          <w:lang w:val="en"/>
        </w:rPr>
        <w:t>油价不确定性与地缘政治风险存在差异。</w:t>
      </w:r>
      <w:r>
        <w:rPr>
          <w:lang w:val="en"/>
        </w:rPr>
        <w:t>两个原因：</w:t>
      </w:r>
      <w:r>
        <w:rPr>
          <w:lang w:val="en"/>
        </w:rPr>
        <w:br/>
        <w:t>     投资者关注的风险是石油产量大幅下降与油价上升的风险。</w:t>
      </w:r>
      <w:r>
        <w:rPr>
          <w:lang w:val="en"/>
        </w:rPr>
        <w:br/>
        <w:t>     油价不只是石油本身的信号。</w:t>
      </w:r>
    </w:p>
    <w:p w14:paraId="4A6BDE88" w14:textId="77777777" w:rsidR="00000000" w:rsidRDefault="00000000">
      <w:pPr>
        <w:pStyle w:val="a4"/>
        <w:divId w:val="986202768"/>
        <w:rPr>
          <w:lang w:val="en"/>
        </w:rPr>
      </w:pPr>
      <w:r>
        <w:rPr>
          <w:lang w:val="en"/>
        </w:rPr>
        <w:t>要解释油价不确定性，需要同时模拟诸多因素。</w:t>
      </w:r>
      <w:r>
        <w:rPr>
          <w:lang w:val="en"/>
        </w:rPr>
        <w:br/>
        <w:t>     </w:t>
      </w:r>
      <w:r>
        <w:rPr>
          <w:color w:val="000000"/>
          <w:lang w:val="en"/>
        </w:rPr>
        <w:t>生产灾难、石油储存以及全球经济中石油价格和宏观经济不确定性的内生决定所带来的下行风险。</w:t>
      </w:r>
    </w:p>
    <w:p w14:paraId="2744EDAF" w14:textId="77777777" w:rsidR="00000000" w:rsidRDefault="00000000">
      <w:pPr>
        <w:pStyle w:val="a4"/>
        <w:divId w:val="986202768"/>
        <w:rPr>
          <w:lang w:val="en"/>
        </w:rPr>
      </w:pPr>
      <w:r>
        <w:rPr>
          <w:rStyle w:val="a5"/>
          <w:lang w:val="en"/>
        </w:rPr>
        <w:t>方法：非线性DSGE</w:t>
      </w:r>
      <w:r>
        <w:rPr>
          <w:b/>
          <w:bCs/>
          <w:lang w:val="en"/>
        </w:rPr>
        <w:br/>
      </w:r>
      <w:r>
        <w:rPr>
          <w:rStyle w:val="a5"/>
          <w:lang w:val="en"/>
        </w:rPr>
        <w:t>     </w:t>
      </w:r>
      <w:r>
        <w:rPr>
          <w:color w:val="000000"/>
          <w:lang w:val="en"/>
        </w:rPr>
        <w:t>该模型包括规避风险的经济主体、石油生产部门、石油储存以及石油与资本之</w:t>
      </w:r>
      <w:r>
        <w:rPr>
          <w:color w:val="000000"/>
          <w:lang w:val="en"/>
        </w:rPr>
        <w:lastRenderedPageBreak/>
        <w:t>间有限的可替代性。石油价格由内生决定。由于模型是全球性的，我们对石油进出口和国际资本流动进行了抽象。</w:t>
      </w:r>
    </w:p>
    <w:p w14:paraId="1A5F2A18" w14:textId="77777777" w:rsidR="00000000" w:rsidRDefault="00000000">
      <w:pPr>
        <w:pStyle w:val="a4"/>
        <w:divId w:val="986202768"/>
        <w:rPr>
          <w:lang w:val="en"/>
        </w:rPr>
      </w:pPr>
      <w:r>
        <w:rPr>
          <w:rStyle w:val="a5"/>
          <w:lang w:val="en"/>
        </w:rPr>
        <w:t>创新点：</w:t>
      </w:r>
      <w:r>
        <w:rPr>
          <w:lang w:val="en"/>
        </w:rPr>
        <w:t>区别于石油生产与价格（Gao 2022）；同时考虑了油价不确定性与经济不确定性。</w:t>
      </w:r>
    </w:p>
    <w:p w14:paraId="4FDE9430" w14:textId="77777777" w:rsidR="00000000" w:rsidRDefault="00000000">
      <w:pPr>
        <w:pStyle w:val="a4"/>
        <w:divId w:val="986202768"/>
        <w:rPr>
          <w:lang w:val="en"/>
        </w:rPr>
      </w:pPr>
      <w:r>
        <w:rPr>
          <w:rStyle w:val="a5"/>
          <w:lang w:val="en"/>
        </w:rPr>
        <w:t>结论：</w:t>
      </w:r>
    </w:p>
    <w:p w14:paraId="28E7DB7E" w14:textId="77777777" w:rsidR="00000000" w:rsidRDefault="00000000">
      <w:pPr>
        <w:pStyle w:val="a4"/>
        <w:divId w:val="986202768"/>
        <w:rPr>
          <w:lang w:val="en"/>
        </w:rPr>
      </w:pPr>
      <w:r>
        <w:rPr>
          <w:lang w:val="en"/>
        </w:rPr>
        <w:t> IRF，shock：石油产量剧烈下降概率冲击</w:t>
      </w:r>
      <w:r>
        <w:rPr>
          <w:rFonts w:hint="eastAsia"/>
          <w:noProof/>
          <w:lang w:val="en"/>
        </w:rPr>
        <w:drawing>
          <wp:inline distT="0" distB="0" distL="0" distR="0" wp14:anchorId="1E3E0963" wp14:editId="00B3F218">
            <wp:extent cx="5910448" cy="3882198"/>
            <wp:effectExtent l="0" t="0" r="0" b="0"/>
            <wp:docPr id="5" name="图片 5" descr="Figure 2 Responses to an oil production disaster probability 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 Responses to an oil production disaster probability sho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6827" cy="3892956"/>
                    </a:xfrm>
                    <a:prstGeom prst="rect">
                      <a:avLst/>
                    </a:prstGeom>
                    <a:noFill/>
                    <a:ln>
                      <a:noFill/>
                    </a:ln>
                  </pic:spPr>
                </pic:pic>
              </a:graphicData>
            </a:graphic>
          </wp:inline>
        </w:drawing>
      </w:r>
    </w:p>
    <w:p w14:paraId="61DC3362" w14:textId="77777777" w:rsidR="00000000" w:rsidRDefault="00000000">
      <w:pPr>
        <w:pStyle w:val="a4"/>
        <w:divId w:val="986202768"/>
        <w:rPr>
          <w:lang w:val="en"/>
        </w:rPr>
      </w:pPr>
      <w:r>
        <w:rPr>
          <w:lang w:val="en"/>
        </w:rPr>
        <w:t>shock对output（inventory）、油价和价格不确定性有影响</w:t>
      </w:r>
    </w:p>
    <w:p w14:paraId="57AC22CC" w14:textId="77777777" w:rsidR="00000000" w:rsidRDefault="00000000">
      <w:pPr>
        <w:pStyle w:val="a4"/>
        <w:divId w:val="986202768"/>
        <w:rPr>
          <w:lang w:val="en"/>
        </w:rPr>
      </w:pPr>
      <w:r>
        <w:rPr>
          <w:rStyle w:val="a5"/>
          <w:color w:val="000000"/>
          <w:lang w:val="en"/>
        </w:rPr>
        <w:t>这些冲击也会对投资和产出产生相当大的影响，但它们并不是宏观经济总量波动的主要驱动力，因为大规模的石油灾难概率冲击并不多见。 它们对宏观经济不确定性的影响也不大。</w:t>
      </w:r>
    </w:p>
    <w:p w14:paraId="01BFD10B" w14:textId="77777777" w:rsidR="00000000" w:rsidRDefault="00000000">
      <w:pPr>
        <w:pStyle w:val="a4"/>
        <w:divId w:val="986202768"/>
        <w:rPr>
          <w:lang w:val="en"/>
        </w:rPr>
      </w:pPr>
      <w:r>
        <w:rPr>
          <w:lang w:val="en"/>
        </w:rPr>
        <w:t>油价shock和经济收缩的相关性不应被解释为因果证据。</w:t>
      </w:r>
    </w:p>
    <w:p w14:paraId="36C339CF" w14:textId="77777777" w:rsidR="00000000" w:rsidRDefault="00000000">
      <w:pPr>
        <w:pStyle w:val="a4"/>
        <w:divId w:val="986202768"/>
        <w:rPr>
          <w:lang w:val="en"/>
        </w:rPr>
      </w:pPr>
      <w:r>
        <w:rPr>
          <w:lang w:val="en"/>
        </w:rPr>
        <w:t>石油储存能力的重要作用：如果没有存货，shock对石油市场和宏观经济总量的影响很小</w:t>
      </w:r>
    </w:p>
    <w:p w14:paraId="7A8D977C" w14:textId="77777777" w:rsidR="00000000" w:rsidRDefault="00000000">
      <w:pPr>
        <w:divId w:val="986202768"/>
        <w:rPr>
          <w:lang w:val="en"/>
        </w:rPr>
      </w:pPr>
      <w:r>
        <w:rPr>
          <w:lang w:val="en"/>
        </w:rPr>
        <w:pict w14:anchorId="4E97A229">
          <v:rect id="_x0000_i1028" style="width:0;height:1.5pt" o:hralign="center" o:hrstd="t" o:hr="t" fillcolor="#a0a0a0" stroked="f"/>
        </w:pict>
      </w:r>
    </w:p>
    <w:p w14:paraId="24F9665C" w14:textId="77777777" w:rsidR="00000000" w:rsidRDefault="00000000">
      <w:pPr>
        <w:pStyle w:val="1"/>
        <w:divId w:val="986202768"/>
        <w:rPr>
          <w:lang w:val="en"/>
        </w:rPr>
      </w:pPr>
      <w:r>
        <w:rPr>
          <w:lang w:val="en"/>
        </w:rPr>
        <w:lastRenderedPageBreak/>
        <w:t>研究问题</w:t>
      </w:r>
    </w:p>
    <w:p w14:paraId="0ED8AA12" w14:textId="77777777" w:rsidR="00000000" w:rsidRDefault="00000000">
      <w:pPr>
        <w:pStyle w:val="a4"/>
        <w:divId w:val="986202768"/>
        <w:rPr>
          <w:lang w:val="en"/>
        </w:rPr>
      </w:pPr>
      <w:r>
        <w:rPr>
          <w:lang w:val="en"/>
        </w:rPr>
        <w:t>石油生产的地缘政治风险与油价不确定性。</w:t>
      </w:r>
    </w:p>
    <w:p w14:paraId="2901356E" w14:textId="77777777" w:rsidR="00000000" w:rsidRDefault="00000000">
      <w:pPr>
        <w:pStyle w:val="a4"/>
        <w:divId w:val="986202768"/>
        <w:rPr>
          <w:lang w:val="en"/>
        </w:rPr>
      </w:pPr>
      <w:r>
        <w:rPr>
          <w:lang w:val="en"/>
        </w:rPr>
        <w:t>区别于石油生产与价格（Gao 2022）；同时考虑了油价不确定性与经济不确定性。</w:t>
      </w:r>
    </w:p>
    <w:p w14:paraId="2E6B7BFA" w14:textId="77777777" w:rsidR="00000000" w:rsidRDefault="00000000">
      <w:pPr>
        <w:pStyle w:val="1"/>
        <w:divId w:val="986202768"/>
        <w:rPr>
          <w:lang w:val="en"/>
        </w:rPr>
      </w:pPr>
      <w:r>
        <w:rPr>
          <w:lang w:val="en"/>
        </w:rPr>
        <w:t>数据来源</w:t>
      </w:r>
    </w:p>
    <w:p w14:paraId="6C7FF671" w14:textId="77777777" w:rsidR="00000000" w:rsidRDefault="00000000">
      <w:pPr>
        <w:pStyle w:val="a4"/>
        <w:divId w:val="986202768"/>
        <w:rPr>
          <w:lang w:val="en"/>
        </w:rPr>
      </w:pPr>
      <w:r>
        <w:rPr>
          <w:lang w:val="en"/>
        </w:rPr>
        <w:t>Haver Analytics</w:t>
      </w:r>
    </w:p>
    <w:p w14:paraId="041E37FA" w14:textId="77777777" w:rsidR="00000000" w:rsidRDefault="00000000">
      <w:pPr>
        <w:pStyle w:val="a4"/>
        <w:divId w:val="986202768"/>
        <w:rPr>
          <w:lang w:val="en"/>
        </w:rPr>
      </w:pPr>
      <w:r>
        <w:rPr>
          <w:lang w:val="en"/>
        </w:rPr>
        <w:t>FRED月度数据</w:t>
      </w:r>
      <w:hyperlink r:id="rId7" w:history="1">
        <w:r>
          <w:rPr>
            <w:rStyle w:val="a3"/>
            <w:lang w:val="en"/>
          </w:rPr>
          <w:t>https://research.stlouisfed.org/econ/mccracken/fred-databases</w:t>
        </w:r>
      </w:hyperlink>
    </w:p>
    <w:p w14:paraId="16562D17" w14:textId="77777777" w:rsidR="00000000" w:rsidRDefault="00000000">
      <w:pPr>
        <w:pStyle w:val="a4"/>
        <w:divId w:val="986202768"/>
        <w:rPr>
          <w:lang w:val="en"/>
        </w:rPr>
      </w:pPr>
      <w:r>
        <w:rPr>
          <w:lang w:val="en"/>
        </w:rPr>
        <w:t xml:space="preserve">Fama-French：https://mba.tuck.dartmouth.edu/pages/faculty/ken.french/data_library.html </w:t>
      </w:r>
    </w:p>
    <w:p w14:paraId="030C98D6" w14:textId="77777777" w:rsidR="00000000" w:rsidRDefault="00000000">
      <w:pPr>
        <w:pStyle w:val="a4"/>
        <w:divId w:val="986202768"/>
        <w:rPr>
          <w:lang w:val="en"/>
        </w:rPr>
      </w:pPr>
      <w:r>
        <w:rPr>
          <w:lang w:val="en"/>
        </w:rPr>
        <w:t xml:space="preserve">WRDS的股票市场指数 https://wrds-www.wharton.upenn.edu </w:t>
      </w:r>
    </w:p>
    <w:p w14:paraId="154FF62D" w14:textId="77777777" w:rsidR="00000000" w:rsidRDefault="00000000">
      <w:pPr>
        <w:pStyle w:val="a4"/>
        <w:divId w:val="986202768"/>
        <w:rPr>
          <w:lang w:val="en"/>
        </w:rPr>
      </w:pPr>
      <w:r>
        <w:rPr>
          <w:lang w:val="en"/>
        </w:rPr>
        <w:t>地缘政治风险指数https:// www.matteoiacoviello.com/gpr.htm</w:t>
      </w:r>
    </w:p>
    <w:p w14:paraId="37A3EB2D" w14:textId="77777777" w:rsidR="00000000" w:rsidRDefault="00000000">
      <w:pPr>
        <w:pStyle w:val="a4"/>
        <w:divId w:val="986202768"/>
        <w:rPr>
          <w:lang w:val="en"/>
        </w:rPr>
      </w:pPr>
      <w:r>
        <w:rPr>
          <w:lang w:val="en"/>
        </w:rPr>
        <w:t>全球石油存货，月度，百万桶/日（投资），来自</w:t>
      </w:r>
      <w:r>
        <w:rPr>
          <w:rStyle w:val="citation"/>
          <w:lang w:val="en"/>
        </w:rPr>
        <w:t>(</w:t>
      </w:r>
      <w:r>
        <w:rPr>
          <w:rStyle w:val="citation-item"/>
          <w:lang w:val="en"/>
        </w:rPr>
        <w:t>Kilian, 2022</w:t>
      </w:r>
      <w:r>
        <w:rPr>
          <w:rStyle w:val="citation"/>
          <w:lang w:val="en"/>
        </w:rPr>
        <w:t>)</w:t>
      </w:r>
    </w:p>
    <w:p w14:paraId="2681EB20" w14:textId="77777777" w:rsidR="00000000" w:rsidRDefault="00000000">
      <w:pPr>
        <w:pStyle w:val="1"/>
        <w:divId w:val="986202768"/>
        <w:rPr>
          <w:lang w:val="en"/>
        </w:rPr>
      </w:pPr>
      <w:r>
        <w:rPr>
          <w:lang w:val="en"/>
        </w:rPr>
        <w:t>理论方法</w:t>
      </w:r>
    </w:p>
    <w:p w14:paraId="6125F2EE" w14:textId="77777777" w:rsidR="00000000" w:rsidRDefault="00000000">
      <w:pPr>
        <w:pStyle w:val="a4"/>
        <w:divId w:val="986202768"/>
        <w:rPr>
          <w:lang w:val="en"/>
        </w:rPr>
      </w:pPr>
      <w:r>
        <w:rPr>
          <w:lang w:val="en"/>
        </w:rPr>
        <w:t>包含了石油产出下行风险的非线性DSGE</w:t>
      </w:r>
      <w:r>
        <w:rPr>
          <w:rStyle w:val="a5"/>
          <w:color w:val="000000"/>
          <w:lang w:val="en"/>
        </w:rPr>
        <w:t>。</w:t>
      </w:r>
      <w:r>
        <w:rPr>
          <w:lang w:val="en"/>
        </w:rPr>
        <w:t>将地缘政治风险事件建模为概率极低但随时间增加的灾害。</w:t>
      </w:r>
    </w:p>
    <w:p w14:paraId="07E5792B" w14:textId="77777777" w:rsidR="00000000" w:rsidRDefault="00000000">
      <w:pPr>
        <w:pStyle w:val="a4"/>
        <w:divId w:val="986202768"/>
        <w:rPr>
          <w:lang w:val="en"/>
        </w:rPr>
      </w:pPr>
      <w:r>
        <w:rPr>
          <w:color w:val="000000"/>
          <w:lang w:val="en"/>
        </w:rPr>
        <w:t>包括规避风险的经济主体、石油生产部门、石油储存以及石油与资本之间有限替代。</w:t>
      </w:r>
    </w:p>
    <w:p w14:paraId="09661EE5" w14:textId="77777777" w:rsidR="00000000" w:rsidRDefault="00000000">
      <w:pPr>
        <w:pStyle w:val="1"/>
        <w:divId w:val="986202768"/>
        <w:rPr>
          <w:lang w:val="en"/>
        </w:rPr>
      </w:pPr>
      <w:r>
        <w:rPr>
          <w:lang w:val="en"/>
        </w:rPr>
        <w:t>实证方法(求解）</w:t>
      </w:r>
    </w:p>
    <w:p w14:paraId="2DBBFA7A" w14:textId="77777777" w:rsidR="00000000" w:rsidRDefault="00000000">
      <w:pPr>
        <w:pStyle w:val="a4"/>
        <w:divId w:val="986202768"/>
        <w:rPr>
          <w:lang w:val="en"/>
        </w:rPr>
      </w:pPr>
      <w:r>
        <w:rPr>
          <w:lang w:val="en"/>
        </w:rPr>
        <w:t>global solution，</w:t>
      </w:r>
      <w:proofErr w:type="gramStart"/>
      <w:r>
        <w:rPr>
          <w:lang w:val="en"/>
        </w:rPr>
        <w:t>基于</w:t>
      </w:r>
      <w:r>
        <w:rPr>
          <w:rStyle w:val="citation"/>
          <w:lang w:val="en"/>
        </w:rPr>
        <w:t>(</w:t>
      </w:r>
      <w:proofErr w:type="gramEnd"/>
      <w:r>
        <w:rPr>
          <w:rStyle w:val="citation-item"/>
          <w:lang w:val="en"/>
        </w:rPr>
        <w:t>Richter 等, 2014</w:t>
      </w:r>
      <w:r>
        <w:rPr>
          <w:rStyle w:val="citation"/>
          <w:lang w:val="en"/>
        </w:rPr>
        <w:t>)</w:t>
      </w:r>
      <w:r>
        <w:rPr>
          <w:lang w:val="en"/>
        </w:rPr>
        <w:t>，理论来源</w:t>
      </w:r>
      <w:r>
        <w:rPr>
          <w:rStyle w:val="citation"/>
          <w:lang w:val="en"/>
        </w:rPr>
        <w:t>(</w:t>
      </w:r>
      <w:r>
        <w:rPr>
          <w:rStyle w:val="citation-item"/>
          <w:lang w:val="en"/>
        </w:rPr>
        <w:t>Coleman, 1991</w:t>
      </w:r>
      <w:r>
        <w:rPr>
          <w:rStyle w:val="citation"/>
          <w:lang w:val="en"/>
        </w:rPr>
        <w:t>)</w:t>
      </w:r>
    </w:p>
    <w:p w14:paraId="1F84F882" w14:textId="77777777" w:rsidR="00000000" w:rsidRDefault="00000000">
      <w:pPr>
        <w:pStyle w:val="a4"/>
        <w:divId w:val="986202768"/>
        <w:rPr>
          <w:lang w:val="en"/>
        </w:rPr>
      </w:pPr>
      <w:r>
        <w:rPr>
          <w:lang w:val="en"/>
        </w:rPr>
        <w:t>该算法将状态空间中每个节点上的欧拉方程误差最小化，并计算策略函数的最大变化。然后进行迭代，直到最大变化低于指定的容差。</w:t>
      </w:r>
    </w:p>
    <w:p w14:paraId="4B3E5311" w14:textId="77777777" w:rsidR="000F32A9" w:rsidRDefault="00000000">
      <w:pPr>
        <w:pStyle w:val="1"/>
        <w:divId w:val="986202768"/>
        <w:rPr>
          <w:lang w:val="en"/>
        </w:rPr>
      </w:pPr>
      <w:r>
        <w:rPr>
          <w:rStyle w:val="a5"/>
          <w:b/>
          <w:bCs/>
          <w:lang w:val="en"/>
        </w:rPr>
        <w:t>idea</w:t>
      </w:r>
    </w:p>
    <w:sectPr w:rsidR="000F32A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237FA"/>
    <w:rsid w:val="000F32A9"/>
    <w:rsid w:val="00613015"/>
    <w:rsid w:val="00B237FA"/>
    <w:rsid w:val="00C97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13A0"/>
  <w15:docId w15:val="{9E50790A-253F-4A63-A150-8ED73813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宋体" w:eastAsia="宋体" w:hAnsi="宋体" w:cs="宋体"/>
      <w:b/>
      <w:bCs/>
      <w:kern w:val="36"/>
      <w:sz w:val="48"/>
      <w:szCs w:val="48"/>
    </w:rPr>
  </w:style>
  <w:style w:type="character" w:styleId="a3">
    <w:name w:val="Hyperlink"/>
    <w:basedOn w:val="a0"/>
    <w:uiPriority w:val="99"/>
    <w:semiHidden/>
    <w:unhideWhenUsed/>
    <w:rPr>
      <w:color w:val="0000FF"/>
      <w:u w:val="single"/>
    </w:rPr>
  </w:style>
  <w:style w:type="paragraph" w:styleId="a4">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Pr>
      <w:b/>
      <w:bCs/>
    </w:rPr>
  </w:style>
  <w:style w:type="character" w:customStyle="1" w:styleId="citation">
    <w:name w:val="citation"/>
    <w:basedOn w:val="a0"/>
  </w:style>
  <w:style w:type="character" w:customStyle="1" w:styleId="citation-item">
    <w:name w:val="citation-item"/>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202768">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search.stlouisfed.org/econ/mccracken/fred-databas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zotero://select/library/items/MGCZ2LWG"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Zhao</cp:lastModifiedBy>
  <cp:revision>3</cp:revision>
  <dcterms:created xsi:type="dcterms:W3CDTF">2024-07-31T05:22:00Z</dcterms:created>
  <dcterms:modified xsi:type="dcterms:W3CDTF">2024-07-31T05:22:00Z</dcterms:modified>
</cp:coreProperties>
</file>