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Lastenheft — Elektrisches Servolenksystem (EPS)</w:t>
      </w:r>
    </w:p>
    <w:p>
      <w:r>
        <w:t>für Fahrzeuge der Kompaktklasse</w:t>
      </w:r>
    </w:p>
    <w:tbl>
      <w:tblPr>
        <w:tblW w:type="auto" w:w="0"/>
        <w:tblLook w:firstColumn="1" w:firstRow="1" w:lastColumn="0" w:lastRow="0" w:noHBand="0" w:noVBand="1" w:val="04A0"/>
      </w:tblPr>
      <w:tblGrid>
        <w:gridCol w:w="4320"/>
        <w:gridCol w:w="4320"/>
      </w:tblGrid>
      <w:tr>
        <w:tc>
          <w:tcPr>
            <w:tcW w:type="dxa" w:w="4320"/>
          </w:tcPr>
          <w:p>
            <w:r>
              <w:t>Version</w:t>
            </w:r>
          </w:p>
        </w:tc>
        <w:tc>
          <w:tcPr>
            <w:tcW w:type="dxa" w:w="4320"/>
          </w:tcPr>
          <w:p>
            <w:r>
              <w:t>v1.2</w:t>
            </w:r>
          </w:p>
        </w:tc>
      </w:tr>
      <w:tr>
        <w:tc>
          <w:tcPr>
            <w:tcW w:type="dxa" w:w="4320"/>
          </w:tcPr>
          <w:p>
            <w:r>
              <w:t>Gültig ab</w:t>
            </w:r>
          </w:p>
        </w:tc>
        <w:tc>
          <w:tcPr>
            <w:tcW w:type="dxa" w:w="4320"/>
          </w:tcPr>
          <w:p>
            <w:r>
              <w:t>2024-01-01</w:t>
            </w:r>
          </w:p>
        </w:tc>
      </w:tr>
      <w:tr>
        <w:tc>
          <w:tcPr>
            <w:tcW w:type="dxa" w:w="4320"/>
          </w:tcPr>
          <w:p>
            <w:r>
              <w:t>Gültig bis</w:t>
            </w:r>
          </w:p>
        </w:tc>
        <w:tc>
          <w:tcPr>
            <w:tcW w:type="dxa" w:w="4320"/>
          </w:tcPr>
          <w:p>
            <w:r>
              <w:t>2025-12-31</w:t>
            </w:r>
          </w:p>
        </w:tc>
      </w:tr>
      <w:tr>
        <w:tc>
          <w:tcPr>
            <w:tcW w:type="dxa" w:w="4320"/>
          </w:tcPr>
          <w:p>
            <w:r>
              <w:t>Dokumenttyp</w:t>
            </w:r>
          </w:p>
        </w:tc>
        <w:tc>
          <w:tcPr>
            <w:tcW w:type="dxa" w:w="4320"/>
          </w:tcPr>
          <w:p>
            <w:r>
              <w:t>Lastenheft (synthetisch, zu Demonstrationszwecken)</w:t>
            </w:r>
          </w:p>
        </w:tc>
      </w:tr>
      <w:tr>
        <w:tc>
          <w:tcPr>
            <w:tcW w:type="dxa" w:w="4320"/>
          </w:tcPr>
          <w:p>
            <w:r>
              <w:t>Sprache</w:t>
            </w:r>
          </w:p>
        </w:tc>
        <w:tc>
          <w:tcPr>
            <w:tcW w:type="dxa" w:w="4320"/>
          </w:tcPr>
          <w:p>
            <w:r>
              <w:t>Deutsch</w:t>
            </w:r>
          </w:p>
        </w:tc>
      </w:tr>
      <w:tr>
        <w:tc>
          <w:tcPr>
            <w:tcW w:type="dxa" w:w="4320"/>
          </w:tcPr>
          <w:p>
            <w:r>
              <w:t>Bezug</w:t>
            </w:r>
          </w:p>
        </w:tc>
        <w:tc>
          <w:tcPr>
            <w:tcW w:type="dxa" w:w="4320"/>
          </w:tcPr>
          <w:p>
            <w:r>
              <w:t>UN R79 (Lenkanlagen), StVZO</w:t>
            </w:r>
          </w:p>
        </w:tc>
      </w:tr>
    </w:tbl>
    <w:p>
      <w:pPr>
        <w:pStyle w:val="Heading1"/>
      </w:pPr>
      <w:r>
        <w:t>1. Einleitung und Geltungsbereich</w:t>
      </w:r>
    </w:p>
    <w:p>
      <w:pPr>
        <w:pStyle w:val="Heading2"/>
      </w:pPr>
      <w:r>
        <w:t>1.1 Zweck des Dokuments</w:t>
      </w:r>
    </w:p>
    <w:p>
      <w:r>
        <w:t>Dieses Lastenheft beschreibt die funktionalen, sicherheitsbezogenen und umgebungsbezogenen Anforderungen an das elektrische Servolenksystem (Electric Power Steering, EPS) für Fahrzeuge der Kompaktklasse. Es dient als verbindliche Grundlage für Entwicklung, Erprobung und Abnahme des Systems durch den Lieferanten.</w:t>
      </w:r>
    </w:p>
    <w:p>
      <w:pPr>
        <w:pStyle w:val="Heading2"/>
      </w:pPr>
      <w:r>
        <w:t>1.2 Anwendungsbereich</w:t>
      </w:r>
    </w:p>
    <w:p>
      <w:r>
        <w:t>Das Lastenheft gilt für alle EPS-Varianten der Baureihe, die für den Einsatz in Mitgliedstaaten der Europäischen Union unter Anwendung der UN-Regelung Nr. 79 typgenehmigt werden sollen.</w:t>
      </w:r>
    </w:p>
    <w:p>
      <w:pPr>
        <w:pStyle w:val="Heading2"/>
      </w:pPr>
      <w:r>
        <w:t>1.3 Begriffe und Abkürzungen</w:t>
      </w:r>
    </w:p>
    <w:p>
      <w:r>
        <w:t>MUSS kennzeichnet eine zwingende Anforderung. SOLL kennzeichnet eine dringend empfohlene Anforderung, von der nur mit begründeter Ausnahme abgewichen werden darf. KANN kennzeichnet eine optionale Anforderung.</w:t>
      </w:r>
    </w:p>
    <w:p>
      <w:pPr>
        <w:pStyle w:val="Heading1"/>
      </w:pPr>
      <w:r>
        <w:t>2. Referenzierte Dokumente</w:t>
      </w:r>
    </w:p>
    <w:p>
      <w:pPr>
        <w:pStyle w:val="ListBullet"/>
      </w:pPr>
      <w:r>
        <w:t>UN R79 — Einheitliche Bedingungen für die Genehmigung der Fahrzeuge hinsichtlich der Lenkanlage.</w:t>
      </w:r>
    </w:p>
    <w:p>
      <w:pPr>
        <w:pStyle w:val="ListBullet"/>
      </w:pPr>
      <w:r>
        <w:t>StVZO — Straßenverkehrs-Zulassungs-Ordnung, insbesondere die zulassungsrelevanten Vorschriften zu Lenkeinrichtungen.</w:t>
      </w:r>
    </w:p>
    <w:p>
      <w:pPr>
        <w:pStyle w:val="ListBullet"/>
      </w:pPr>
      <w:r>
        <w:t>UN R155 — Cybersicherheit und Cybersicherheits-Managementsystem.</w:t>
      </w:r>
    </w:p>
    <w:p>
      <w:pPr>
        <w:pStyle w:val="Heading1"/>
      </w:pPr>
      <w:r>
        <w:t>3. Funktionale Anforderungen an das Lenksystem</w:t>
      </w:r>
    </w:p>
    <w:p>
      <w:pPr>
        <w:pStyle w:val="Heading2"/>
      </w:pPr>
      <w:r>
        <w:t>3.1 Lenkübersetzung</w:t>
      </w:r>
    </w:p>
    <w:p>
      <w:r>
        <w:rPr>
          <w:b/>
        </w:rPr>
        <w:t xml:space="preserve">LH-3.1.1 [MUSS] </w:t>
      </w:r>
      <w:r>
        <w:t>Die Lenkübersetzung muss über den gesamten Geschwindigkeitsbereich so ausgelegt sein, dass maximal 2,5 Lenkradumdrehungen von Anschlag zu Anschlag erforderlich sind.</w:t>
      </w:r>
    </w:p>
    <w:p>
      <w:pPr>
        <w:pStyle w:val="Heading2"/>
      </w:pPr>
      <w:r>
        <w:t>3.2 Lenkkraft</w:t>
      </w:r>
    </w:p>
    <w:p>
      <w:r>
        <w:rPr>
          <w:b/>
        </w:rPr>
        <w:t xml:space="preserve">LH-3.2.1 [MUSS] </w:t>
      </w:r>
      <w:r>
        <w:t>Bei Ausfall der Servounterstützung darf die vom Fahrer an der Lenkradfelge aufzubringende Lenkkraft einen Wert von 300 N nicht überschreiten, um das Fahrzeug mit einer Verzögerung von 2 m/s² aus einer Kurvenfahrt mit 0,4 g Querbeschleunigung sicher zum Stillstand zu bringen (vgl. UN R79, Abschnitt 5.1.2).</w:t>
      </w:r>
    </w:p>
    <w:p>
      <w:r>
        <w:rPr>
          <w:b/>
        </w:rPr>
        <w:t xml:space="preserve">LH-3.2.2 [MUSS] </w:t>
      </w:r>
      <w:r>
        <w:t>Die Lenkkraft im Normalbetrieb (Servounterstützung aktiv) muss geschwindigkeitsabhängig moduliert werden, um bei Parkiervorgängen ein niedriges und bei Autobahnfahrt ein höheres Rückstellmoment zu erzeugen.</w:t>
      </w:r>
    </w:p>
    <w:p>
      <w:pPr>
        <w:pStyle w:val="Heading2"/>
      </w:pPr>
      <w:r>
        <w:t>3.3 Rückstellverhalten</w:t>
      </w:r>
    </w:p>
    <w:p>
      <w:r>
        <w:rPr>
          <w:b/>
        </w:rPr>
        <w:t xml:space="preserve">LH-3.3.1 [SOLL] </w:t>
      </w:r>
      <w:r>
        <w:t>Das Lenksystem soll nach einer Kurvenfahrt ohne Fahrereingriff in die Geradeausstellung zurückkehren.</w:t>
      </w:r>
    </w:p>
    <w:p>
      <w:pPr>
        <w:pStyle w:val="Heading1"/>
      </w:pPr>
      <w:r>
        <w:t>4. Sicherheitsanforderungen</w:t>
      </w:r>
    </w:p>
    <w:p>
      <w:r>
        <w:rPr>
          <w:b/>
        </w:rPr>
        <w:t xml:space="preserve">LH-4.1.1 [MUSS] </w:t>
      </w:r>
      <w:r>
        <w:t>Das EPS muss im Fehlerfall in einen sicheren Zustand mit manueller Lenkbarkeit übergehen; ein vollständiger Verlust der Lenkbarkeit ist unzulässig.</w:t>
      </w:r>
    </w:p>
    <w:p>
      <w:r>
        <w:rPr>
          <w:b/>
        </w:rPr>
        <w:t xml:space="preserve">LH-4.2.1 [MUSS] </w:t>
      </w:r>
      <w:r>
        <w:t>Das Cybersicherheits-Managementsystem für die Softwarekomponenten des EPS muss die Anforderungen der UN R155 erfüllen.</w:t>
      </w:r>
    </w:p>
    <w:p>
      <w:pPr>
        <w:pStyle w:val="Heading1"/>
      </w:pPr>
      <w:r>
        <w:t>5. Umgebungsbedingungen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Wert</w:t>
            </w:r>
          </w:p>
        </w:tc>
        <w:tc>
          <w:tcPr>
            <w:tcW w:type="dxa" w:w="2160"/>
          </w:tcPr>
          <w:p>
            <w:r>
              <w:t>Einheit</w:t>
            </w:r>
          </w:p>
        </w:tc>
        <w:tc>
          <w:tcPr>
            <w:tcW w:type="dxa" w:w="2160"/>
          </w:tcPr>
          <w:p>
            <w:r>
              <w:t>Anforderungs-ID</w:t>
            </w:r>
          </w:p>
        </w:tc>
      </w:tr>
      <w:tr>
        <w:tc>
          <w:tcPr>
            <w:tcW w:type="dxa" w:w="2160"/>
          </w:tcPr>
          <w:p>
            <w:r>
              <w:t>Betriebstemperaturbereich</w:t>
            </w:r>
          </w:p>
        </w:tc>
        <w:tc>
          <w:tcPr>
            <w:tcW w:type="dxa" w:w="2160"/>
          </w:tcPr>
          <w:p>
            <w:r>
              <w:t>-40 bis +85</w:t>
            </w:r>
          </w:p>
        </w:tc>
        <w:tc>
          <w:tcPr>
            <w:tcW w:type="dxa" w:w="2160"/>
          </w:tcPr>
          <w:p>
            <w:r>
              <w:t>°C</w:t>
            </w:r>
          </w:p>
        </w:tc>
        <w:tc>
          <w:tcPr>
            <w:tcW w:type="dxa" w:w="2160"/>
          </w:tcPr>
          <w:p>
            <w:r>
              <w:t>LH-5.1.1</w:t>
            </w:r>
          </w:p>
        </w:tc>
      </w:tr>
      <w:tr>
        <w:tc>
          <w:tcPr>
            <w:tcW w:type="dxa" w:w="2160"/>
          </w:tcPr>
          <w:p>
            <w:r>
              <w:t>Maximal zulässige Lenkkraft bei Ausfall</w:t>
            </w:r>
          </w:p>
        </w:tc>
        <w:tc>
          <w:tcPr>
            <w:tcW w:type="dxa" w:w="2160"/>
          </w:tcPr>
          <w:p>
            <w:r>
              <w:t>300</w:t>
            </w:r>
          </w:p>
        </w:tc>
        <w:tc>
          <w:tcPr>
            <w:tcW w:type="dxa" w:w="2160"/>
          </w:tcPr>
          <w:p>
            <w:r>
              <w:t>N</w:t>
            </w:r>
          </w:p>
        </w:tc>
        <w:tc>
          <w:tcPr>
            <w:tcW w:type="dxa" w:w="2160"/>
          </w:tcPr>
          <w:p>
            <w:r>
              <w:t>LH-3.2.1</w:t>
            </w:r>
          </w:p>
        </w:tc>
      </w:tr>
      <w:tr>
        <w:tc>
          <w:tcPr>
            <w:tcW w:type="dxa" w:w="2160"/>
          </w:tcPr>
          <w:p>
            <w:r>
              <w:t>Maximale Diagnose-Ansprechzeit</w:t>
            </w:r>
          </w:p>
        </w:tc>
        <w:tc>
          <w:tcPr>
            <w:tcW w:type="dxa" w:w="2160"/>
          </w:tcPr>
          <w:p>
            <w:r>
              <w:t>150</w:t>
            </w:r>
          </w:p>
        </w:tc>
        <w:tc>
          <w:tcPr>
            <w:tcW w:type="dxa" w:w="2160"/>
          </w:tcPr>
          <w:p>
            <w:r>
              <w:t>ms</w:t>
            </w:r>
          </w:p>
        </w:tc>
        <w:tc>
          <w:tcPr>
            <w:tcW w:type="dxa" w:w="2160"/>
          </w:tcPr>
          <w:p>
            <w:r>
              <w:t>LH-6.2.1</w:t>
            </w:r>
          </w:p>
        </w:tc>
      </w:tr>
      <w:tr>
        <w:tc>
          <w:tcPr>
            <w:tcW w:type="dxa" w:w="2160"/>
          </w:tcPr>
          <w:p>
            <w:r>
              <w:t>Betriebsspannungsbereich</w:t>
            </w:r>
          </w:p>
        </w:tc>
        <w:tc>
          <w:tcPr>
            <w:tcW w:type="dxa" w:w="2160"/>
          </w:tcPr>
          <w:p>
            <w:r>
              <w:t>9 bis 16</w:t>
            </w:r>
          </w:p>
        </w:tc>
        <w:tc>
          <w:tcPr>
            <w:tcW w:type="dxa" w:w="2160"/>
          </w:tcPr>
          <w:p>
            <w:r>
              <w:t>V</w:t>
            </w:r>
          </w:p>
        </w:tc>
        <w:tc>
          <w:tcPr>
            <w:tcW w:type="dxa" w:w="2160"/>
          </w:tcPr>
          <w:p>
            <w:r>
              <w:t>LH-5.2.1</w:t>
            </w:r>
          </w:p>
        </w:tc>
      </w:tr>
      <w:tr>
        <w:tc>
          <w:tcPr>
            <w:tcW w:type="dxa" w:w="2160"/>
          </w:tcPr>
          <w:p>
            <w:r>
              <w:t>Schutzart Steuergerät</w:t>
            </w:r>
          </w:p>
        </w:tc>
        <w:tc>
          <w:tcPr>
            <w:tcW w:type="dxa" w:w="2160"/>
          </w:tcPr>
          <w:p>
            <w:r>
              <w:t>IP6K9K</w:t>
            </w:r>
          </w:p>
        </w:tc>
        <w:tc>
          <w:tcPr>
            <w:tcW w:type="dxa" w:w="2160"/>
          </w:tcPr>
          <w:p>
            <w:r>
              <w:t>-</w:t>
            </w:r>
          </w:p>
        </w:tc>
        <w:tc>
          <w:tcPr>
            <w:tcW w:type="dxa" w:w="2160"/>
          </w:tcPr>
          <w:p>
            <w:r>
              <w:t>LH-5.3.1</w:t>
            </w:r>
          </w:p>
        </w:tc>
      </w:tr>
    </w:tbl>
    <w:p>
      <w:pPr>
        <w:pStyle w:val="Heading1"/>
      </w:pPr>
      <w:r>
        <w:t>6. Diagnose und Fehlerüberwachung</w:t>
      </w:r>
    </w:p>
    <w:p>
      <w:r>
        <w:rPr>
          <w:b/>
        </w:rPr>
        <w:t xml:space="preserve">LH-6.1.1 [MUSS] </w:t>
      </w:r>
      <w:r>
        <w:t>Das Steuergerät muss den Ausfall der Servounterstützung innerhalb einer Fahrzeugzyklen-Grenze erkennen und dem Fahrer über eine Warnleuchte anzeigen.</w:t>
      </w:r>
    </w:p>
    <w:p>
      <w:r>
        <w:rPr>
          <w:b/>
        </w:rPr>
        <w:t xml:space="preserve">LH-6.2.1 [MUSS] </w:t>
      </w:r>
      <w:r>
        <w:t>Die maximale Ansprechzeit der Diagnosefunktion vom Auftreten des Fehlers bis zur Aktivierung der Warnleuchte darf 150 ms nicht überschreiten.</w:t>
      </w:r>
    </w:p>
    <w:p>
      <w:pPr>
        <w:pStyle w:val="Heading1"/>
      </w:pPr>
      <w:r>
        <w:t>7. Dokumentation und Nachweisführung</w:t>
      </w:r>
    </w:p>
    <w:p>
      <w:r>
        <w:rPr>
          <w:b/>
        </w:rPr>
        <w:t xml:space="preserve">LH-7.1.1 [MUSS] </w:t>
      </w:r>
      <w:r>
        <w:t>Der Lieferant muss für jede Anforderung dieses Lastenhefts einen Nachweis (Prüfbericht, Simulation oder Berechnung) führen und auf Anfrage vorlegen.</w:t>
      </w:r>
    </w:p>
    <w:p>
      <w:pPr>
        <w:pStyle w:val="Heading1"/>
      </w:pPr>
      <w:r>
        <w:t>Anhang A: Änderungshistorie</w:t>
      </w:r>
    </w:p>
    <w:p>
      <w:r>
        <w:t>v1.2 (2024-01-01): Anpassung der Diagnose-Ansprechzeit nach Rückmeldung aus der Erprobung (LH-6.2.1). Redaktionelle Korrekturen in Abschnitt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