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B61A88">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B61A88">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B61A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B61A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wwEAAHkDAAAOAAAAZHJzL2Uyb0RvYy54bWysU9tu2zAMfR+wfxD0vviyJh2MOMXQIsOA&#10;YgvQ7gNkWY4FyJJGKrHz96PkNFnXt2J+kEmKOjo8pNZ302DYUQFqZ2teLHLOlJWu1XZf81/P209f&#10;OMMgbCuMs6rmJ4X8bvPxw3r0lSpd70yrgBGIxWr0Ne9D8FWWoezVIHDhvLK02TkYRCAX9lkLYiT0&#10;wWRlnq+y0UHrwUmFSNGHeZNvEn7XKRl+dh2qwEzNiVtIK6S1iWu2WYtqD8L3Wp5piHewGIS2dOkF&#10;6kEEwQ6g30ANWoJD14WFdEPmuk5LlWqgaor8n2qeeuFVqoXEQX+RCf8frPxxfPI7IBlGjxWSGauY&#10;Ohjin/ixKYl1uoilpsAkBVersrwplpxJ2ivK8vZmuYxyZtfjHjB8U25g0ag5UDeSSOL4iGFOfUmJ&#10;t6Ezut1qY5ID++beADsK6tw2fWf0V2nGxmTr4rEZMUayazHRClMzMd3W/HOEiJHGtacdMPRyq4nb&#10;o8CwE0CdLzgbaRpqjr8PAhRn5rsluZe3qzyP85M8MuBVuHkJCyt7R+MVOJvN+5CGbSb59RBcp1Pl&#10;VxJnttTfpN15FuMA/e2nrOuL2fwBAAD//wMAUEsDBBQABgAIAAAAIQAtEgZQ3AAAAAYBAAAPAAAA&#10;ZHJzL2Rvd25yZXYueG1sTI/NTsMwEITvSLyDtUhcEHVKoIIQp0KgXuAALSBx3MZLEuE/2W6Tvj3b&#10;E9xmNaOZb+vlZI3YU0yDdwrmswIEudbrwXUKPt5Xl7cgUkan0XhHCg6UYNmcntRYaT+6Ne03uRNc&#10;4lKFCvqcQyVlanuymGY+kGPv20eLmc/YSR1x5HJr5FVRLKTFwfFCj4Eee2p/NjurwGBYhYsxHt6m&#10;p+fX+br8TC9fRqnzs+nhHkSmKf+F4YjP6NAw09bvnE7CKFhwTgG/c/SK6/IGxJbVXVmCbGr5H7/5&#10;BQAA//8DAFBLAQItABQABgAIAAAAIQC2gziS/gAAAOEBAAATAAAAAAAAAAAAAAAAAAAAAABbQ29u&#10;dGVudF9UeXBlc10ueG1sUEsBAi0AFAAGAAgAAAAhADj9If/WAAAAlAEAAAsAAAAAAAAAAAAAAAAA&#10;LwEAAF9yZWxzLy5yZWxzUEsBAi0AFAAGAAgAAAAhAD+T0U3DAQAAeQMAAA4AAAAAAAAAAAAAAAAA&#10;LgIAAGRycy9lMm9Eb2MueG1sUEsBAi0AFAAGAAgAAAAhAC0SBlDcAAAABgEAAA8AAAAAAAAAAAAA&#10;AAAAHQQAAGRycy9kb3ducmV2LnhtbFBLBQYAAAAABAAEAPMAAAAmBQ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In 2019, GlobalData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(TrtWorld, 2021). As a result, Accenture reports that as of mid-2021 the video game industry had already exceeded its forecasted $300 billion value expected for 2025 (Nolibois, 2021).</w:t>
      </w:r>
    </w:p>
    <w:p w14:paraId="617F6B76" w14:textId="059F4C4E"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(Dring,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3646338E" w14:textId="6FC7D315" w:rsidR="00905CA5" w:rsidRPr="00975210" w:rsidRDefault="00F20FCE"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w:t>
      </w:r>
      <w:r w:rsidR="003E4DDA">
        <w:rPr>
          <w:rFonts w:ascii="Book Antiqua" w:eastAsia="Times New Roman" w:hAnsi="Book Antiqua" w:cs="Times New Roman"/>
          <w:sz w:val="20"/>
          <w:szCs w:val="20"/>
        </w:rPr>
        <w:lastRenderedPageBreak/>
        <w:t xml:space="preserve">entering development/publisher studios, researchers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Anoesjka Raateland</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Chokie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videos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all)  and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Pr="00F76EB1">
        <w:rPr>
          <w:rFonts w:ascii="Book Antiqua" w:eastAsia="Book Antiqua" w:hAnsi="Book Antiqua" w:cs="Book Antiqua"/>
          <w:sz w:val="20"/>
          <w:szCs w:val="20"/>
        </w:rPr>
        <w:t xml:space="preserve"> 2022.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2F3E95A3"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The code contained within this repository (‘</w:t>
      </w:r>
      <w:r w:rsidR="00995D8C">
        <w:rPr>
          <w:rFonts w:ascii="Book Antiqua" w:eastAsia="Book Antiqua" w:hAnsi="Book Antiqua" w:cs="Book Antiqua"/>
          <w:sz w:val="20"/>
          <w:szCs w:val="20"/>
        </w:rPr>
        <w:t>src/collection/</w:t>
      </w:r>
      <w:r w:rsidRPr="00557A33">
        <w:rPr>
          <w:rFonts w:ascii="Book Antiqua" w:eastAsia="Book Antiqua" w:hAnsi="Book Antiqua" w:cs="Book Antiqua"/>
          <w:sz w:val="20"/>
          <w:szCs w:val="20"/>
        </w:rPr>
        <w:t>parsing nested json into dataframes and excel files</w:t>
      </w:r>
      <w:r>
        <w:rPr>
          <w:rFonts w:ascii="Book Antiqua" w:eastAsia="Book Antiqua" w:hAnsi="Book Antiqua" w:cs="Book Antiqua"/>
          <w:sz w:val="20"/>
          <w:szCs w:val="20"/>
        </w:rPr>
        <w:t xml:space="preserve">.py’)  further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Each dataset contains the column ‘steam_appid’, so that any user can merge the datasets together as they wish for their particular purposes. This section will further explain the datasets and what they contain:</w:t>
      </w:r>
    </w:p>
    <w:p w14:paraId="103664C2" w14:textId="21D2833E"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Categorical variable detailing the type of software. Can be: game, demo, dlc,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r w:rsidRPr="00F76EB1">
              <w:rPr>
                <w:rFonts w:ascii="Book Antiqua" w:hAnsi="Book Antiqua" w:cs="Times New Roman"/>
                <w:sz w:val="20"/>
              </w:rPr>
              <w:t>steam_appid</w:t>
            </w:r>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r w:rsidRPr="00F76EB1">
              <w:rPr>
                <w:rFonts w:ascii="Book Antiqua" w:hAnsi="Book Antiqua" w:cs="Times New Roman"/>
                <w:sz w:val="20"/>
              </w:rPr>
              <w:t>required_age</w:t>
            </w:r>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r w:rsidRPr="00F76EB1">
              <w:rPr>
                <w:rFonts w:ascii="Book Antiqua" w:hAnsi="Book Antiqua" w:cs="Times New Roman"/>
                <w:sz w:val="20"/>
              </w:rPr>
              <w:t>is_free</w:t>
            </w:r>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r w:rsidRPr="00F76EB1">
              <w:rPr>
                <w:rFonts w:ascii="Book Antiqua" w:hAnsi="Book Antiqua" w:cs="Times New Roman"/>
                <w:sz w:val="20"/>
              </w:rPr>
              <w:t>detailed_description</w:t>
            </w:r>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r w:rsidRPr="00F76EB1">
              <w:rPr>
                <w:rFonts w:ascii="Book Antiqua" w:hAnsi="Book Antiqua" w:cs="Times New Roman"/>
                <w:sz w:val="20"/>
              </w:rPr>
              <w:t>about_the_game</w:t>
            </w:r>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r w:rsidRPr="00F76EB1">
              <w:rPr>
                <w:rFonts w:ascii="Book Antiqua" w:hAnsi="Book Antiqua" w:cs="Times New Roman"/>
                <w:sz w:val="20"/>
              </w:rPr>
              <w:t>short_description</w:t>
            </w:r>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r>
              <w:rPr>
                <w:rFonts w:ascii="Book Antiqua" w:hAnsi="Book Antiqua" w:cs="Times New Roman"/>
                <w:sz w:val="20"/>
              </w:rPr>
              <w:t>supported_languages</w:t>
            </w:r>
          </w:p>
        </w:tc>
        <w:tc>
          <w:tcPr>
            <w:tcW w:w="1985" w:type="dxa"/>
          </w:tcPr>
          <w:p w14:paraId="48C0775C" w14:textId="2E3386AC"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r w:rsidRPr="00F76EB1">
              <w:rPr>
                <w:rFonts w:ascii="Book Antiqua" w:hAnsi="Book Antiqua" w:cs="Times New Roman"/>
                <w:sz w:val="20"/>
              </w:rPr>
              <w:t>header_image</w:t>
            </w:r>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r w:rsidRPr="00F76EB1">
              <w:rPr>
                <w:rFonts w:ascii="Book Antiqua" w:hAnsi="Book Antiqua" w:cs="Times New Roman"/>
                <w:sz w:val="20"/>
              </w:rPr>
              <w:t>mac_requirements</w:t>
            </w:r>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r w:rsidRPr="00F76EB1">
              <w:rPr>
                <w:rFonts w:ascii="Book Antiqua" w:hAnsi="Book Antiqua" w:cs="Times New Roman"/>
                <w:sz w:val="20"/>
              </w:rPr>
              <w:t>linux_requirements</w:t>
            </w:r>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r>
              <w:rPr>
                <w:rFonts w:ascii="Book Antiqua" w:hAnsi="Book Antiqua" w:cs="Times New Roman"/>
                <w:sz w:val="20"/>
              </w:rPr>
              <w:t>package_groups</w:t>
            </w:r>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w:t>
            </w:r>
            <w:r>
              <w:rPr>
                <w:rFonts w:ascii="Book Antiqua" w:hAnsi="Book Antiqua" w:cs="Times New Roman"/>
                <w:sz w:val="20"/>
              </w:rPr>
              <w:lastRenderedPageBreak/>
              <w:t>csv’. More details 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lastRenderedPageBreak/>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r>
              <w:rPr>
                <w:rFonts w:ascii="Book Antiqua" w:hAnsi="Book Antiqua" w:cs="Times New Roman"/>
                <w:sz w:val="20"/>
              </w:rPr>
              <w:t>backround_raw</w:t>
            </w:r>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r w:rsidRPr="0047682F">
              <w:rPr>
                <w:rFonts w:ascii="Book Antiqua" w:hAnsi="Book Antiqua" w:cs="Times New Roman"/>
                <w:sz w:val="20"/>
              </w:rPr>
              <w:t>pc_requirements.minimum</w:t>
            </w:r>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platforms.windows</w:t>
            </w:r>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Mac system. A TRUE value indicates that the </w:t>
            </w:r>
            <w:r>
              <w:rPr>
                <w:rFonts w:ascii="Book Antiqua" w:hAnsi="Book Antiqua" w:cs="Times New Roman"/>
                <w:sz w:val="20"/>
              </w:rPr>
              <w:t>software is compatible, while 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Bolean</w:t>
            </w:r>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platforms.linux</w:t>
            </w:r>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r w:rsidRPr="00F360E1">
              <w:rPr>
                <w:rFonts w:ascii="Book Antiqua" w:hAnsi="Book Antiqua" w:cs="Times New Roman"/>
                <w:sz w:val="20"/>
              </w:rPr>
              <w:t>release_date.coming_soon</w:t>
            </w:r>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r w:rsidRPr="002C2FC0">
              <w:rPr>
                <w:rFonts w:ascii="Book Antiqua" w:hAnsi="Book Antiqua" w:cs="Times New Roman"/>
                <w:sz w:val="20"/>
              </w:rPr>
              <w:t>release_date.date</w:t>
            </w:r>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support_info.email</w:t>
            </w:r>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r w:rsidRPr="002C2FC0">
              <w:rPr>
                <w:rFonts w:ascii="Book Antiqua" w:hAnsi="Book Antiqua" w:cs="Times New Roman"/>
                <w:sz w:val="20"/>
              </w:rPr>
              <w:t>content_descriptors.ids</w:t>
            </w:r>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(i.e. violence, drug-use etc,).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r w:rsidRPr="002C2FC0">
              <w:rPr>
                <w:rFonts w:ascii="Book Antiqua" w:hAnsi="Book Antiqua" w:cs="Times New Roman"/>
                <w:sz w:val="20"/>
              </w:rPr>
              <w:t>content_descriptors.notes</w:t>
            </w:r>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r w:rsidRPr="002C2FC0">
              <w:rPr>
                <w:rFonts w:ascii="Book Antiqua" w:hAnsi="Book Antiqua" w:cs="Times New Roman"/>
                <w:sz w:val="20"/>
              </w:rPr>
              <w:t>collection_details.created_by</w:t>
            </w:r>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r w:rsidRPr="002C2FC0">
              <w:rPr>
                <w:rFonts w:ascii="Book Antiqua" w:hAnsi="Book Antiqua" w:cs="Times New Roman"/>
                <w:sz w:val="20"/>
              </w:rPr>
              <w:lastRenderedPageBreak/>
              <w:t>collection_details.created_at</w:t>
            </w:r>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r w:rsidRPr="006444EF">
              <w:rPr>
                <w:rFonts w:ascii="Book Antiqua" w:hAnsi="Book Antiqua" w:cs="Times New Roman"/>
                <w:sz w:val="20"/>
              </w:rPr>
              <w:t>pc_requirements.recommended</w:t>
            </w:r>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Presents the recommended system requirements to run the software  optimally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r w:rsidRPr="00AA416D">
              <w:rPr>
                <w:rFonts w:ascii="Book Antiqua" w:hAnsi="Book Antiqua" w:cs="Times New Roman"/>
                <w:sz w:val="20"/>
              </w:rPr>
              <w:t>price_overview.currency</w:t>
            </w:r>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w:t>
            </w:r>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price_overview.final</w:t>
            </w:r>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price_overview.discount_percent</w:t>
            </w:r>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r w:rsidRPr="00943108">
              <w:rPr>
                <w:rFonts w:ascii="Book Antiqua" w:hAnsi="Book Antiqua" w:cs="Times New Roman"/>
                <w:sz w:val="20"/>
              </w:rPr>
              <w:t>price_overview.initial_formatted</w:t>
            </w:r>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r w:rsidRPr="001A2AE7">
              <w:rPr>
                <w:rFonts w:ascii="Book Antiqua" w:hAnsi="Book Antiqua" w:cs="Times New Roman"/>
                <w:sz w:val="20"/>
              </w:rPr>
              <w:t>price_overview.final_formatted</w:t>
            </w:r>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r w:rsidRPr="001A2AE7">
              <w:rPr>
                <w:rFonts w:ascii="Book Antiqua" w:hAnsi="Book Antiqua" w:cs="Times New Roman"/>
                <w:sz w:val="20"/>
              </w:rPr>
              <w:t>recommendations.total</w:t>
            </w:r>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r w:rsidRPr="001A2AE7">
              <w:rPr>
                <w:rFonts w:ascii="Book Antiqua" w:hAnsi="Book Antiqua" w:cs="Times New Roman"/>
                <w:sz w:val="20"/>
              </w:rPr>
              <w:t>achievements.total</w:t>
            </w:r>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r w:rsidRPr="001A2AE7">
              <w:rPr>
                <w:rFonts w:ascii="Book Antiqua" w:hAnsi="Book Antiqua" w:cs="Times New Roman"/>
                <w:sz w:val="20"/>
              </w:rPr>
              <w:t>achievements.highlighted</w:t>
            </w:r>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‘dataframe_achievements.highlighted.csv’. More details provided in a follow-up table.</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r w:rsidRPr="001A2AE7">
              <w:rPr>
                <w:rFonts w:ascii="Book Antiqua" w:hAnsi="Book Antiqua" w:cs="Times New Roman"/>
                <w:sz w:val="20"/>
              </w:rPr>
              <w:t>fullgame.appid</w:t>
            </w:r>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steam_appid of the software that serves as the  ‘parent’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mac_requirements.minimum</w:t>
            </w:r>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r w:rsidRPr="00704F1E">
              <w:rPr>
                <w:rFonts w:ascii="Book Antiqua" w:hAnsi="Book Antiqua" w:cs="Times New Roman"/>
                <w:sz w:val="20"/>
              </w:rPr>
              <w:t>mac_requirements.recommended</w:t>
            </w:r>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Mac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linux_requirements.minimum</w:t>
            </w:r>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r w:rsidRPr="00704F1E">
              <w:rPr>
                <w:rFonts w:ascii="Book Antiqua" w:hAnsi="Book Antiqua" w:cs="Times New Roman"/>
                <w:sz w:val="20"/>
              </w:rPr>
              <w:t>linux_requirements.recommended</w:t>
            </w:r>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software  optimally on a </w:t>
            </w:r>
            <w:r>
              <w:rPr>
                <w:rFonts w:ascii="Book Antiqua" w:hAnsi="Book Antiqua" w:cs="Times New Roman"/>
                <w:sz w:val="20"/>
              </w:rPr>
              <w:lastRenderedPageBreak/>
              <w:t>Linux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r w:rsidRPr="00DC0CF7">
              <w:rPr>
                <w:rFonts w:ascii="Book Antiqua" w:hAnsi="Book Antiqua" w:cs="Times New Roman"/>
                <w:sz w:val="20"/>
              </w:rPr>
              <w:t>legal_notice</w:t>
            </w:r>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r w:rsidRPr="00952F11">
              <w:rPr>
                <w:rFonts w:ascii="Book Antiqua" w:hAnsi="Book Antiqua" w:cs="Times New Roman"/>
                <w:sz w:val="20"/>
              </w:rPr>
              <w:t>controller_support</w:t>
            </w:r>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r w:rsidRPr="00952F11">
              <w:rPr>
                <w:rFonts w:ascii="Book Antiqua" w:hAnsi="Book Antiqua" w:cs="Times New Roman"/>
                <w:sz w:val="20"/>
              </w:rPr>
              <w:t>metacritic.score</w:t>
            </w:r>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Displays the user-score of the  software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r w:rsidRPr="00952F11">
              <w:rPr>
                <w:rFonts w:ascii="Book Antiqua" w:hAnsi="Book Antiqua" w:cs="Times New Roman"/>
                <w:sz w:val="20"/>
              </w:rPr>
              <w:t>dlc</w:t>
            </w:r>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Lists the steam_appids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r w:rsidRPr="00952F11">
              <w:rPr>
                <w:rFonts w:ascii="Book Antiqua" w:hAnsi="Book Antiqua" w:cs="Times New Roman"/>
                <w:sz w:val="20"/>
              </w:rPr>
              <w:t>pc_requirements</w:t>
            </w:r>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r w:rsidRPr="00D17180">
              <w:rPr>
                <w:rFonts w:ascii="Book Antiqua" w:hAnsi="Book Antiqua" w:cs="Times New Roman"/>
                <w:sz w:val="20"/>
              </w:rPr>
              <w:t>ext_user_account_notice</w:t>
            </w:r>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r w:rsidRPr="00D17180">
              <w:rPr>
                <w:rFonts w:ascii="Book Antiqua" w:hAnsi="Book Antiqua" w:cs="Times New Roman"/>
                <w:sz w:val="20"/>
              </w:rPr>
              <w:t>drm_notice</w:t>
            </w:r>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w:t>
            </w:r>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steam_appid if the software requires a </w:t>
            </w:r>
            <w:r>
              <w:rPr>
                <w:rFonts w:ascii="Book Antiqua" w:hAnsi="Book Antiqua" w:cs="Times New Roman"/>
                <w:sz w:val="20"/>
              </w:rPr>
              <w:t>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r w:rsidRPr="00D17180">
              <w:rPr>
                <w:rFonts w:ascii="Book Antiqua" w:hAnsi="Book Antiqua" w:cs="Times New Roman"/>
                <w:sz w:val="20"/>
              </w:rPr>
              <w:t>price_overview.recurring_sub_desc</w:t>
            </w:r>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6BC540A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‘dataframe_package_groups.csv’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steam_appis</w:t>
            </w:r>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selection_text</w:t>
            </w:r>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save_text</w:t>
            </w:r>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Additional text that indicates the amount of money saved by the user if the package is purchased instead </w:t>
            </w:r>
            <w:r>
              <w:rPr>
                <w:rFonts w:ascii="Book Antiqua" w:eastAsia="Book Antiqua" w:hAnsi="Book Antiqua" w:cs="Book Antiqua"/>
                <w:sz w:val="20"/>
                <w:szCs w:val="20"/>
              </w:rPr>
              <w:lastRenderedPageBreak/>
              <w:t>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display_type</w:t>
            </w:r>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is_recurring_subscription</w:t>
            </w:r>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packageid</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percent_savings_text</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r w:rsidR="004B4A88" w:rsidRPr="00F76EB1">
              <w:rPr>
                <w:rFonts w:ascii="Book Antiqua" w:eastAsia="Book Antiqua" w:hAnsi="Book Antiqua" w:cs="Book Antiqua"/>
                <w:color w:val="000000" w:themeColor="text1"/>
                <w:sz w:val="20"/>
                <w:szCs w:val="20"/>
              </w:rPr>
              <w:t>percent_savings</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option_text</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option_description</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can_get_free_license</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is_free_license</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and </w:t>
            </w:r>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price_in_cents_with_discount</w:t>
            </w:r>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3D7D5A2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‘dataframe_categories.csv’ is created by collecting the nested attributes contained within ‘categories’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A number related to specific category description (i.e. Single-player, Steam Cloud, Steam Trading Cards etc,).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05A4F9A"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‘dataframe_genres.csv’ is created by collecting the nested attributes contained within ‘genre’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genre </w:t>
            </w:r>
            <w:r>
              <w:rPr>
                <w:rFonts w:ascii="Book Antiqua" w:hAnsi="Book Antiqua" w:cs="Times New Roman"/>
                <w:sz w:val="20"/>
              </w:rPr>
              <w:lastRenderedPageBreak/>
              <w:t>(i.e. Action, Horror etc,).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4940013D"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‘dataframe_screenshots.csv’ is created by collecting the nested attributes contained within ‘screenshots’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path_thumbnail</w:t>
            </w:r>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path_full</w:t>
            </w:r>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5F2918DD" w:rsidR="006700D2" w:rsidRPr="003109DC" w:rsidRDefault="006700D2" w:rsidP="003109D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‘dataframe_movies. csv’ is created by collecting the nested attributes contained within ‘movies’ of ‘dataframe_raw.csv’.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r w:rsidR="002367A2" w:rsidRPr="00F76EB1">
        <w:rPr>
          <w:rFonts w:ascii="Book Antiqua" w:eastAsia="Book Antiqua" w:hAnsi="Book Antiqua" w:cs="Book Antiqua"/>
          <w:sz w:val="20"/>
          <w:szCs w:val="20"/>
        </w:rPr>
        <w:t>dataframe_movies</w:t>
      </w:r>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webm.max</w:t>
            </w:r>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webm.max</w:t>
            </w:r>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55CC885" w14:textId="01C4D367" w:rsidR="00201493" w:rsidRPr="003109DC" w:rsidRDefault="00201493" w:rsidP="003109DC">
      <w:pPr>
        <w:pStyle w:val="ListParagraph"/>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‘dataframe_achievements.highlighted.csv’ is created by collecting the nested attributes contained within ‘achievements.highlighted’ of ‘dataframe_raw.csv’. The following table describes each variable contained:</w:t>
      </w: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steam_appid</w:t>
            </w:r>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6D55F78F"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Nested attributes that display more data about the 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w:t>
      </w:r>
      <w:r w:rsidR="00F87FB4">
        <w:rPr>
          <w:rFonts w:ascii="Book Antiqua" w:eastAsia="Book Antiqua" w:hAnsi="Book Antiqua" w:cs="Book Antiqua"/>
          <w:sz w:val="20"/>
          <w:szCs w:val="20"/>
        </w:rPr>
        <w:t xml:space="preserve">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5FEB1814"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F76EB1">
        <w:rPr>
          <w:rFonts w:ascii="Book Antiqua" w:eastAsia="Book Antiqua" w:hAnsi="Book Antiqua" w:cs="Book Antiqua"/>
          <w:color w:val="000000" w:themeColor="text1"/>
          <w:sz w:val="20"/>
          <w:szCs w:val="20"/>
        </w:rPr>
        <w:t>“fullgame.appid”</w:t>
      </w:r>
      <w:r>
        <w:rPr>
          <w:rFonts w:ascii="Book Antiqua" w:eastAsia="Book Antiqua" w:hAnsi="Book Antiqua" w:cs="Book Antiqua"/>
          <w:sz w:val="20"/>
          <w:szCs w:val="20"/>
        </w:rPr>
        <w:t>. This is due some software, such as DLC, requiring a base software to be accessible.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6D2C314"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 xml:space="preserve">The repository offers a .json file that contains all of the collected data, to that any user can customize what data they would like to collect. The ‘dataframe_raw’ file contains that specific .json information as a dataset. Given the multitude of software and attributes collected, there are many splitting possibilities, some of which can be ideal for certain research. A highly recommended split would be based on the ‘type’ </w:t>
      </w:r>
      <w:r>
        <w:rPr>
          <w:rFonts w:ascii="Book Antiqua" w:eastAsia="Book Antiqua" w:hAnsi="Book Antiqua" w:cs="Book Antiqua"/>
          <w:iCs/>
          <w:color w:val="000000"/>
          <w:sz w:val="20"/>
          <w:szCs w:val="20"/>
        </w:rPr>
        <w:lastRenderedPageBreak/>
        <w:t xml:space="preserve">variable, in case a user desires to monitor only a specific type of software (i.e. games or DLC). </w:t>
      </w:r>
      <w:r w:rsidR="00A36FF9">
        <w:rPr>
          <w:rFonts w:ascii="Book Antiqua" w:eastAsia="Book Antiqua" w:hAnsi="Book Antiqua" w:cs="Book Antiqua"/>
          <w:iCs/>
          <w:color w:val="000000"/>
          <w:sz w:val="20"/>
          <w:szCs w:val="20"/>
        </w:rPr>
        <w:t>Naturally, many other splits are possible, such as splitting based on the TRUE and FALSE values of ‘is_free’ or separating software on whether they have a value in ‘</w:t>
      </w:r>
      <w:r w:rsidR="00A36FF9" w:rsidRPr="00F76EB1">
        <w:rPr>
          <w:rFonts w:ascii="Book Antiqua" w:eastAsia="Book Antiqua" w:hAnsi="Book Antiqua" w:cs="Book Antiqua"/>
          <w:color w:val="000000" w:themeColor="text1"/>
          <w:sz w:val="20"/>
          <w:szCs w:val="20"/>
        </w:rPr>
        <w:t>fullgame.appid</w:t>
      </w:r>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63F5A54"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is completely reliant on Steam API and no other sources. However, the output is not entirely self-contained, as it commonly links to external websites, external media-hosting sites and features information from external sources. Below are some examples:</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02A02A38" w:rsidR="008631E1" w:rsidRPr="00F73FFC"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 xml:space="preserve">The ‘metacritic.score’ is a numeric variable that is obtained from the respective software’s ‘Metacritic’ page (if the software has one). </w:t>
      </w:r>
    </w:p>
    <w:p w14:paraId="0787E02B" w14:textId="15407AE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images </w:t>
      </w:r>
      <w:r>
        <w:rPr>
          <w:rFonts w:ascii="Book Antiqua" w:eastAsia="Book Antiqua" w:hAnsi="Book Antiqua" w:cs="Book Antiqua"/>
          <w:sz w:val="20"/>
          <w:szCs w:val="20"/>
        </w:rPr>
        <w:t xml:space="preserve">and videos can be changed, developers/publishers can decide what information to </w:t>
      </w:r>
      <w:r w:rsidR="00F73FFC">
        <w:rPr>
          <w:rFonts w:ascii="Book Antiqua" w:eastAsia="Book Antiqua" w:hAnsi="Book Antiqua" w:cs="Book Antiqua"/>
          <w:sz w:val="20"/>
          <w:szCs w:val="20"/>
        </w:rPr>
        <w:t xml:space="preserve">make available, even Metacritic scores can continuously change. Fortunately, this repository includes 10.000 software instances worth of data, providing some degree of archival – though no full external archival is used or referred to in this project. As of </w:t>
      </w:r>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Does the dataset contain data that might be considered confidential (e.g., data that is protected by legal privilege or by doctorpatient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37E6FAA"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r w:rsidR="003F7F87">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(‘required_age’)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lastRenderedPageBreak/>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‘src/collectio</w:t>
      </w:r>
      <w:r w:rsidR="007E6050">
        <w:rPr>
          <w:rFonts w:ascii="Book Antiqua" w:eastAsia="Book Antiqua" w:hAnsi="Book Antiqua" w:cs="Book Antiqua"/>
          <w:sz w:val="20"/>
          <w:szCs w:val="20"/>
        </w:rPr>
        <w:t>n</w:t>
      </w:r>
      <w:r w:rsidR="00995D8C">
        <w:rPr>
          <w:rFonts w:ascii="Book Antiqua" w:eastAsia="Book Antiqua" w:hAnsi="Book Antiqua" w:cs="Book Antiqua"/>
          <w:sz w:val="20"/>
          <w:szCs w:val="20"/>
        </w:rPr>
        <w:t>/</w:t>
      </w:r>
      <w:r w:rsidR="007E6050">
        <w:rPr>
          <w:rFonts w:ascii="Book Antiqua" w:eastAsia="Book Antiqua" w:hAnsi="Book Antiqua" w:cs="Book Antiqua"/>
          <w:sz w:val="20"/>
          <w:szCs w:val="20"/>
        </w:rPr>
        <w:t xml:space="preserve">collect </w:t>
      </w:r>
      <w:r w:rsidR="00995D8C" w:rsidRPr="00995D8C">
        <w:rPr>
          <w:rFonts w:ascii="Book Antiqua" w:eastAsia="Book Antiqua" w:hAnsi="Book Antiqua" w:cs="Book Antiqua"/>
          <w:sz w:val="20"/>
          <w:szCs w:val="20"/>
        </w:rPr>
        <w:t>appdetails</w:t>
      </w:r>
      <w:r w:rsidR="00995D8C">
        <w:rPr>
          <w:rFonts w:ascii="Book Antiqua" w:eastAsia="Book Antiqua" w:hAnsi="Book Antiqua" w:cs="Book Antiqua"/>
          <w:sz w:val="20"/>
          <w:szCs w:val="20"/>
        </w:rPr>
        <w:t>.py’.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6D091B4C"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 xml:space="preserve">Throughout the process of collecting data only the Steam APIs were used. To validate the resulting data (whether as a raw .json file or in .csc format), the team observed several software store pages on Steam and compared them with the code output. The </w:t>
      </w:r>
      <w:r w:rsidR="007E6050">
        <w:rPr>
          <w:rFonts w:ascii="Book Antiqua" w:eastAsia="Book Antiqua" w:hAnsi="Book Antiqua" w:cs="Book Antiqua"/>
          <w:sz w:val="20"/>
          <w:szCs w:val="20"/>
        </w:rPr>
        <w:t xml:space="preserve">APIs had proven to be reliable in collecting the correct data – </w:t>
      </w:r>
      <w:r w:rsidR="007E6050">
        <w:rPr>
          <w:rFonts w:ascii="Book Antiqua" w:eastAsia="Book Antiqua" w:hAnsi="Book Antiqua" w:cs="Book Antiqua"/>
          <w:sz w:val="20"/>
          <w:szCs w:val="20"/>
        </w:rPr>
        <w:t>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that users can re-run the code or change the collection limit token (in ‘src/collection/collect </w:t>
      </w:r>
      <w:r w:rsidRPr="00995D8C">
        <w:rPr>
          <w:rFonts w:ascii="Book Antiqua" w:eastAsia="Book Antiqua" w:hAnsi="Book Antiqua" w:cs="Book Antiqua"/>
          <w:sz w:val="20"/>
          <w:szCs w:val="20"/>
        </w:rPr>
        <w:t>appdetails</w:t>
      </w:r>
      <w:r>
        <w:rPr>
          <w:rFonts w:ascii="Book Antiqua" w:eastAsia="Book Antiqua" w:hAnsi="Book Antiqua" w:cs="Book Antiqua"/>
          <w:sz w:val="20"/>
          <w:szCs w:val="20"/>
        </w:rPr>
        <w:t>.py’</w:t>
      </w:r>
      <w:r w:rsidR="00373B16">
        <w:rPr>
          <w:rFonts w:ascii="Book Antiqua" w:eastAsia="Book Antiqua" w:hAnsi="Book Antiqua" w:cs="Book Antiqua"/>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Who was involved in the data collection process (e.g., students, crowdworkers, contractors) and how were they compensated (e.g., how much were crowdworkers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‘dataframe_raw’. This specific set of 10.000 software data has been collected from March 23 to March 25 2020.</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1F82697C"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72109E">
        <w:rPr>
          <w:rFonts w:ascii="Book Antiqua" w:eastAsia="Book Antiqua" w:hAnsi="Book Antiqua" w:cs="Book Antiqua"/>
          <w:sz w:val="20"/>
          <w:szCs w:val="20"/>
        </w:rPr>
        <w:t>was</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w:t>
      </w:r>
      <w:r w:rsidRPr="00F76EB1">
        <w:rPr>
          <w:rFonts w:ascii="Book Antiqua" w:eastAsia="Book Antiqua" w:hAnsi="Book Antiqua" w:cs="Book Antiqua"/>
          <w:i/>
          <w:color w:val="000000"/>
          <w:sz w:val="20"/>
          <w:szCs w:val="20"/>
        </w:rPr>
        <w:t>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ECB9B72"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The most relevant to take note of in terms of preprocessing is ‘src/collection/</w:t>
      </w:r>
      <w:r w:rsidR="008A2C1C" w:rsidRPr="008A2C1C">
        <w:rPr>
          <w:rFonts w:ascii="Book Antiqua" w:eastAsia="Book Antiqua" w:hAnsi="Book Antiqua" w:cs="Book Antiqua"/>
          <w:sz w:val="20"/>
          <w:szCs w:val="20"/>
        </w:rPr>
        <w:t>collect all app id's</w:t>
      </w:r>
      <w:r w:rsidR="008A2C1C">
        <w:rPr>
          <w:rFonts w:ascii="Book Antiqua" w:eastAsia="Book Antiqua" w:hAnsi="Book Antiqua" w:cs="Book Antiqua"/>
          <w:sz w:val="20"/>
          <w:szCs w:val="20"/>
        </w:rPr>
        <w:t xml:space="preserve">.py’. The essential </w:t>
      </w:r>
      <w:r>
        <w:rPr>
          <w:rFonts w:ascii="Book Antiqua" w:eastAsia="Book Antiqua" w:hAnsi="Book Antiqua" w:cs="Book Antiqua"/>
          <w:sz w:val="20"/>
          <w:szCs w:val="20"/>
        </w:rPr>
        <w:t>all ‘steam_appid’</w:t>
      </w:r>
      <w:r w:rsidR="008A2C1C">
        <w:rPr>
          <w:rFonts w:ascii="Book Antiqua" w:eastAsia="Book Antiqua" w:hAnsi="Book Antiqua" w:cs="Book Antiqua"/>
          <w:sz w:val="20"/>
          <w:szCs w:val="20"/>
        </w:rPr>
        <w:t xml:space="preserve"> available on the Steam store. This is done to facilitate the creation of a code that loops through these ids and collects the data.</w:t>
      </w:r>
    </w:p>
    <w:p w14:paraId="51534691" w14:textId="02C6FCE6" w:rsidR="008A2C1C" w:rsidRDefault="008A2C1C" w:rsidP="009D2C80">
      <w:pPr>
        <w:spacing w:line="276" w:lineRule="auto"/>
        <w:jc w:val="both"/>
        <w:rPr>
          <w:rFonts w:ascii="Book Antiqua" w:eastAsia="Book Antiqua" w:hAnsi="Book Antiqua" w:cs="Book Antiqua"/>
          <w:sz w:val="20"/>
          <w:szCs w:val="20"/>
        </w:rPr>
      </w:pPr>
    </w:p>
    <w:p w14:paraId="5F6681A6" w14:textId="4638765F"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cleaning, the team has decided to leave the data output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17383266"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5E52CC8B" w14:textId="7D733B52" w:rsidR="00B863FA"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datafile containing the full raw data is saved as ‘data/</w:t>
      </w:r>
      <w:r w:rsidRPr="001948A4">
        <w:rPr>
          <w:rFonts w:ascii="Book Antiqua" w:eastAsia="Book Antiqua" w:hAnsi="Book Antiqua" w:cs="Book Antiqua"/>
          <w:sz w:val="20"/>
          <w:szCs w:val="20"/>
        </w:rPr>
        <w:t>raw_data.json</w:t>
      </w:r>
      <w:r>
        <w:rPr>
          <w:rFonts w:ascii="Book Antiqua" w:eastAsia="Book Antiqua" w:hAnsi="Book Antiqua" w:cs="Book Antiqua"/>
          <w:sz w:val="20"/>
          <w:szCs w:val="20"/>
        </w:rPr>
        <w:t>’. In addition, a simple .json list containing only ‘steam_appid’ is saved as ‘data/</w:t>
      </w:r>
      <w:r w:rsidRPr="001948A4">
        <w:rPr>
          <w:rFonts w:ascii="Book Antiqua" w:eastAsia="Book Antiqua" w:hAnsi="Book Antiqua" w:cs="Book Antiqua"/>
          <w:sz w:val="20"/>
          <w:szCs w:val="20"/>
        </w:rPr>
        <w:t>app_ids.json</w:t>
      </w:r>
      <w:r>
        <w:rPr>
          <w:rFonts w:ascii="Book Antiqua" w:eastAsia="Book Antiqua" w:hAnsi="Book Antiqua" w:cs="Book Antiqua"/>
          <w:sz w:val="20"/>
          <w:szCs w:val="20"/>
        </w:rPr>
        <w:t>’.</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092907B0"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No other software is used within this project to further facilitate preprocessing, cleaning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Heading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73D5F869"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FC2073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amount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77777777"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Boxleiter method allows the estimation of video game units sold (and in turn video game revenue) by using the number of reviews a game has on Steam and multiplying it by a number that differs based on release year, genre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49379302" w14:textId="619C0A25"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w:t>
      </w:r>
      <w:r w:rsidRPr="00F76EB1">
        <w:rPr>
          <w:rFonts w:ascii="Book Antiqua" w:eastAsia="Times New Roman" w:hAnsi="Book Antiqua" w:cs="Times New Roman"/>
          <w:sz w:val="20"/>
          <w:szCs w:val="20"/>
        </w:rPr>
        <w:t>games, downloadable content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4FD74E76"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64BDE7E6" w14:textId="5967B34F"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 – linking either to .jpeg images and others to 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 resulting in new data and knowledge for subsequent use. </w:t>
      </w:r>
    </w:p>
    <w:p w14:paraId="7B1F68E5" w14:textId="07F14603" w:rsidR="00905CA5" w:rsidRDefault="00387148"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4E179E88" w14:textId="3EDD158D" w:rsidR="00387148" w:rsidRDefault="00387148" w:rsidP="009D2C80">
      <w:pPr>
        <w:spacing w:line="276" w:lineRule="auto"/>
        <w:jc w:val="both"/>
        <w:rPr>
          <w:rFonts w:ascii="Book Antiqua" w:eastAsia="Book Antiqua" w:hAnsi="Book Antiqua" w:cs="Book Antiqua"/>
          <w:sz w:val="20"/>
          <w:szCs w:val="20"/>
        </w:rPr>
      </w:pPr>
    </w:p>
    <w:p w14:paraId="29474B93" w14:textId="77777777" w:rsidR="00C13794" w:rsidRDefault="00C13794">
      <w:pPr>
        <w:rPr>
          <w:rFonts w:ascii="Book Antiqua" w:hAnsi="Book Antiqua" w:cs="Arial"/>
          <w:b/>
          <w:bCs/>
          <w:noProof/>
          <w:kern w:val="1"/>
          <w:sz w:val="28"/>
          <w:szCs w:val="28"/>
        </w:rPr>
      </w:pPr>
      <w:r>
        <w:br w:type="page"/>
      </w:r>
    </w:p>
    <w:p w14:paraId="3F869195" w14:textId="16071898" w:rsidR="00387148" w:rsidRPr="00F76EB1" w:rsidRDefault="00387148" w:rsidP="00387148">
      <w:pPr>
        <w:pStyle w:val="Heading1"/>
        <w:numPr>
          <w:ilvl w:val="0"/>
          <w:numId w:val="0"/>
        </w:numPr>
        <w:spacing w:before="0" w:after="120" w:line="276" w:lineRule="auto"/>
      </w:pPr>
      <w:r>
        <w:lastRenderedPageBreak/>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GameDiscoverCo.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Dring,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GamesIndustry.Biz.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Some Reasons Why The Games Industry Is So Secretive (And Why Maybe It Shouldn’t Be)</w:t>
      </w:r>
      <w:r w:rsidRPr="00BE226A">
        <w:rPr>
          <w:rFonts w:ascii="Book Antiqua" w:hAnsi="Book Antiqua"/>
          <w:sz w:val="20"/>
          <w:szCs w:val="20"/>
          <w:lang w:val="en-GB"/>
        </w:rPr>
        <w:t>. Kotaku. Retrieved March 25, 2022, from https://kotaku.com/some-reasons-why-the-games-industry-is-so-secretive-an-1825929139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(2021, February 12). TRTWorld.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34A2" w14:textId="77777777" w:rsidR="00B61A88" w:rsidRDefault="00B61A88">
      <w:r>
        <w:separator/>
      </w:r>
    </w:p>
  </w:endnote>
  <w:endnote w:type="continuationSeparator" w:id="0">
    <w:p w14:paraId="666A783E" w14:textId="77777777" w:rsidR="00B61A88" w:rsidRDefault="00B6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8758" w14:textId="77777777" w:rsidR="00B61A88" w:rsidRDefault="00B61A88">
      <w:r>
        <w:separator/>
      </w:r>
    </w:p>
  </w:footnote>
  <w:footnote w:type="continuationSeparator" w:id="0">
    <w:p w14:paraId="0404DC93" w14:textId="77777777" w:rsidR="00B61A88" w:rsidRDefault="00B6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B61A88">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33204"/>
    <w:rsid w:val="00034CF5"/>
    <w:rsid w:val="000370AA"/>
    <w:rsid w:val="000A6808"/>
    <w:rsid w:val="000E3CAD"/>
    <w:rsid w:val="000E7BA3"/>
    <w:rsid w:val="001218EB"/>
    <w:rsid w:val="001419A1"/>
    <w:rsid w:val="00141B42"/>
    <w:rsid w:val="00145895"/>
    <w:rsid w:val="00176EC3"/>
    <w:rsid w:val="00187FFB"/>
    <w:rsid w:val="001948A4"/>
    <w:rsid w:val="001A21AB"/>
    <w:rsid w:val="001A2AE7"/>
    <w:rsid w:val="001A4071"/>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D095D"/>
    <w:rsid w:val="002D1110"/>
    <w:rsid w:val="002F1F95"/>
    <w:rsid w:val="003109DC"/>
    <w:rsid w:val="00320144"/>
    <w:rsid w:val="00343BFD"/>
    <w:rsid w:val="0034514C"/>
    <w:rsid w:val="0034696B"/>
    <w:rsid w:val="00351F77"/>
    <w:rsid w:val="00363D12"/>
    <w:rsid w:val="00366017"/>
    <w:rsid w:val="00373B16"/>
    <w:rsid w:val="00387148"/>
    <w:rsid w:val="003A4812"/>
    <w:rsid w:val="003D2071"/>
    <w:rsid w:val="003E4DDA"/>
    <w:rsid w:val="003F3B89"/>
    <w:rsid w:val="003F7F87"/>
    <w:rsid w:val="00413049"/>
    <w:rsid w:val="00420EBF"/>
    <w:rsid w:val="00451610"/>
    <w:rsid w:val="00453D54"/>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2D8"/>
    <w:rsid w:val="0072109E"/>
    <w:rsid w:val="00735A98"/>
    <w:rsid w:val="00743B3B"/>
    <w:rsid w:val="00764026"/>
    <w:rsid w:val="0076637F"/>
    <w:rsid w:val="0078579B"/>
    <w:rsid w:val="007A3CB1"/>
    <w:rsid w:val="007C6757"/>
    <w:rsid w:val="007D56ED"/>
    <w:rsid w:val="007E6050"/>
    <w:rsid w:val="007F6DF1"/>
    <w:rsid w:val="007F750A"/>
    <w:rsid w:val="00854C48"/>
    <w:rsid w:val="008631E1"/>
    <w:rsid w:val="00871A90"/>
    <w:rsid w:val="008A2C1C"/>
    <w:rsid w:val="008A3FCF"/>
    <w:rsid w:val="008C5DA8"/>
    <w:rsid w:val="008D4806"/>
    <w:rsid w:val="008E2CD6"/>
    <w:rsid w:val="008E790B"/>
    <w:rsid w:val="00905CA5"/>
    <w:rsid w:val="009112F1"/>
    <w:rsid w:val="009178B4"/>
    <w:rsid w:val="00934ECB"/>
    <w:rsid w:val="00943108"/>
    <w:rsid w:val="00945ADA"/>
    <w:rsid w:val="00951A62"/>
    <w:rsid w:val="00952F11"/>
    <w:rsid w:val="00961B32"/>
    <w:rsid w:val="00974A32"/>
    <w:rsid w:val="00975210"/>
    <w:rsid w:val="00984123"/>
    <w:rsid w:val="009915FA"/>
    <w:rsid w:val="00995D8C"/>
    <w:rsid w:val="009A367D"/>
    <w:rsid w:val="009B14EC"/>
    <w:rsid w:val="009B1790"/>
    <w:rsid w:val="009B29DF"/>
    <w:rsid w:val="009C2BAD"/>
    <w:rsid w:val="009D2C80"/>
    <w:rsid w:val="00A023B4"/>
    <w:rsid w:val="00A04CCE"/>
    <w:rsid w:val="00A10057"/>
    <w:rsid w:val="00A36FF9"/>
    <w:rsid w:val="00A46E98"/>
    <w:rsid w:val="00A51983"/>
    <w:rsid w:val="00A51D6E"/>
    <w:rsid w:val="00A54D4D"/>
    <w:rsid w:val="00A560FC"/>
    <w:rsid w:val="00A96A63"/>
    <w:rsid w:val="00AA3141"/>
    <w:rsid w:val="00AA416D"/>
    <w:rsid w:val="00AB04F0"/>
    <w:rsid w:val="00AB78C3"/>
    <w:rsid w:val="00AC6EF0"/>
    <w:rsid w:val="00B01055"/>
    <w:rsid w:val="00B04358"/>
    <w:rsid w:val="00B3579A"/>
    <w:rsid w:val="00B61A88"/>
    <w:rsid w:val="00B8106A"/>
    <w:rsid w:val="00B81725"/>
    <w:rsid w:val="00B863FA"/>
    <w:rsid w:val="00BB2228"/>
    <w:rsid w:val="00BC4308"/>
    <w:rsid w:val="00BD769F"/>
    <w:rsid w:val="00BE226A"/>
    <w:rsid w:val="00BE2970"/>
    <w:rsid w:val="00BE29C0"/>
    <w:rsid w:val="00C0097E"/>
    <w:rsid w:val="00C048FC"/>
    <w:rsid w:val="00C13794"/>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2A71"/>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5772</Words>
  <Characters>32907</Characters>
  <Application>Microsoft Office Word</Application>
  <DocSecurity>0</DocSecurity>
  <Lines>274</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Steam api data extraction</vt:lpstr>
      <vt:lpstr>Steam api data extraction</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Mihai Vlad Serbanescu</cp:lastModifiedBy>
  <cp:revision>3</cp:revision>
  <dcterms:created xsi:type="dcterms:W3CDTF">2022-03-25T21:12:00Z</dcterms:created>
  <dcterms:modified xsi:type="dcterms:W3CDTF">2022-03-26T19:36:00Z</dcterms:modified>
</cp:coreProperties>
</file>