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F4C" w:rsidRDefault="00C61D88">
      <w:pPr>
        <w:rPr>
          <w:rFonts w:ascii="IBM Plex Sans" w:hAnsi="IBM Plex Sans"/>
          <w:spacing w:val="-2"/>
          <w:sz w:val="26"/>
          <w:szCs w:val="26"/>
          <w:shd w:val="clear" w:color="auto" w:fill="FBFEFD"/>
        </w:rPr>
      </w:pPr>
      <w:proofErr w:type="spellStart"/>
      <w:r>
        <w:rPr>
          <w:rFonts w:ascii="IBM Plex Sans" w:hAnsi="IBM Plex Sans"/>
          <w:spacing w:val="-2"/>
          <w:sz w:val="26"/>
          <w:szCs w:val="26"/>
          <w:shd w:val="clear" w:color="auto" w:fill="FBFEFD"/>
        </w:rPr>
        <w:t>TradeAlgo</w:t>
      </w:r>
      <w:proofErr w:type="spellEnd"/>
      <w:r>
        <w:rPr>
          <w:rFonts w:ascii="IBM Plex Sans" w:hAnsi="IBM Plex Sans"/>
          <w:spacing w:val="-2"/>
          <w:sz w:val="26"/>
          <w:szCs w:val="26"/>
          <w:shd w:val="clear" w:color="auto" w:fill="FBFEFD"/>
        </w:rPr>
        <w:t xml:space="preserve"> est un leader mondial des données de marché dont la mission est de rendre l'investissement simple et équitable. Les investisseurs modernes ont besoin d'accéder à des données en temps réel pour obtenir des informations indépendantes, et </w:t>
      </w:r>
      <w:proofErr w:type="spellStart"/>
      <w:r>
        <w:rPr>
          <w:rFonts w:ascii="IBM Plex Sans" w:hAnsi="IBM Plex Sans"/>
          <w:spacing w:val="-2"/>
          <w:sz w:val="26"/>
          <w:szCs w:val="26"/>
          <w:shd w:val="clear" w:color="auto" w:fill="FBFEFD"/>
        </w:rPr>
        <w:t>TradeAlgo</w:t>
      </w:r>
      <w:proofErr w:type="spellEnd"/>
      <w:r>
        <w:rPr>
          <w:rFonts w:ascii="IBM Plex Sans" w:hAnsi="IBM Plex Sans"/>
          <w:spacing w:val="-2"/>
          <w:sz w:val="26"/>
          <w:szCs w:val="26"/>
          <w:shd w:val="clear" w:color="auto" w:fill="FBFEFD"/>
        </w:rPr>
        <w:t xml:space="preserve"> fournit ces informations via des algorithmes de pointe et l'IA. Nous inaugurons une nouvelle ère de commerce équitable en fournissant aux investisseurs particuliers les outils dont seuls les fonds spéculatifs et les grandes entreprises ont bénéficié - jusqu'à présent.</w:t>
      </w:r>
    </w:p>
    <w:p w:rsidR="00C61D88" w:rsidRDefault="00C61D88">
      <w:pPr>
        <w:rPr>
          <w:rFonts w:ascii="IBM Plex Sans" w:hAnsi="IBM Plex Sans"/>
          <w:spacing w:val="-2"/>
          <w:sz w:val="26"/>
          <w:szCs w:val="26"/>
          <w:shd w:val="clear" w:color="auto" w:fill="FBFEFD"/>
        </w:rPr>
      </w:pPr>
    </w:p>
    <w:p w:rsidR="00C61D88" w:rsidRPr="00C61D88" w:rsidRDefault="00C61D88" w:rsidP="00C61D88">
      <w:pPr>
        <w:shd w:val="clear" w:color="auto" w:fill="FFFFFF"/>
        <w:spacing w:after="150" w:line="240" w:lineRule="auto"/>
        <w:outlineLvl w:val="1"/>
        <w:rPr>
          <w:rFonts w:ascii="IBM Plex Sans" w:eastAsia="Times New Roman" w:hAnsi="IBM Plex Sans" w:cs="Times New Roman"/>
          <w:b/>
          <w:bCs/>
          <w:color w:val="1E1E1E"/>
          <w:sz w:val="54"/>
          <w:szCs w:val="54"/>
          <w:lang w:eastAsia="fr-FR"/>
        </w:rPr>
      </w:pPr>
      <w:r w:rsidRPr="00C61D88">
        <w:rPr>
          <w:rFonts w:ascii="IBM Plex Sans" w:eastAsia="Times New Roman" w:hAnsi="IBM Plex Sans" w:cs="Times New Roman"/>
          <w:b/>
          <w:bCs/>
          <w:color w:val="1E1E1E"/>
          <w:sz w:val="54"/>
          <w:szCs w:val="54"/>
          <w:lang w:eastAsia="fr-FR"/>
        </w:rPr>
        <w:t>Raisons d'investir</w:t>
      </w:r>
    </w:p>
    <w:p w:rsidR="00C61D88" w:rsidRPr="00C61D88" w:rsidRDefault="00C61D88" w:rsidP="00C61D88">
      <w:pPr>
        <w:shd w:val="clear" w:color="auto" w:fill="FFFFFF"/>
        <w:spacing w:after="0" w:line="240" w:lineRule="auto"/>
        <w:rPr>
          <w:rFonts w:ascii="IBM Plex Sans" w:eastAsia="Times New Roman" w:hAnsi="IBM Plex Sans" w:cs="Times New Roman"/>
          <w:color w:val="1E1E1E"/>
          <w:spacing w:val="-3"/>
          <w:sz w:val="27"/>
          <w:szCs w:val="27"/>
          <w:lang w:eastAsia="fr-FR"/>
        </w:rPr>
      </w:pPr>
      <w:r w:rsidRPr="00C61D88">
        <w:rPr>
          <w:rFonts w:ascii="IBM Plex Sans" w:eastAsia="Times New Roman" w:hAnsi="IBM Plex Sans" w:cs="Times New Roman"/>
          <w:color w:val="1E1E1E"/>
          <w:spacing w:val="-3"/>
          <w:sz w:val="27"/>
          <w:szCs w:val="27"/>
          <w:lang w:eastAsia="fr-FR"/>
        </w:rPr>
        <w:t>L'une des premières plates-formes à suivre l'activité de</w:t>
      </w:r>
      <w:proofErr w:type="gramStart"/>
      <w:r w:rsidRPr="00C61D88">
        <w:rPr>
          <w:rFonts w:ascii="IBM Plex Sans" w:eastAsia="Times New Roman" w:hAnsi="IBM Plex Sans" w:cs="Times New Roman"/>
          <w:color w:val="1E1E1E"/>
          <w:spacing w:val="-3"/>
          <w:sz w:val="27"/>
          <w:szCs w:val="27"/>
          <w:lang w:eastAsia="fr-FR"/>
        </w:rPr>
        <w:t xml:space="preserve"> «flux</w:t>
      </w:r>
      <w:proofErr w:type="gramEnd"/>
      <w:r w:rsidRPr="00C61D88">
        <w:rPr>
          <w:rFonts w:ascii="IBM Plex Sans" w:eastAsia="Times New Roman" w:hAnsi="IBM Plex Sans" w:cs="Times New Roman"/>
          <w:color w:val="1E1E1E"/>
          <w:spacing w:val="-3"/>
          <w:sz w:val="27"/>
          <w:szCs w:val="27"/>
          <w:lang w:eastAsia="fr-FR"/>
        </w:rPr>
        <w:t xml:space="preserve"> sombre» hors marché et à uniformiser les règles du jeu pour les investisseurs de détail en fournissant des mesures en temps réel grâce à la puissance de l'IA.</w:t>
      </w:r>
    </w:p>
    <w:p w:rsidR="00C61D88" w:rsidRPr="00C61D88" w:rsidRDefault="00C61D88" w:rsidP="00C61D88">
      <w:pPr>
        <w:shd w:val="clear" w:color="auto" w:fill="FFFFFF"/>
        <w:spacing w:after="0" w:line="240" w:lineRule="auto"/>
        <w:rPr>
          <w:rFonts w:ascii="IBM Plex Sans" w:eastAsia="Times New Roman" w:hAnsi="IBM Plex Sans" w:cs="Times New Roman"/>
          <w:color w:val="1E1E1E"/>
          <w:spacing w:val="-3"/>
          <w:sz w:val="27"/>
          <w:szCs w:val="27"/>
          <w:lang w:eastAsia="fr-FR"/>
        </w:rPr>
      </w:pPr>
      <w:r w:rsidRPr="00C61D88">
        <w:rPr>
          <w:rFonts w:ascii="IBM Plex Sans" w:eastAsia="Times New Roman" w:hAnsi="IBM Plex Sans" w:cs="Times New Roman"/>
          <w:color w:val="1E1E1E"/>
          <w:spacing w:val="-3"/>
          <w:sz w:val="27"/>
          <w:szCs w:val="27"/>
          <w:lang w:eastAsia="fr-FR"/>
        </w:rPr>
        <w:t xml:space="preserve">Le marché mondial des technologies financières devrait atteindre une valeur de 324 milliards de dollars d'ici 2026. Selon les experts de Burton-Taylor Consulting, les dépenses mondiales en données sur les marchés financiers ont atteint un record de 33,2 milliards de dollars en </w:t>
      </w:r>
      <w:proofErr w:type="gramStart"/>
      <w:r w:rsidRPr="00C61D88">
        <w:rPr>
          <w:rFonts w:ascii="IBM Plex Sans" w:eastAsia="Times New Roman" w:hAnsi="IBM Plex Sans" w:cs="Times New Roman"/>
          <w:color w:val="1E1E1E"/>
          <w:spacing w:val="-3"/>
          <w:sz w:val="27"/>
          <w:szCs w:val="27"/>
          <w:lang w:eastAsia="fr-FR"/>
        </w:rPr>
        <w:t>2020.*</w:t>
      </w:r>
      <w:proofErr w:type="gramEnd"/>
    </w:p>
    <w:p w:rsidR="00C61D88" w:rsidRPr="00C61D88" w:rsidRDefault="00C61D88" w:rsidP="00C61D88">
      <w:pPr>
        <w:shd w:val="clear" w:color="auto" w:fill="FFFFFF"/>
        <w:spacing w:after="0" w:line="240" w:lineRule="auto"/>
        <w:rPr>
          <w:rFonts w:ascii="IBM Plex Sans" w:eastAsia="Times New Roman" w:hAnsi="IBM Plex Sans" w:cs="Times New Roman"/>
          <w:color w:val="1E1E1E"/>
          <w:spacing w:val="-3"/>
          <w:sz w:val="27"/>
          <w:szCs w:val="27"/>
          <w:lang w:eastAsia="fr-FR"/>
        </w:rPr>
      </w:pPr>
      <w:proofErr w:type="spellStart"/>
      <w:r w:rsidRPr="00C61D88">
        <w:rPr>
          <w:rFonts w:ascii="IBM Plex Sans" w:eastAsia="Times New Roman" w:hAnsi="IBM Plex Sans" w:cs="Times New Roman"/>
          <w:color w:val="1E1E1E"/>
          <w:spacing w:val="-3"/>
          <w:sz w:val="27"/>
          <w:szCs w:val="27"/>
          <w:lang w:eastAsia="fr-FR"/>
        </w:rPr>
        <w:t>TradeAlgo</w:t>
      </w:r>
      <w:proofErr w:type="spellEnd"/>
      <w:r w:rsidRPr="00C61D88">
        <w:rPr>
          <w:rFonts w:ascii="IBM Plex Sans" w:eastAsia="Times New Roman" w:hAnsi="IBM Plex Sans" w:cs="Times New Roman"/>
          <w:color w:val="1E1E1E"/>
          <w:spacing w:val="-3"/>
          <w:sz w:val="27"/>
          <w:szCs w:val="27"/>
          <w:lang w:eastAsia="fr-FR"/>
        </w:rPr>
        <w:t xml:space="preserve"> bénéficie d'une stratégie d'acquisition de clients rentable, ainsi que d'algorithmes et d'intelligence artificielle de pointe appliqués aux données de marché.</w:t>
      </w:r>
    </w:p>
    <w:p w:rsidR="00C61D88" w:rsidRDefault="00C61D88"/>
    <w:p w:rsidR="00C61D88" w:rsidRDefault="00C61D88" w:rsidP="00C61D88">
      <w:pPr>
        <w:pStyle w:val="Titre4"/>
        <w:spacing w:before="150" w:after="150"/>
        <w:jc w:val="center"/>
        <w:rPr>
          <w:rFonts w:ascii="IBM Plex Sans" w:hAnsi="IBM Plex Sans"/>
          <w:color w:val="1E1E1E"/>
          <w:sz w:val="30"/>
          <w:szCs w:val="30"/>
        </w:rPr>
      </w:pPr>
      <w:r>
        <w:rPr>
          <w:rFonts w:ascii="IBM Plex Sans" w:hAnsi="IBM Plex Sans"/>
          <w:b/>
          <w:bCs/>
          <w:color w:val="1E1E1E"/>
          <w:sz w:val="30"/>
          <w:szCs w:val="30"/>
        </w:rPr>
        <w:t>Résumé de l'offre</w:t>
      </w:r>
    </w:p>
    <w:p w:rsidR="00C61D88" w:rsidRDefault="00C61D88" w:rsidP="00C61D88">
      <w:pPr>
        <w:pStyle w:val="NormalWeb"/>
        <w:spacing w:before="0" w:beforeAutospacing="0" w:after="150" w:afterAutospacing="0"/>
        <w:rPr>
          <w:rFonts w:ascii="IBM Plex Sans" w:hAnsi="IBM Plex Sans"/>
          <w:color w:val="1E1E1E"/>
          <w:sz w:val="21"/>
          <w:szCs w:val="21"/>
        </w:rPr>
      </w:pPr>
    </w:p>
    <w:tbl>
      <w:tblPr>
        <w:tblpPr w:leftFromText="36" w:rightFromText="36" w:vertAnchor="text"/>
        <w:tblW w:w="5000" w:type="pct"/>
        <w:tblCellMar>
          <w:left w:w="0" w:type="dxa"/>
          <w:right w:w="0" w:type="dxa"/>
        </w:tblCellMar>
        <w:tblLook w:val="04A0" w:firstRow="1" w:lastRow="0" w:firstColumn="1" w:lastColumn="0" w:noHBand="0" w:noVBand="1"/>
      </w:tblPr>
      <w:tblGrid>
        <w:gridCol w:w="2812"/>
        <w:gridCol w:w="91"/>
        <w:gridCol w:w="6169"/>
      </w:tblGrid>
      <w:tr w:rsidR="00C61D88" w:rsidTr="00C61D88">
        <w:tc>
          <w:tcPr>
            <w:tcW w:w="1550" w:type="pct"/>
            <w:shd w:val="clear" w:color="auto" w:fill="auto"/>
            <w:hideMark/>
          </w:tcPr>
          <w:p w:rsidR="00C61D88" w:rsidRDefault="00C61D88">
            <w:pPr>
              <w:pStyle w:val="Titre4"/>
              <w:spacing w:before="150" w:after="150"/>
              <w:jc w:val="right"/>
              <w:rPr>
                <w:rFonts w:ascii="IBM Plex Sans" w:hAnsi="IBM Plex Sans"/>
                <w:color w:val="auto"/>
                <w:sz w:val="30"/>
                <w:szCs w:val="30"/>
              </w:rPr>
            </w:pPr>
            <w:r>
              <w:rPr>
                <w:rStyle w:val="lev"/>
                <w:rFonts w:ascii="IBM Plex Sans" w:hAnsi="IBM Plex Sans"/>
                <w:b w:val="0"/>
                <w:bCs w:val="0"/>
                <w:sz w:val="30"/>
                <w:szCs w:val="30"/>
              </w:rPr>
              <w:t>Compagnie</w:t>
            </w:r>
          </w:p>
        </w:tc>
        <w:tc>
          <w:tcPr>
            <w:tcW w:w="332" w:type="dxa"/>
            <w:shd w:val="clear" w:color="auto" w:fill="auto"/>
            <w:vAlign w:val="center"/>
            <w:hideMark/>
          </w:tcPr>
          <w:p w:rsidR="00C61D88" w:rsidRDefault="00C61D88">
            <w:pPr>
              <w:jc w:val="center"/>
              <w:rPr>
                <w:rFonts w:ascii="Times New Roman" w:hAnsi="Times New Roman"/>
                <w:sz w:val="24"/>
                <w:szCs w:val="24"/>
              </w:rPr>
            </w:pPr>
            <w:r>
              <w:rPr>
                <w:rStyle w:val="lev"/>
              </w:rPr>
              <w:t>:</w:t>
            </w:r>
          </w:p>
        </w:tc>
        <w:tc>
          <w:tcPr>
            <w:tcW w:w="3400" w:type="pct"/>
            <w:shd w:val="clear" w:color="auto" w:fill="auto"/>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 xml:space="preserve">TA </w:t>
            </w:r>
            <w:proofErr w:type="spellStart"/>
            <w:r>
              <w:rPr>
                <w:rFonts w:ascii="IBM Plex Sans" w:hAnsi="IBM Plex Sans"/>
                <w:b/>
                <w:bCs/>
                <w:sz w:val="30"/>
                <w:szCs w:val="30"/>
              </w:rPr>
              <w:t>Fintech</w:t>
            </w:r>
            <w:proofErr w:type="spellEnd"/>
            <w:r>
              <w:rPr>
                <w:rFonts w:ascii="IBM Plex Sans" w:hAnsi="IBM Plex Sans"/>
                <w:b/>
                <w:bCs/>
                <w:sz w:val="30"/>
                <w:szCs w:val="30"/>
              </w:rPr>
              <w:t xml:space="preserve"> </w:t>
            </w:r>
            <w:proofErr w:type="spellStart"/>
            <w:r>
              <w:rPr>
                <w:rFonts w:ascii="IBM Plex Sans" w:hAnsi="IBM Plex Sans"/>
                <w:b/>
                <w:bCs/>
                <w:sz w:val="30"/>
                <w:szCs w:val="30"/>
              </w:rPr>
              <w:t>inc.</w:t>
            </w:r>
            <w:proofErr w:type="spellEnd"/>
          </w:p>
        </w:tc>
      </w:tr>
      <w:tr w:rsidR="00C61D88" w:rsidTr="00C61D88">
        <w:tc>
          <w:tcPr>
            <w:tcW w:w="1550" w:type="pct"/>
            <w:shd w:val="clear" w:color="auto" w:fill="auto"/>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Adresse de l'entreprise</w:t>
            </w:r>
          </w:p>
        </w:tc>
        <w:tc>
          <w:tcPr>
            <w:tcW w:w="332" w:type="dxa"/>
            <w:shd w:val="clear" w:color="auto" w:fill="auto"/>
            <w:vAlign w:val="center"/>
            <w:hideMark/>
          </w:tcPr>
          <w:p w:rsidR="00C61D88" w:rsidRDefault="00C61D88">
            <w:pPr>
              <w:jc w:val="center"/>
              <w:rPr>
                <w:rFonts w:ascii="Times New Roman" w:hAnsi="Times New Roman"/>
                <w:sz w:val="24"/>
                <w:szCs w:val="24"/>
              </w:rPr>
            </w:pPr>
            <w:r>
              <w:rPr>
                <w:rStyle w:val="lev"/>
              </w:rPr>
              <w:t>:</w:t>
            </w:r>
          </w:p>
        </w:tc>
        <w:tc>
          <w:tcPr>
            <w:tcW w:w="3400" w:type="pct"/>
            <w:shd w:val="clear" w:color="auto" w:fill="auto"/>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401 Park Avenue S, numéro 10, New York, NY 10016</w:t>
            </w:r>
          </w:p>
        </w:tc>
      </w:tr>
      <w:tr w:rsidR="00C61D88" w:rsidTr="00C61D88">
        <w:tc>
          <w:tcPr>
            <w:tcW w:w="1550" w:type="pct"/>
            <w:shd w:val="clear" w:color="auto" w:fill="auto"/>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Offre minimale</w:t>
            </w:r>
          </w:p>
        </w:tc>
        <w:tc>
          <w:tcPr>
            <w:tcW w:w="332" w:type="dxa"/>
            <w:shd w:val="clear" w:color="auto" w:fill="auto"/>
            <w:vAlign w:val="center"/>
            <w:hideMark/>
          </w:tcPr>
          <w:p w:rsidR="00C61D88" w:rsidRDefault="00C61D88">
            <w:pPr>
              <w:jc w:val="center"/>
              <w:rPr>
                <w:rFonts w:ascii="Times New Roman" w:hAnsi="Times New Roman"/>
                <w:sz w:val="24"/>
                <w:szCs w:val="24"/>
              </w:rPr>
            </w:pPr>
            <w:r>
              <w:rPr>
                <w:rStyle w:val="lev"/>
              </w:rPr>
              <w:t>:</w:t>
            </w:r>
          </w:p>
        </w:tc>
        <w:tc>
          <w:tcPr>
            <w:tcW w:w="3400" w:type="pct"/>
            <w:shd w:val="clear" w:color="auto" w:fill="auto"/>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10 000,00 $</w:t>
            </w:r>
          </w:p>
        </w:tc>
      </w:tr>
      <w:tr w:rsidR="00C61D88" w:rsidTr="00C61D88">
        <w:tc>
          <w:tcPr>
            <w:tcW w:w="5060" w:type="dxa"/>
            <w:shd w:val="clear" w:color="auto" w:fill="auto"/>
            <w:vAlign w:val="center"/>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Offre maximale</w:t>
            </w:r>
          </w:p>
        </w:tc>
        <w:tc>
          <w:tcPr>
            <w:tcW w:w="332" w:type="dxa"/>
            <w:shd w:val="clear" w:color="auto" w:fill="auto"/>
            <w:vAlign w:val="center"/>
            <w:hideMark/>
          </w:tcPr>
          <w:p w:rsidR="00C61D88" w:rsidRDefault="00C61D88">
            <w:pPr>
              <w:jc w:val="center"/>
              <w:rPr>
                <w:rFonts w:ascii="Times New Roman" w:hAnsi="Times New Roman"/>
                <w:sz w:val="24"/>
                <w:szCs w:val="24"/>
              </w:rPr>
            </w:pPr>
            <w:r>
              <w:rPr>
                <w:rStyle w:val="lev"/>
              </w:rPr>
              <w:t>:</w:t>
            </w:r>
          </w:p>
        </w:tc>
        <w:tc>
          <w:tcPr>
            <w:tcW w:w="5198" w:type="dxa"/>
            <w:shd w:val="clear" w:color="auto" w:fill="auto"/>
            <w:vAlign w:val="center"/>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3 929 996,49 $</w:t>
            </w:r>
          </w:p>
        </w:tc>
      </w:tr>
      <w:tr w:rsidR="00C61D88" w:rsidTr="00C61D88">
        <w:tc>
          <w:tcPr>
            <w:tcW w:w="1550" w:type="pct"/>
            <w:shd w:val="clear" w:color="auto" w:fill="auto"/>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Montant d'investissement minimal</w:t>
            </w:r>
          </w:p>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(par investisseur)</w:t>
            </w:r>
          </w:p>
        </w:tc>
        <w:tc>
          <w:tcPr>
            <w:tcW w:w="332" w:type="dxa"/>
            <w:shd w:val="clear" w:color="auto" w:fill="auto"/>
            <w:vAlign w:val="center"/>
            <w:hideMark/>
          </w:tcPr>
          <w:p w:rsidR="00C61D88" w:rsidRDefault="00C61D88">
            <w:pPr>
              <w:jc w:val="center"/>
              <w:rPr>
                <w:rFonts w:ascii="Times New Roman" w:hAnsi="Times New Roman"/>
                <w:sz w:val="24"/>
                <w:szCs w:val="24"/>
              </w:rPr>
            </w:pPr>
            <w:r>
              <w:rPr>
                <w:rStyle w:val="lev"/>
              </w:rPr>
              <w:t>:</w:t>
            </w:r>
          </w:p>
        </w:tc>
        <w:tc>
          <w:tcPr>
            <w:tcW w:w="3400" w:type="pct"/>
            <w:shd w:val="clear" w:color="auto" w:fill="auto"/>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597,49 $</w:t>
            </w:r>
          </w:p>
        </w:tc>
      </w:tr>
    </w:tbl>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Titre4"/>
        <w:spacing w:before="150" w:after="150"/>
        <w:jc w:val="center"/>
        <w:rPr>
          <w:rFonts w:ascii="IBM Plex Sans" w:hAnsi="IBM Plex Sans"/>
          <w:color w:val="1E1E1E"/>
          <w:sz w:val="30"/>
          <w:szCs w:val="30"/>
        </w:rPr>
      </w:pPr>
      <w:r>
        <w:rPr>
          <w:rFonts w:ascii="IBM Plex Sans" w:hAnsi="IBM Plex Sans"/>
          <w:b/>
          <w:bCs/>
          <w:color w:val="1E1E1E"/>
          <w:sz w:val="30"/>
          <w:szCs w:val="30"/>
        </w:rPr>
        <w:t>Conditions</w:t>
      </w:r>
    </w:p>
    <w:p w:rsidR="00C61D88" w:rsidRDefault="00C61D88" w:rsidP="00C61D88">
      <w:pPr>
        <w:pStyle w:val="NormalWeb"/>
        <w:spacing w:before="0" w:beforeAutospacing="0" w:after="150" w:afterAutospacing="0"/>
        <w:rPr>
          <w:rFonts w:ascii="IBM Plex Sans" w:hAnsi="IBM Plex Sans"/>
          <w:color w:val="1E1E1E"/>
          <w:sz w:val="21"/>
          <w:szCs w:val="21"/>
        </w:rPr>
      </w:pPr>
    </w:p>
    <w:tbl>
      <w:tblPr>
        <w:tblpPr w:leftFromText="36" w:rightFromText="36" w:vertAnchor="text"/>
        <w:tblW w:w="5000" w:type="pct"/>
        <w:tblCellMar>
          <w:left w:w="0" w:type="dxa"/>
          <w:right w:w="0" w:type="dxa"/>
        </w:tblCellMar>
        <w:tblLook w:val="04A0" w:firstRow="1" w:lastRow="0" w:firstColumn="1" w:lastColumn="0" w:noHBand="0" w:noVBand="1"/>
      </w:tblPr>
      <w:tblGrid>
        <w:gridCol w:w="2735"/>
        <w:gridCol w:w="168"/>
        <w:gridCol w:w="6169"/>
      </w:tblGrid>
      <w:tr w:rsidR="00C61D88" w:rsidTr="00C61D88">
        <w:tc>
          <w:tcPr>
            <w:tcW w:w="5040" w:type="dxa"/>
            <w:shd w:val="clear" w:color="auto" w:fill="auto"/>
            <w:vAlign w:val="center"/>
            <w:hideMark/>
          </w:tcPr>
          <w:p w:rsidR="00C61D88" w:rsidRDefault="00C61D88">
            <w:pPr>
              <w:pStyle w:val="Titre4"/>
              <w:spacing w:before="150" w:after="150"/>
              <w:jc w:val="right"/>
              <w:rPr>
                <w:rFonts w:ascii="IBM Plex Sans" w:hAnsi="IBM Plex Sans"/>
                <w:color w:val="auto"/>
                <w:sz w:val="30"/>
                <w:szCs w:val="30"/>
              </w:rPr>
            </w:pPr>
            <w:r>
              <w:rPr>
                <w:rStyle w:val="lev"/>
                <w:rFonts w:ascii="IBM Plex Sans" w:hAnsi="IBM Plex Sans"/>
                <w:b w:val="0"/>
                <w:bCs w:val="0"/>
                <w:sz w:val="30"/>
                <w:szCs w:val="30"/>
              </w:rPr>
              <w:t>Type d'offre</w:t>
            </w:r>
          </w:p>
        </w:tc>
        <w:tc>
          <w:tcPr>
            <w:tcW w:w="343" w:type="dxa"/>
            <w:shd w:val="clear" w:color="auto" w:fill="auto"/>
            <w:vAlign w:val="center"/>
            <w:hideMark/>
          </w:tcPr>
          <w:p w:rsidR="00C61D88" w:rsidRDefault="00C61D88">
            <w:pPr>
              <w:jc w:val="center"/>
              <w:rPr>
                <w:rFonts w:ascii="Times New Roman" w:hAnsi="Times New Roman"/>
                <w:sz w:val="24"/>
                <w:szCs w:val="24"/>
              </w:rPr>
            </w:pPr>
            <w:r>
              <w:t>:</w:t>
            </w:r>
          </w:p>
        </w:tc>
        <w:tc>
          <w:tcPr>
            <w:tcW w:w="3400" w:type="pct"/>
            <w:shd w:val="clear" w:color="auto" w:fill="auto"/>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Équité</w:t>
            </w:r>
          </w:p>
        </w:tc>
      </w:tr>
      <w:tr w:rsidR="00C61D88" w:rsidTr="00C61D88">
        <w:tc>
          <w:tcPr>
            <w:tcW w:w="5040" w:type="dxa"/>
            <w:shd w:val="clear" w:color="auto" w:fill="auto"/>
            <w:vAlign w:val="center"/>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Nom de sécurité</w:t>
            </w:r>
          </w:p>
        </w:tc>
        <w:tc>
          <w:tcPr>
            <w:tcW w:w="343" w:type="dxa"/>
            <w:shd w:val="clear" w:color="auto" w:fill="auto"/>
            <w:vAlign w:val="center"/>
            <w:hideMark/>
          </w:tcPr>
          <w:p w:rsidR="00C61D88" w:rsidRDefault="00C61D88">
            <w:pPr>
              <w:jc w:val="center"/>
              <w:rPr>
                <w:rFonts w:ascii="Times New Roman" w:hAnsi="Times New Roman"/>
                <w:sz w:val="24"/>
                <w:szCs w:val="24"/>
              </w:rPr>
            </w:pPr>
            <w:r>
              <w:t>:</w:t>
            </w:r>
          </w:p>
        </w:tc>
        <w:tc>
          <w:tcPr>
            <w:tcW w:w="5206" w:type="dxa"/>
            <w:shd w:val="clear" w:color="auto" w:fill="auto"/>
            <w:vAlign w:val="center"/>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Actions ordinaires</w:t>
            </w:r>
          </w:p>
        </w:tc>
      </w:tr>
      <w:tr w:rsidR="00C61D88" w:rsidTr="00C61D88">
        <w:tc>
          <w:tcPr>
            <w:tcW w:w="0" w:type="auto"/>
            <w:shd w:val="clear" w:color="auto" w:fill="auto"/>
            <w:vAlign w:val="center"/>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Nombre minimum d'actions offertes</w:t>
            </w:r>
          </w:p>
        </w:tc>
        <w:tc>
          <w:tcPr>
            <w:tcW w:w="0" w:type="auto"/>
            <w:shd w:val="clear" w:color="auto" w:fill="auto"/>
            <w:vAlign w:val="center"/>
            <w:hideMark/>
          </w:tcPr>
          <w:p w:rsidR="00C61D88" w:rsidRDefault="00C61D88">
            <w:pPr>
              <w:jc w:val="center"/>
              <w:rPr>
                <w:rFonts w:ascii="Times New Roman" w:hAnsi="Times New Roman"/>
                <w:sz w:val="24"/>
                <w:szCs w:val="24"/>
              </w:rPr>
            </w:pPr>
            <w:r>
              <w:t>:</w:t>
            </w:r>
          </w:p>
        </w:tc>
        <w:tc>
          <w:tcPr>
            <w:tcW w:w="0" w:type="auto"/>
            <w:shd w:val="clear" w:color="auto" w:fill="auto"/>
            <w:vAlign w:val="center"/>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2 500</w:t>
            </w:r>
          </w:p>
        </w:tc>
      </w:tr>
      <w:tr w:rsidR="00C61D88" w:rsidTr="00C61D88">
        <w:tc>
          <w:tcPr>
            <w:tcW w:w="0" w:type="auto"/>
            <w:shd w:val="clear" w:color="auto" w:fill="auto"/>
            <w:vAlign w:val="center"/>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Nombre maximum d'actions offertes</w:t>
            </w:r>
          </w:p>
        </w:tc>
        <w:tc>
          <w:tcPr>
            <w:tcW w:w="0" w:type="auto"/>
            <w:shd w:val="clear" w:color="auto" w:fill="auto"/>
            <w:vAlign w:val="center"/>
            <w:hideMark/>
          </w:tcPr>
          <w:p w:rsidR="00C61D88" w:rsidRDefault="00C61D88">
            <w:pPr>
              <w:jc w:val="center"/>
              <w:rPr>
                <w:rFonts w:ascii="Times New Roman" w:hAnsi="Times New Roman"/>
                <w:sz w:val="24"/>
                <w:szCs w:val="24"/>
              </w:rPr>
            </w:pPr>
            <w:r>
              <w:t>:</w:t>
            </w:r>
          </w:p>
        </w:tc>
        <w:tc>
          <w:tcPr>
            <w:tcW w:w="0" w:type="auto"/>
            <w:shd w:val="clear" w:color="auto" w:fill="auto"/>
            <w:vAlign w:val="center"/>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982 499</w:t>
            </w:r>
          </w:p>
        </w:tc>
      </w:tr>
      <w:tr w:rsidR="00C61D88" w:rsidTr="00C61D88">
        <w:tc>
          <w:tcPr>
            <w:tcW w:w="5040" w:type="dxa"/>
            <w:shd w:val="clear" w:color="auto" w:fill="auto"/>
            <w:vAlign w:val="center"/>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Prix ​​par action</w:t>
            </w:r>
          </w:p>
        </w:tc>
        <w:tc>
          <w:tcPr>
            <w:tcW w:w="343" w:type="dxa"/>
            <w:shd w:val="clear" w:color="auto" w:fill="auto"/>
            <w:vAlign w:val="center"/>
            <w:hideMark/>
          </w:tcPr>
          <w:p w:rsidR="00C61D88" w:rsidRDefault="00C61D88">
            <w:pPr>
              <w:jc w:val="center"/>
              <w:rPr>
                <w:rFonts w:ascii="Times New Roman" w:hAnsi="Times New Roman"/>
                <w:sz w:val="24"/>
                <w:szCs w:val="24"/>
              </w:rPr>
            </w:pPr>
            <w:r>
              <w:t>:</w:t>
            </w:r>
          </w:p>
        </w:tc>
        <w:tc>
          <w:tcPr>
            <w:tcW w:w="5206" w:type="dxa"/>
            <w:shd w:val="clear" w:color="auto" w:fill="auto"/>
            <w:vAlign w:val="center"/>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4,00 $</w:t>
            </w:r>
          </w:p>
        </w:tc>
      </w:tr>
      <w:tr w:rsidR="00C61D88" w:rsidTr="00C61D88">
        <w:tc>
          <w:tcPr>
            <w:tcW w:w="5040" w:type="dxa"/>
            <w:shd w:val="clear" w:color="auto" w:fill="auto"/>
            <w:vAlign w:val="center"/>
            <w:hideMark/>
          </w:tcPr>
          <w:p w:rsidR="00C61D88" w:rsidRDefault="00C61D88">
            <w:pPr>
              <w:pStyle w:val="Titre4"/>
              <w:spacing w:before="150" w:after="150"/>
              <w:jc w:val="right"/>
              <w:rPr>
                <w:rFonts w:ascii="IBM Plex Sans" w:hAnsi="IBM Plex Sans"/>
                <w:b/>
                <w:bCs/>
                <w:sz w:val="30"/>
                <w:szCs w:val="30"/>
              </w:rPr>
            </w:pPr>
            <w:r>
              <w:rPr>
                <w:rStyle w:val="lev"/>
                <w:rFonts w:ascii="IBM Plex Sans" w:hAnsi="IBM Plex Sans"/>
                <w:b w:val="0"/>
                <w:bCs w:val="0"/>
                <w:sz w:val="30"/>
                <w:szCs w:val="30"/>
              </w:rPr>
              <w:t>Évaluation pré-argent</w:t>
            </w:r>
          </w:p>
        </w:tc>
        <w:tc>
          <w:tcPr>
            <w:tcW w:w="343" w:type="dxa"/>
            <w:shd w:val="clear" w:color="auto" w:fill="auto"/>
            <w:vAlign w:val="center"/>
            <w:hideMark/>
          </w:tcPr>
          <w:p w:rsidR="00C61D88" w:rsidRDefault="00C61D88">
            <w:pPr>
              <w:jc w:val="center"/>
              <w:rPr>
                <w:rFonts w:ascii="Times New Roman" w:hAnsi="Times New Roman"/>
                <w:sz w:val="24"/>
                <w:szCs w:val="24"/>
              </w:rPr>
            </w:pPr>
            <w:r>
              <w:rPr>
                <w:rStyle w:val="lev"/>
              </w:rPr>
              <w:t>:</w:t>
            </w:r>
          </w:p>
        </w:tc>
        <w:tc>
          <w:tcPr>
            <w:tcW w:w="5206" w:type="dxa"/>
            <w:shd w:val="clear" w:color="auto" w:fill="auto"/>
            <w:vAlign w:val="center"/>
            <w:hideMark/>
          </w:tcPr>
          <w:p w:rsidR="00C61D88" w:rsidRDefault="00C61D88">
            <w:pPr>
              <w:pStyle w:val="Titre4"/>
              <w:spacing w:before="150" w:after="150"/>
              <w:rPr>
                <w:rFonts w:ascii="IBM Plex Sans" w:hAnsi="IBM Plex Sans"/>
                <w:sz w:val="30"/>
                <w:szCs w:val="30"/>
              </w:rPr>
            </w:pPr>
            <w:r>
              <w:rPr>
                <w:rFonts w:ascii="IBM Plex Sans" w:hAnsi="IBM Plex Sans"/>
                <w:b/>
                <w:bCs/>
                <w:sz w:val="30"/>
                <w:szCs w:val="30"/>
              </w:rPr>
              <w:t>117 608 000,00 $</w:t>
            </w:r>
          </w:p>
        </w:tc>
      </w:tr>
    </w:tbl>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*Nombre maximum d'actions offertes sous réserve d'ajustement pour les actions gratuites. Voir les informations sur les bonus ci-dessous.</w:t>
      </w:r>
    </w:p>
    <w:p w:rsidR="00C61D88" w:rsidRDefault="00C61D88" w:rsidP="00C61D88">
      <w:pPr>
        <w:pStyle w:val="NormalWeb"/>
        <w:spacing w:before="0" w:beforeAutospacing="0" w:after="150" w:afterAutospacing="0"/>
        <w:rPr>
          <w:rFonts w:ascii="IBM Plex Sans" w:hAnsi="IBM Plex Sans"/>
          <w:color w:val="1E1E1E"/>
          <w:sz w:val="21"/>
          <w:szCs w:val="21"/>
        </w:rPr>
      </w:pPr>
      <w:r>
        <w:rPr>
          <w:rStyle w:val="lev"/>
          <w:rFonts w:ascii="IBM Plex Sans" w:hAnsi="IBM Plex Sans"/>
          <w:color w:val="1E1E1E"/>
          <w:sz w:val="21"/>
          <w:szCs w:val="21"/>
        </w:rPr>
        <w:t>Droits de vote des titres vendus dans le cadre de cette offre</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xml:space="preserve">Procuration de vote. Chaque Souscripteur désignera le Président-directeur général de la Société (le « PDG »), ou son successeur, comme mandataire véritable et légitime du Souscripteur, avec le pouvoir </w:t>
      </w:r>
      <w:r>
        <w:rPr>
          <w:rFonts w:ascii="IBM Plex Sans" w:hAnsi="IBM Plex Sans"/>
          <w:color w:val="1E1E1E"/>
          <w:sz w:val="21"/>
          <w:szCs w:val="21"/>
        </w:rPr>
        <w:lastRenderedPageBreak/>
        <w:t xml:space="preserve">d'agir seul et avec plein pouvoir de substitution, pour, conformément avec cet instrument et au nom du souscripteur, (i) voter sur tous les titres, (ii) donner et recevoir des avis et des communications, (iii) signer tout instrument ou document que le chef de la direction juge nécessaire ou approprié dans l'exercice de son autorité en vertu de cet instrument, et (iv) prendre toutes les mesures nécessaires ou appropriées selon le jugement du PDG pour l'accomplissement de ce qui précède. La procuration et le pouvoir conférés par le Souscripteur en vertu du présent article sont assortis d'un intérêt. Cette procuration et ce pouvoir seront irrévocables. La procuration et le pouvoir, tant que le Souscripteur est un particulier, survivra au décès, à l'incompétence et à l'invalidité du Souscripteur et, tant que le Souscripteur est une entité, survivra à la fusion ou à la réorganisation du Souscripteur ou de toute autre entité détenant les Titres. Toutefois, la procuration prendra fin à la clôture d'une offre publique souscrite avec engagement ferme conformément à une déclaration d'enregistrement effective en vertu du Securities </w:t>
      </w:r>
      <w:proofErr w:type="spellStart"/>
      <w:r>
        <w:rPr>
          <w:rFonts w:ascii="IBM Plex Sans" w:hAnsi="IBM Plex Sans"/>
          <w:color w:val="1E1E1E"/>
          <w:sz w:val="21"/>
          <w:szCs w:val="21"/>
        </w:rPr>
        <w:t>Act</w:t>
      </w:r>
      <w:proofErr w:type="spellEnd"/>
      <w:r>
        <w:rPr>
          <w:rFonts w:ascii="IBM Plex Sans" w:hAnsi="IBM Plex Sans"/>
          <w:color w:val="1E1E1E"/>
          <w:sz w:val="21"/>
          <w:szCs w:val="21"/>
        </w:rPr>
        <w:t xml:space="preserve"> de 1933 couvrant l'offre et la vente d'actions ordinaires ou à l'entrée en vigueur d'une déclaration d'enregistrement en vertu du Securities Exchange </w:t>
      </w:r>
      <w:proofErr w:type="spellStart"/>
      <w:r>
        <w:rPr>
          <w:rFonts w:ascii="IBM Plex Sans" w:hAnsi="IBM Plex Sans"/>
          <w:color w:val="1E1E1E"/>
          <w:sz w:val="21"/>
          <w:szCs w:val="21"/>
        </w:rPr>
        <w:t>Act</w:t>
      </w:r>
      <w:proofErr w:type="spellEnd"/>
      <w:r>
        <w:rPr>
          <w:rFonts w:ascii="IBM Plex Sans" w:hAnsi="IBM Plex Sans"/>
          <w:color w:val="1E1E1E"/>
          <w:sz w:val="21"/>
          <w:szCs w:val="21"/>
        </w:rPr>
        <w:t xml:space="preserve"> de 1934 couvrant les actions ordinaires.</w:t>
      </w:r>
    </w:p>
    <w:p w:rsidR="00C61D88" w:rsidRDefault="00C61D88" w:rsidP="00C61D88">
      <w:pPr>
        <w:pStyle w:val="NormalWeb"/>
        <w:spacing w:before="0" w:beforeAutospacing="0" w:after="150" w:afterAutospacing="0"/>
        <w:rPr>
          <w:rFonts w:ascii="IBM Plex Sans" w:hAnsi="IBM Plex Sans"/>
          <w:color w:val="1E1E1E"/>
          <w:sz w:val="21"/>
          <w:szCs w:val="21"/>
        </w:rPr>
      </w:pPr>
      <w:r>
        <w:rPr>
          <w:rStyle w:val="lev"/>
          <w:rFonts w:ascii="IBM Plex Sans" w:hAnsi="IBM Plex Sans"/>
          <w:color w:val="1E1E1E"/>
          <w:sz w:val="21"/>
          <w:szCs w:val="21"/>
        </w:rPr>
        <w:t>Investissez 10 000 $ (investisseurs américains uniquement)</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Recevoir</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xml:space="preserve">* Souvenirs Trade </w:t>
      </w:r>
      <w:proofErr w:type="spellStart"/>
      <w:r>
        <w:rPr>
          <w:rFonts w:ascii="IBM Plex Sans" w:hAnsi="IBM Plex Sans"/>
          <w:color w:val="1E1E1E"/>
          <w:sz w:val="21"/>
          <w:szCs w:val="21"/>
        </w:rPr>
        <w:t>Algo</w:t>
      </w:r>
      <w:proofErr w:type="spellEnd"/>
      <w:r>
        <w:rPr>
          <w:rFonts w:ascii="IBM Plex Sans" w:hAnsi="IBM Plex Sans"/>
          <w:color w:val="1E1E1E"/>
          <w:sz w:val="21"/>
          <w:szCs w:val="21"/>
        </w:rPr>
        <w:t xml:space="preserve"> en édition limitée à 200 exemplaires </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Mises à jour trimestrielles pour les investisseurs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Soirée cocktail et charcuterie privée avec tous nos meilleurs investisseurs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Deux billets VIP pour l'événement Trade Live.</w:t>
      </w:r>
    </w:p>
    <w:p w:rsidR="00C61D88" w:rsidRDefault="00C61D88" w:rsidP="00C61D88">
      <w:pPr>
        <w:pStyle w:val="NormalWeb"/>
        <w:spacing w:before="0" w:beforeAutospacing="0" w:after="150" w:afterAutospacing="0"/>
        <w:rPr>
          <w:rFonts w:ascii="IBM Plex Sans" w:hAnsi="IBM Plex Sans"/>
          <w:color w:val="1E1E1E"/>
          <w:sz w:val="21"/>
          <w:szCs w:val="21"/>
        </w:rPr>
      </w:pPr>
      <w:r>
        <w:rPr>
          <w:rStyle w:val="lev"/>
          <w:rFonts w:ascii="IBM Plex Sans" w:hAnsi="IBM Plex Sans"/>
          <w:color w:val="1E1E1E"/>
          <w:sz w:val="21"/>
          <w:szCs w:val="21"/>
        </w:rPr>
        <w:t>Investissez 25 000 $ (investisseurs américains uniquement)</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Recevoir</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xml:space="preserve">* Souvenirs Trade </w:t>
      </w:r>
      <w:proofErr w:type="spellStart"/>
      <w:r>
        <w:rPr>
          <w:rFonts w:ascii="IBM Plex Sans" w:hAnsi="IBM Plex Sans"/>
          <w:color w:val="1E1E1E"/>
          <w:sz w:val="21"/>
          <w:szCs w:val="21"/>
        </w:rPr>
        <w:t>Algo</w:t>
      </w:r>
      <w:proofErr w:type="spellEnd"/>
      <w:r>
        <w:rPr>
          <w:rFonts w:ascii="IBM Plex Sans" w:hAnsi="IBM Plex Sans"/>
          <w:color w:val="1E1E1E"/>
          <w:sz w:val="21"/>
          <w:szCs w:val="21"/>
        </w:rPr>
        <w:t xml:space="preserve"> en édition limitée à 100 exemplaires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Mises à jour trimestrielles pour les investisseurs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Soirée cocktail et charcuterie privée avec tous nos meilleurs investisseurs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Deux billets VIP pour l'événement Trade Live.</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Appel zoom 1 sur 1 avec notre PDG pour discuter de la croissance. </w:t>
      </w:r>
    </w:p>
    <w:p w:rsidR="00C61D88" w:rsidRDefault="00C61D88" w:rsidP="00C61D88">
      <w:pPr>
        <w:pStyle w:val="NormalWeb"/>
        <w:spacing w:before="0" w:beforeAutospacing="0" w:after="150" w:afterAutospacing="0"/>
        <w:rPr>
          <w:rFonts w:ascii="IBM Plex Sans" w:hAnsi="IBM Plex Sans"/>
          <w:color w:val="1E1E1E"/>
          <w:sz w:val="21"/>
          <w:szCs w:val="21"/>
        </w:rPr>
      </w:pPr>
      <w:r>
        <w:rPr>
          <w:rStyle w:val="lev"/>
          <w:rFonts w:ascii="IBM Plex Sans" w:hAnsi="IBM Plex Sans"/>
          <w:color w:val="1E1E1E"/>
          <w:sz w:val="21"/>
          <w:szCs w:val="21"/>
        </w:rPr>
        <w:t>Investissez 50 000 $ (investisseurs américains uniquement)</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Recevoir</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Répertorié comme bailleur de fonds officiel sur la base Crunch. </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xml:space="preserve">* Souvenirs Trade </w:t>
      </w:r>
      <w:proofErr w:type="spellStart"/>
      <w:r>
        <w:rPr>
          <w:rFonts w:ascii="IBM Plex Sans" w:hAnsi="IBM Plex Sans"/>
          <w:color w:val="1E1E1E"/>
          <w:sz w:val="21"/>
          <w:szCs w:val="21"/>
        </w:rPr>
        <w:t>Algo</w:t>
      </w:r>
      <w:proofErr w:type="spellEnd"/>
      <w:r>
        <w:rPr>
          <w:rFonts w:ascii="IBM Plex Sans" w:hAnsi="IBM Plex Sans"/>
          <w:color w:val="1E1E1E"/>
          <w:sz w:val="21"/>
          <w:szCs w:val="21"/>
        </w:rPr>
        <w:t xml:space="preserve"> en édition limitée à 50 exemplaires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Mises à jour trimestrielles pour les investisseurs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Dîner en personne avec le PDG et les dirigeants lors d'un événement en direct.  </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Soirée cocktail et charcuterie privée avec tous nos meilleurs investisseurs</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Quatre billets VIP pour l'événement Trade Live.</w:t>
      </w:r>
    </w:p>
    <w:p w:rsidR="00C61D88" w:rsidRDefault="00C61D88" w:rsidP="00C61D88">
      <w:pPr>
        <w:pStyle w:val="NormalWeb"/>
        <w:spacing w:before="0" w:beforeAutospacing="0" w:after="150" w:afterAutospacing="0"/>
        <w:rPr>
          <w:rFonts w:ascii="IBM Plex Sans" w:hAnsi="IBM Plex Sans"/>
          <w:color w:val="1E1E1E"/>
          <w:sz w:val="21"/>
          <w:szCs w:val="21"/>
        </w:rPr>
      </w:pPr>
      <w:r>
        <w:rPr>
          <w:rStyle w:val="Accentuation"/>
          <w:rFonts w:ascii="IBM Plex Sans" w:hAnsi="IBM Plex Sans"/>
          <w:color w:val="1E1E1E"/>
          <w:sz w:val="21"/>
          <w:szCs w:val="21"/>
        </w:rPr>
        <w:t>*Tous les avantages se produisent lorsque l'offre est terminée.</w:t>
      </w:r>
    </w:p>
    <w:p w:rsidR="00C61D88" w:rsidRDefault="00C61D88" w:rsidP="00C61D88">
      <w:pPr>
        <w:pStyle w:val="NormalWeb"/>
        <w:spacing w:before="0" w:beforeAutospacing="0" w:after="150" w:afterAutospacing="0"/>
        <w:rPr>
          <w:rFonts w:ascii="IBM Plex Sans" w:hAnsi="IBM Plex Sans"/>
          <w:color w:val="1E1E1E"/>
          <w:sz w:val="21"/>
          <w:szCs w:val="21"/>
        </w:rPr>
      </w:pPr>
      <w:r>
        <w:rPr>
          <w:rStyle w:val="Accentuation"/>
          <w:rFonts w:ascii="IBM Plex Sans" w:hAnsi="IBM Plex Sans"/>
          <w:b/>
          <w:bCs/>
          <w:color w:val="1E1E1E"/>
          <w:sz w:val="21"/>
          <w:szCs w:val="21"/>
        </w:rPr>
        <w:t xml:space="preserve">Le bonus de 10 % pour les propriétaires de </w:t>
      </w:r>
      <w:proofErr w:type="spellStart"/>
      <w:r>
        <w:rPr>
          <w:rStyle w:val="Accentuation"/>
          <w:rFonts w:ascii="IBM Plex Sans" w:hAnsi="IBM Plex Sans"/>
          <w:b/>
          <w:bCs/>
          <w:color w:val="1E1E1E"/>
          <w:sz w:val="21"/>
          <w:szCs w:val="21"/>
        </w:rPr>
        <w:t>StartEngine</w:t>
      </w:r>
      <w:proofErr w:type="spellEnd"/>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xml:space="preserve">Trade </w:t>
      </w:r>
      <w:proofErr w:type="spellStart"/>
      <w:r>
        <w:rPr>
          <w:rFonts w:ascii="IBM Plex Sans" w:hAnsi="IBM Plex Sans"/>
          <w:color w:val="1E1E1E"/>
          <w:sz w:val="21"/>
          <w:szCs w:val="21"/>
        </w:rPr>
        <w:t>Algo</w:t>
      </w:r>
      <w:proofErr w:type="spellEnd"/>
      <w:r>
        <w:rPr>
          <w:rFonts w:ascii="IBM Plex Sans" w:hAnsi="IBM Plex Sans"/>
          <w:color w:val="1E1E1E"/>
          <w:sz w:val="21"/>
          <w:szCs w:val="21"/>
        </w:rPr>
        <w:t xml:space="preserve"> offrira 10 % d'actions supplémentaires </w:t>
      </w:r>
      <w:proofErr w:type="spellStart"/>
      <w:r>
        <w:rPr>
          <w:rFonts w:ascii="IBM Plex Sans" w:hAnsi="IBM Plex Sans"/>
          <w:color w:val="1E1E1E"/>
          <w:sz w:val="21"/>
          <w:szCs w:val="21"/>
        </w:rPr>
        <w:t>supplémentaires</w:t>
      </w:r>
      <w:proofErr w:type="spellEnd"/>
      <w:r>
        <w:rPr>
          <w:rFonts w:ascii="IBM Plex Sans" w:hAnsi="IBM Plex Sans"/>
          <w:color w:val="1E1E1E"/>
          <w:sz w:val="21"/>
          <w:szCs w:val="21"/>
        </w:rPr>
        <w:t xml:space="preserve"> pour tous les investissements engagés par des investisseurs éligibles au bonus de </w:t>
      </w:r>
      <w:proofErr w:type="spellStart"/>
      <w:r>
        <w:rPr>
          <w:rFonts w:ascii="IBM Plex Sans" w:hAnsi="IBM Plex Sans"/>
          <w:color w:val="1E1E1E"/>
          <w:sz w:val="21"/>
          <w:szCs w:val="21"/>
        </w:rPr>
        <w:t>StartEngine</w:t>
      </w:r>
      <w:proofErr w:type="spellEnd"/>
      <w:r>
        <w:rPr>
          <w:rFonts w:ascii="IBM Plex Sans" w:hAnsi="IBM Plex Sans"/>
          <w:color w:val="1E1E1E"/>
          <w:sz w:val="21"/>
          <w:szCs w:val="21"/>
        </w:rPr>
        <w:t xml:space="preserve"> </w:t>
      </w:r>
      <w:proofErr w:type="spellStart"/>
      <w:r>
        <w:rPr>
          <w:rFonts w:ascii="IBM Plex Sans" w:hAnsi="IBM Plex Sans"/>
          <w:color w:val="1E1E1E"/>
          <w:sz w:val="21"/>
          <w:szCs w:val="21"/>
        </w:rPr>
        <w:t>Crowdfunding</w:t>
      </w:r>
      <w:proofErr w:type="spellEnd"/>
      <w:r>
        <w:rPr>
          <w:rFonts w:ascii="IBM Plex Sans" w:hAnsi="IBM Plex Sans"/>
          <w:color w:val="1E1E1E"/>
          <w:sz w:val="21"/>
          <w:szCs w:val="21"/>
        </w:rPr>
        <w:t xml:space="preserve"> Inc. </w:t>
      </w:r>
      <w:proofErr w:type="spellStart"/>
      <w:r>
        <w:rPr>
          <w:rFonts w:ascii="IBM Plex Sans" w:hAnsi="IBM Plex Sans"/>
          <w:color w:val="1E1E1E"/>
          <w:sz w:val="21"/>
          <w:szCs w:val="21"/>
        </w:rPr>
        <w:t>OWNer</w:t>
      </w:r>
      <w:proofErr w:type="spellEnd"/>
      <w:r>
        <w:rPr>
          <w:rFonts w:ascii="IBM Plex Sans" w:hAnsi="IBM Plex Sans"/>
          <w:color w:val="1E1E1E"/>
          <w:sz w:val="21"/>
          <w:szCs w:val="21"/>
        </w:rPr>
        <w:t>.</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 xml:space="preserve">Cela signifie que les actionnaires éligibles de </w:t>
      </w:r>
      <w:proofErr w:type="spellStart"/>
      <w:r>
        <w:rPr>
          <w:rFonts w:ascii="IBM Plex Sans" w:hAnsi="IBM Plex Sans"/>
          <w:color w:val="1E1E1E"/>
          <w:sz w:val="21"/>
          <w:szCs w:val="21"/>
        </w:rPr>
        <w:t>StartEngine</w:t>
      </w:r>
      <w:proofErr w:type="spellEnd"/>
      <w:r>
        <w:rPr>
          <w:rFonts w:ascii="IBM Plex Sans" w:hAnsi="IBM Plex Sans"/>
          <w:color w:val="1E1E1E"/>
          <w:sz w:val="21"/>
          <w:szCs w:val="21"/>
        </w:rPr>
        <w:t xml:space="preserve"> recevront un bonus de 10% pour toutes les actions qu'ils achètent dans le cadre de cette offre. Par exemple, si vous achetez 100 actions ordinaires à 4,00 $ / action, vous recevrez 110 actions ordinaires, ce qui signifie que vous posséderez 110 actions pour </w:t>
      </w:r>
      <w:r>
        <w:rPr>
          <w:rFonts w:ascii="IBM Plex Sans" w:hAnsi="IBM Plex Sans"/>
          <w:color w:val="1E1E1E"/>
          <w:sz w:val="21"/>
          <w:szCs w:val="21"/>
        </w:rPr>
        <w:lastRenderedPageBreak/>
        <w:t>400 $. Les fractions d'actions ne seront pas distribuées et les primes d'actions seront déterminées en arrondissant à l'action entière la plus proche.</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Ce Bonus de 10% n'est valable que pendant la période d'éligibilité des investisseurs. Les investisseurs éligibles à ce bonus auront également la priorité s'ils sont sur une liste d'attente pour investir et si l'entreprise dépasse son objectif de financement maximum. Ils auront la première opportunité d'investir si une place dans l'offre devient disponible si des investissements antérieurs sont annulés ou échouent.</w:t>
      </w:r>
    </w:p>
    <w:p w:rsidR="00C61D88" w:rsidRDefault="00C61D88" w:rsidP="00C61D88">
      <w:pPr>
        <w:pStyle w:val="NormalWeb"/>
        <w:spacing w:before="0" w:beforeAutospacing="0" w:after="150" w:afterAutospacing="0"/>
        <w:rPr>
          <w:rFonts w:ascii="IBM Plex Sans" w:hAnsi="IBM Plex Sans"/>
          <w:color w:val="1E1E1E"/>
          <w:sz w:val="21"/>
          <w:szCs w:val="21"/>
        </w:rPr>
      </w:pPr>
      <w:r>
        <w:rPr>
          <w:rFonts w:ascii="IBM Plex Sans" w:hAnsi="IBM Plex Sans"/>
          <w:color w:val="1E1E1E"/>
          <w:sz w:val="21"/>
          <w:szCs w:val="21"/>
        </w:rPr>
        <w:t>Les investisseurs recevront le bonus unique le plus élevé auquel ils sont éligibles parmi les bonus en fonction du montant investi et du temps d'offre écoulé (le cas échéant). Les investisseurs éligibles recevront également le bonus du propriétaire en plus du bonus susmentionné.</w:t>
      </w:r>
    </w:p>
    <w:p w:rsidR="00C61D88" w:rsidRDefault="00C61D88" w:rsidP="00C61D88">
      <w:pPr>
        <w:pStyle w:val="Titre4"/>
        <w:spacing w:before="150" w:after="150"/>
        <w:jc w:val="center"/>
        <w:rPr>
          <w:rFonts w:ascii="IBM Plex Sans" w:hAnsi="IBM Plex Sans"/>
          <w:color w:val="1E1E1E"/>
          <w:sz w:val="30"/>
          <w:szCs w:val="30"/>
        </w:rPr>
      </w:pPr>
      <w:r>
        <w:rPr>
          <w:rFonts w:ascii="IBM Plex Sans" w:hAnsi="IBM Plex Sans"/>
          <w:b/>
          <w:bCs/>
          <w:color w:val="1E1E1E"/>
          <w:sz w:val="30"/>
          <w:szCs w:val="30"/>
        </w:rPr>
        <w:t>Utilisation irrégulière du produit</w:t>
      </w:r>
    </w:p>
    <w:p w:rsidR="00C61D88" w:rsidRDefault="00C61D88" w:rsidP="00C61D88">
      <w:pPr>
        <w:rPr>
          <w:rFonts w:ascii="IBM Plex Sans" w:hAnsi="IBM Plex Sans"/>
          <w:color w:val="1E1E1E"/>
          <w:sz w:val="21"/>
          <w:szCs w:val="21"/>
        </w:rPr>
      </w:pPr>
      <w:r>
        <w:rPr>
          <w:rFonts w:ascii="IBM Plex Sans" w:hAnsi="IBM Plex Sans"/>
          <w:color w:val="1E1E1E"/>
          <w:sz w:val="21"/>
          <w:szCs w:val="21"/>
        </w:rPr>
        <w:t>La Société peut subir une utilisation irrégulière des produits qui peut inclure, mais sans s'y limiter, les éléments suivants supérieurs à 10 000 USD : les paiements des fournisseurs</w:t>
      </w:r>
    </w:p>
    <w:p w:rsidR="00C61D88" w:rsidRDefault="00C61D88">
      <w:bookmarkStart w:id="0" w:name="_GoBack"/>
      <w:bookmarkEnd w:id="0"/>
    </w:p>
    <w:sectPr w:rsidR="00C61D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5D"/>
    <w:rsid w:val="00AD4F4C"/>
    <w:rsid w:val="00C61D88"/>
    <w:rsid w:val="00D50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A54F"/>
  <w15:chartTrackingRefBased/>
  <w15:docId w15:val="{E9045F53-B688-4438-A280-53D1BB47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61D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C61D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1D88"/>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semiHidden/>
    <w:rsid w:val="00C61D8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1D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61D88"/>
    <w:rPr>
      <w:b/>
      <w:bCs/>
    </w:rPr>
  </w:style>
  <w:style w:type="character" w:styleId="Accentuation">
    <w:name w:val="Emphasis"/>
    <w:basedOn w:val="Policepardfaut"/>
    <w:uiPriority w:val="20"/>
    <w:qFormat/>
    <w:rsid w:val="00C61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7339">
      <w:bodyDiv w:val="1"/>
      <w:marLeft w:val="0"/>
      <w:marRight w:val="0"/>
      <w:marTop w:val="0"/>
      <w:marBottom w:val="0"/>
      <w:divBdr>
        <w:top w:val="none" w:sz="0" w:space="0" w:color="auto"/>
        <w:left w:val="none" w:sz="0" w:space="0" w:color="auto"/>
        <w:bottom w:val="none" w:sz="0" w:space="0" w:color="auto"/>
        <w:right w:val="none" w:sz="0" w:space="0" w:color="auto"/>
      </w:divBdr>
      <w:divsChild>
        <w:div w:id="636423732">
          <w:marLeft w:val="0"/>
          <w:marRight w:val="0"/>
          <w:marTop w:val="0"/>
          <w:marBottom w:val="0"/>
          <w:divBdr>
            <w:top w:val="none" w:sz="0" w:space="0" w:color="auto"/>
            <w:left w:val="none" w:sz="0" w:space="0" w:color="auto"/>
            <w:bottom w:val="none" w:sz="0" w:space="0" w:color="auto"/>
            <w:right w:val="none" w:sz="0" w:space="0" w:color="auto"/>
          </w:divBdr>
        </w:div>
        <w:div w:id="1611086933">
          <w:marLeft w:val="0"/>
          <w:marRight w:val="0"/>
          <w:marTop w:val="0"/>
          <w:marBottom w:val="0"/>
          <w:divBdr>
            <w:top w:val="none" w:sz="0" w:space="0" w:color="auto"/>
            <w:left w:val="none" w:sz="0" w:space="0" w:color="auto"/>
            <w:bottom w:val="none" w:sz="0" w:space="0" w:color="auto"/>
            <w:right w:val="none" w:sz="0" w:space="0" w:color="auto"/>
          </w:divBdr>
        </w:div>
      </w:divsChild>
    </w:div>
    <w:div w:id="656543666">
      <w:bodyDiv w:val="1"/>
      <w:marLeft w:val="0"/>
      <w:marRight w:val="0"/>
      <w:marTop w:val="0"/>
      <w:marBottom w:val="0"/>
      <w:divBdr>
        <w:top w:val="none" w:sz="0" w:space="0" w:color="auto"/>
        <w:left w:val="none" w:sz="0" w:space="0" w:color="auto"/>
        <w:bottom w:val="none" w:sz="0" w:space="0" w:color="auto"/>
        <w:right w:val="none" w:sz="0" w:space="0" w:color="auto"/>
      </w:divBdr>
      <w:divsChild>
        <w:div w:id="1023630343">
          <w:marLeft w:val="0"/>
          <w:marRight w:val="0"/>
          <w:marTop w:val="0"/>
          <w:marBottom w:val="0"/>
          <w:divBdr>
            <w:top w:val="none" w:sz="0" w:space="0" w:color="auto"/>
            <w:left w:val="none" w:sz="0" w:space="0" w:color="auto"/>
            <w:bottom w:val="none" w:sz="0" w:space="0" w:color="auto"/>
            <w:right w:val="none" w:sz="0" w:space="0" w:color="auto"/>
          </w:divBdr>
          <w:divsChild>
            <w:div w:id="283387081">
              <w:marLeft w:val="0"/>
              <w:marRight w:val="0"/>
              <w:marTop w:val="0"/>
              <w:marBottom w:val="0"/>
              <w:divBdr>
                <w:top w:val="none" w:sz="0" w:space="0" w:color="auto"/>
                <w:left w:val="none" w:sz="0" w:space="0" w:color="auto"/>
                <w:bottom w:val="none" w:sz="0" w:space="0" w:color="auto"/>
                <w:right w:val="none" w:sz="0" w:space="0" w:color="auto"/>
              </w:divBdr>
              <w:divsChild>
                <w:div w:id="1103722635">
                  <w:marLeft w:val="0"/>
                  <w:marRight w:val="0"/>
                  <w:marTop w:val="0"/>
                  <w:marBottom w:val="0"/>
                  <w:divBdr>
                    <w:top w:val="none" w:sz="0" w:space="0" w:color="auto"/>
                    <w:left w:val="none" w:sz="0" w:space="0" w:color="auto"/>
                    <w:bottom w:val="none" w:sz="0" w:space="0" w:color="auto"/>
                    <w:right w:val="none" w:sz="0" w:space="0" w:color="auto"/>
                  </w:divBdr>
                </w:div>
              </w:divsChild>
            </w:div>
            <w:div w:id="1732271054">
              <w:marLeft w:val="0"/>
              <w:marRight w:val="0"/>
              <w:marTop w:val="0"/>
              <w:marBottom w:val="0"/>
              <w:divBdr>
                <w:top w:val="none" w:sz="0" w:space="0" w:color="auto"/>
                <w:left w:val="none" w:sz="0" w:space="0" w:color="auto"/>
                <w:bottom w:val="none" w:sz="0" w:space="0" w:color="auto"/>
                <w:right w:val="none" w:sz="0" w:space="0" w:color="auto"/>
              </w:divBdr>
              <w:divsChild>
                <w:div w:id="1461916599">
                  <w:marLeft w:val="0"/>
                  <w:marRight w:val="0"/>
                  <w:marTop w:val="0"/>
                  <w:marBottom w:val="0"/>
                  <w:divBdr>
                    <w:top w:val="none" w:sz="0" w:space="0" w:color="auto"/>
                    <w:left w:val="none" w:sz="0" w:space="0" w:color="auto"/>
                    <w:bottom w:val="none" w:sz="0" w:space="0" w:color="auto"/>
                    <w:right w:val="none" w:sz="0" w:space="0" w:color="auto"/>
                  </w:divBdr>
                </w:div>
              </w:divsChild>
            </w:div>
            <w:div w:id="2006474567">
              <w:marLeft w:val="0"/>
              <w:marRight w:val="0"/>
              <w:marTop w:val="0"/>
              <w:marBottom w:val="0"/>
              <w:divBdr>
                <w:top w:val="none" w:sz="0" w:space="0" w:color="auto"/>
                <w:left w:val="none" w:sz="0" w:space="0" w:color="auto"/>
                <w:bottom w:val="none" w:sz="0" w:space="0" w:color="auto"/>
                <w:right w:val="none" w:sz="0" w:space="0" w:color="auto"/>
              </w:divBdr>
              <w:divsChild>
                <w:div w:id="426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968</Words>
  <Characters>5326</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Inclusiv05 CDAN</dc:creator>
  <cp:keywords/>
  <dc:description/>
  <cp:lastModifiedBy>Inclusiv05 CDAN</cp:lastModifiedBy>
  <cp:revision>2</cp:revision>
  <dcterms:created xsi:type="dcterms:W3CDTF">2022-09-03T11:14:00Z</dcterms:created>
  <dcterms:modified xsi:type="dcterms:W3CDTF">2022-09-03T11:19:00Z</dcterms:modified>
</cp:coreProperties>
</file>