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40"/>
        <w:jc w:val="center"/>
      </w:pPr>
      <w:r>
        <w:rPr>
          <w:rFonts w:ascii="Arial" w:cs="Arial" w:eastAsia="Arial" w:hAnsi="Arial"/>
          <w:b/>
          <w:bCs/>
          <w:color w:val="1F3864"/>
          <w:sz w:val="52"/>
          <w:szCs w:val="52"/>
        </w:rPr>
        <w:t xml:space="preserve">AInnovate Inc.</w:t>
      </w:r>
    </w:p>
    <w:p>
      <w:pPr>
        <w:spacing w:after="200"/>
        <w:jc w:val="center"/>
      </w:pPr>
      <w:r>
        <w:rPr>
          <w:rFonts w:ascii="Arial" w:cs="Arial" w:eastAsia="Arial" w:hAnsi="Arial"/>
          <w:b/>
          <w:bCs/>
          <w:color w:val="2E75B6"/>
          <w:sz w:val="40"/>
          <w:szCs w:val="40"/>
        </w:rPr>
        <w:t xml:space="preserve">Artificial Intelligence Governance Policy</w:t>
      </w:r>
    </w:p>
    <w:p>
      <w:pPr>
        <w:pBdr>
          <w:bottom w:val="single" w:color="2E75B6" w:sz="8" w:space="2"/>
        </w:pBdr>
        <w:spacing w:after="300"/>
        <w:jc w:val="center"/>
      </w:pPr>
      <w:r>
        <w:t xml:space="preserve"/>
      </w:r>
    </w:p>
    <w:p>
      <w:pPr>
        <w:spacing w:after="3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Number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AIN-GOV-001</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Version</w:t>
            </w:r>
          </w:p>
        </w:tc>
        <w:tc>
          <w:tcPr>
            <w:tcW w:type="dxa" w:w="3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color w:val="404040"/>
                <w:sz w:val="20"/>
                <w:szCs w:val="20"/>
              </w:rPr>
              <w:t xml:space="preserve">1.0</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Status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APPROVED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Effective Date</w:t>
            </w:r>
          </w:p>
        </w:tc>
        <w:tc>
          <w:tcPr>
            <w:tcW w:type="dxa" w:w="3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color w:val="404040"/>
                <w:sz w:val="20"/>
                <w:szCs w:val="20"/>
              </w:rPr>
              <w:t xml:space="preserve">01 February 2026</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Review Date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31 January 2027</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Owner</w:t>
            </w:r>
          </w:p>
        </w:tc>
        <w:tc>
          <w:tcPr>
            <w:tcW w:type="dxa" w:w="3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color w:val="404040"/>
                <w:sz w:val="20"/>
                <w:szCs w:val="20"/>
              </w:rPr>
              <w:t xml:space="preserve">AI Governance Committee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Prepared by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Mihir Trivedi, AI Governance Lead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Approved by</w:t>
            </w:r>
          </w:p>
        </w:tc>
        <w:tc>
          <w:tcPr>
            <w:tcW w:type="dxa" w:w="3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color w:val="404040"/>
                <w:sz w:val="20"/>
                <w:szCs w:val="20"/>
              </w:rPr>
              <w:t xml:space="preserve">Chief Product Officer (CPO)</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Classification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INTERNAL – CONFIDENTIAL</w:t>
            </w:r>
          </w:p>
        </w:tc>
      </w:tr>
    </w:tbl>
    <w:p>
      <w:pPr>
        <w:spacing w:after="400"/>
      </w:pPr>
      <w:r>
        <w:t xml:space="preserve"/>
      </w:r>
    </w:p>
    <w:p>
      <w:pPr>
        <w:jc w:val="center"/>
      </w:pPr>
      <w:r>
        <w:rPr>
          <w:rFonts w:ascii="Arial" w:cs="Arial" w:eastAsia="Arial" w:hAnsi="Arial"/>
          <w:b/>
          <w:bCs/>
          <w:i/>
          <w:iCs/>
          <w:color w:val="C00000"/>
          <w:sz w:val="18"/>
          <w:szCs w:val="18"/>
        </w:rPr>
        <w:t xml:space="preserve">CONFIDENTIAL – FOR INTERNAL USE ONLY</w:t>
      </w:r>
    </w:p>
    <w:p>
      <w:r>
        <w:br w:type="page"/>
      </w:r>
    </w:p>
    <w:p>
      <w:pPr>
        <w:pStyle w:val="Heading1"/>
        <w:spacing w:before="240" w:after="200"/>
      </w:pPr>
      <w:r>
        <w:rPr>
          <w:rFonts w:ascii="Arial" w:cs="Arial" w:eastAsia="Arial" w:hAnsi="Arial"/>
          <w:b/>
          <w:bCs/>
          <w:color w:val="1F3864"/>
          <w:sz w:val="32"/>
          <w:szCs w:val="32"/>
        </w:rPr>
        <w:t xml:space="preserve">Document Control</w:t>
      </w:r>
    </w:p>
    <w:p>
      <w:pPr>
        <w:pBdr>
          <w:bottom w:val="single" w:color="2E75B6" w:sz="6" w:space="1"/>
        </w:pBdr>
        <w:spacing w:after="200"/>
      </w:pPr>
      <w:r>
        <w:t xml:space="preserve"/>
      </w:r>
    </w:p>
    <w:p>
      <w:pPr>
        <w:pStyle w:val="Heading2"/>
        <w:spacing w:before="200" w:after="120"/>
      </w:pPr>
      <w:r>
        <w:rPr>
          <w:rFonts w:ascii="Arial" w:cs="Arial" w:eastAsia="Arial" w:hAnsi="Arial"/>
          <w:b/>
          <w:bCs/>
          <w:color w:val="2E75B6"/>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2000"/>
        <w:gridCol w:w="2760"/>
      </w:tblGrid>
      <w:tr>
        <w:tc>
          <w:tcPr>
            <w:tcW w:type="dxa" w:w="1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Reviewed By</w:t>
            </w:r>
          </w:p>
        </w:tc>
        <w:tc>
          <w:tcPr>
            <w:tcW w:type="dxa" w:w="27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1.0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01 Feb 2026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Mihir Trivedi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AI Governance Committee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Initial release</w:t>
            </w:r>
          </w:p>
        </w:tc>
      </w:tr>
    </w:tbl>
    <w:p>
      <w:pPr>
        <w:spacing w:after="200"/>
      </w:pPr>
      <w:r>
        <w:t xml:space="preserve"/>
      </w:r>
    </w:p>
    <w:p>
      <w:pPr>
        <w:pStyle w:val="Heading2"/>
        <w:spacing w:before="200" w:after="120"/>
      </w:pPr>
      <w:r>
        <w:rPr>
          <w:rFonts w:ascii="Arial" w:cs="Arial" w:eastAsia="Arial" w:hAnsi="Arial"/>
          <w:b/>
          <w:bCs/>
          <w:color w:val="2E75B6"/>
          <w:sz w:val="26"/>
          <w:szCs w:val="26"/>
        </w:rPr>
        <w:t xml:space="preserve">Distribution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31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Name / Title</w:t>
            </w:r>
          </w:p>
        </w:tc>
        <w:tc>
          <w:tcPr>
            <w:tcW w:type="dxa" w:w="31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CPO</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Chief Product Officer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Approved</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CTO</w:t>
            </w:r>
          </w:p>
        </w:tc>
        <w:tc>
          <w:tcPr>
            <w:tcW w:type="dxa" w:w="312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Chief Technology Officer</w:t>
            </w:r>
          </w:p>
        </w:tc>
        <w:tc>
          <w:tcPr>
            <w:tcW w:type="dxa" w:w="312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Reviewed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CLO</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Chief Legal Officer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Reviewed</w:t>
            </w:r>
          </w:p>
        </w:tc>
      </w:tr>
      <w:tr>
        <w:tc>
          <w:tcPr>
            <w:tcW w:type="dxa" w:w="312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CDO</w:t>
            </w:r>
          </w:p>
        </w:tc>
        <w:tc>
          <w:tcPr>
            <w:tcW w:type="dxa" w:w="312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Chief Data Officer</w:t>
            </w:r>
          </w:p>
        </w:tc>
        <w:tc>
          <w:tcPr>
            <w:tcW w:type="dxa" w:w="312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Reviewed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AI Governance Lead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Mihir Trivedi</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Prepared</w:t>
            </w:r>
          </w:p>
        </w:tc>
      </w:tr>
    </w:tbl>
    <w:p>
      <w:r>
        <w:br w:type="page"/>
      </w:r>
    </w:p>
    <w:p>
      <w:pPr>
        <w:pStyle w:val="Heading1"/>
        <w:spacing w:before="240" w:after="200"/>
      </w:pPr>
      <w:r>
        <w:rPr>
          <w:rFonts w:ascii="Arial" w:cs="Arial" w:eastAsia="Arial" w:hAnsi="Arial"/>
          <w:b/>
          <w:bCs/>
          <w:color w:val="1F3864"/>
          <w:sz w:val="32"/>
          <w:szCs w:val="32"/>
        </w:rPr>
        <w:t xml:space="preserve">Table of Contents</w:t>
      </w:r>
    </w:p>
    <w:p>
      <w:pPr>
        <w:pBdr>
          <w:bottom w:val="single" w:color="2E75B6" w:sz="6" w:space="1"/>
        </w:pBdr>
        <w:spacing w:after="200"/>
      </w:pPr>
      <w:r>
        <w:t xml:space="preserve"/>
      </w:r>
    </w:p>
    <w:p>
      <w:pPr>
        <w:tabs>
          <w:tab w:val="right" w:pos="9000"/>
        </w:tabs>
        <w:spacing w:after="80"/>
      </w:pPr>
      <w:r>
        <w:rPr>
          <w:rFonts w:ascii="Arial" w:cs="Arial" w:eastAsia="Arial" w:hAnsi="Arial"/>
          <w:color w:val="404040"/>
          <w:sz w:val="22"/>
          <w:szCs w:val="22"/>
        </w:rPr>
        <w:t xml:space="preserve">1.  Purpose and Scope</w:t>
      </w:r>
      <w:r>
        <w:rPr>
          <w:rFonts w:ascii="Arial" w:cs="Arial" w:eastAsia="Arial" w:hAnsi="Arial"/>
          <w:color w:val="404040"/>
          <w:sz w:val="22"/>
          <w:szCs w:val="22"/>
        </w:rPr>
        <w:t xml:space="preserve">	4</w:t>
      </w:r>
    </w:p>
    <w:p>
      <w:pPr>
        <w:tabs>
          <w:tab w:val="right" w:pos="9000"/>
        </w:tabs>
        <w:spacing w:after="80"/>
      </w:pPr>
      <w:r>
        <w:rPr>
          <w:rFonts w:ascii="Arial" w:cs="Arial" w:eastAsia="Arial" w:hAnsi="Arial"/>
          <w:color w:val="404040"/>
          <w:sz w:val="22"/>
          <w:szCs w:val="22"/>
        </w:rPr>
        <w:t xml:space="preserve">2.  Definitions and Abbreviations</w:t>
      </w:r>
      <w:r>
        <w:rPr>
          <w:rFonts w:ascii="Arial" w:cs="Arial" w:eastAsia="Arial" w:hAnsi="Arial"/>
          <w:color w:val="404040"/>
          <w:sz w:val="22"/>
          <w:szCs w:val="22"/>
        </w:rPr>
        <w:t xml:space="preserve">	4</w:t>
      </w:r>
    </w:p>
    <w:p>
      <w:pPr>
        <w:tabs>
          <w:tab w:val="right" w:pos="9000"/>
        </w:tabs>
        <w:spacing w:after="80"/>
      </w:pPr>
      <w:r>
        <w:rPr>
          <w:rFonts w:ascii="Arial" w:cs="Arial" w:eastAsia="Arial" w:hAnsi="Arial"/>
          <w:color w:val="404040"/>
          <w:sz w:val="22"/>
          <w:szCs w:val="22"/>
        </w:rPr>
        <w:t xml:space="preserve">3.  Guiding Principles</w:t>
      </w:r>
      <w:r>
        <w:rPr>
          <w:rFonts w:ascii="Arial" w:cs="Arial" w:eastAsia="Arial" w:hAnsi="Arial"/>
          <w:color w:val="404040"/>
          <w:sz w:val="22"/>
          <w:szCs w:val="22"/>
        </w:rPr>
        <w:t xml:space="preserve">	5</w:t>
      </w:r>
    </w:p>
    <w:p>
      <w:pPr>
        <w:tabs>
          <w:tab w:val="right" w:pos="9000"/>
        </w:tabs>
        <w:spacing w:after="80"/>
      </w:pPr>
      <w:r>
        <w:rPr>
          <w:rFonts w:ascii="Arial" w:cs="Arial" w:eastAsia="Arial" w:hAnsi="Arial"/>
          <w:color w:val="404040"/>
          <w:sz w:val="22"/>
          <w:szCs w:val="22"/>
        </w:rPr>
        <w:t xml:space="preserve">4.  Governance Structure and Roles</w:t>
      </w:r>
      <w:r>
        <w:rPr>
          <w:rFonts w:ascii="Arial" w:cs="Arial" w:eastAsia="Arial" w:hAnsi="Arial"/>
          <w:color w:val="404040"/>
          <w:sz w:val="22"/>
          <w:szCs w:val="22"/>
        </w:rPr>
        <w:t xml:space="preserve">	6</w:t>
      </w:r>
    </w:p>
    <w:p>
      <w:pPr>
        <w:tabs>
          <w:tab w:val="right" w:pos="9000"/>
        </w:tabs>
        <w:spacing w:after="80"/>
      </w:pPr>
      <w:r>
        <w:rPr>
          <w:rFonts w:ascii="Arial" w:cs="Arial" w:eastAsia="Arial" w:hAnsi="Arial"/>
          <w:color w:val="404040"/>
          <w:sz w:val="22"/>
          <w:szCs w:val="22"/>
        </w:rPr>
        <w:t xml:space="preserve">5.  Model Risk Management</w:t>
      </w:r>
      <w:r>
        <w:rPr>
          <w:rFonts w:ascii="Arial" w:cs="Arial" w:eastAsia="Arial" w:hAnsi="Arial"/>
          <w:color w:val="404040"/>
          <w:sz w:val="22"/>
          <w:szCs w:val="22"/>
        </w:rPr>
        <w:t xml:space="preserve">	8</w:t>
      </w:r>
    </w:p>
    <w:p>
      <w:pPr>
        <w:tabs>
          <w:tab w:val="right" w:pos="9000"/>
        </w:tabs>
        <w:spacing w:after="80"/>
      </w:pPr>
      <w:r>
        <w:rPr>
          <w:rFonts w:ascii="Arial" w:cs="Arial" w:eastAsia="Arial" w:hAnsi="Arial"/>
          <w:color w:val="404040"/>
          <w:sz w:val="22"/>
          <w:szCs w:val="22"/>
        </w:rPr>
        <w:t xml:space="preserve">6.  Data Privacy and Protection</w:t>
      </w:r>
      <w:r>
        <w:rPr>
          <w:rFonts w:ascii="Arial" w:cs="Arial" w:eastAsia="Arial" w:hAnsi="Arial"/>
          <w:color w:val="404040"/>
          <w:sz w:val="22"/>
          <w:szCs w:val="22"/>
        </w:rPr>
        <w:t xml:space="preserve">	9</w:t>
      </w:r>
    </w:p>
    <w:p>
      <w:pPr>
        <w:tabs>
          <w:tab w:val="right" w:pos="9000"/>
        </w:tabs>
        <w:spacing w:after="80"/>
      </w:pPr>
      <w:r>
        <w:rPr>
          <w:rFonts w:ascii="Arial" w:cs="Arial" w:eastAsia="Arial" w:hAnsi="Arial"/>
          <w:color w:val="404040"/>
          <w:sz w:val="22"/>
          <w:szCs w:val="22"/>
        </w:rPr>
        <w:t xml:space="preserve">7.  Bias and Fairness</w:t>
      </w:r>
      <w:r>
        <w:rPr>
          <w:rFonts w:ascii="Arial" w:cs="Arial" w:eastAsia="Arial" w:hAnsi="Arial"/>
          <w:color w:val="404040"/>
          <w:sz w:val="22"/>
          <w:szCs w:val="22"/>
        </w:rPr>
        <w:t xml:space="preserve">	10</w:t>
      </w:r>
    </w:p>
    <w:p>
      <w:pPr>
        <w:tabs>
          <w:tab w:val="right" w:pos="9000"/>
        </w:tabs>
        <w:spacing w:after="80"/>
      </w:pPr>
      <w:r>
        <w:rPr>
          <w:rFonts w:ascii="Arial" w:cs="Arial" w:eastAsia="Arial" w:hAnsi="Arial"/>
          <w:color w:val="404040"/>
          <w:sz w:val="22"/>
          <w:szCs w:val="22"/>
        </w:rPr>
        <w:t xml:space="preserve">8.  Transparency and Explainability</w:t>
      </w:r>
      <w:r>
        <w:rPr>
          <w:rFonts w:ascii="Arial" w:cs="Arial" w:eastAsia="Arial" w:hAnsi="Arial"/>
          <w:color w:val="404040"/>
          <w:sz w:val="22"/>
          <w:szCs w:val="22"/>
        </w:rPr>
        <w:t xml:space="preserve">	11</w:t>
      </w:r>
    </w:p>
    <w:p>
      <w:pPr>
        <w:tabs>
          <w:tab w:val="right" w:pos="9000"/>
        </w:tabs>
        <w:spacing w:after="80"/>
      </w:pPr>
      <w:r>
        <w:rPr>
          <w:rFonts w:ascii="Arial" w:cs="Arial" w:eastAsia="Arial" w:hAnsi="Arial"/>
          <w:color w:val="404040"/>
          <w:sz w:val="22"/>
          <w:szCs w:val="22"/>
        </w:rPr>
        <w:t xml:space="preserve">9.  AI Incident Response</w:t>
      </w:r>
      <w:r>
        <w:rPr>
          <w:rFonts w:ascii="Arial" w:cs="Arial" w:eastAsia="Arial" w:hAnsi="Arial"/>
          <w:color w:val="404040"/>
          <w:sz w:val="22"/>
          <w:szCs w:val="22"/>
        </w:rPr>
        <w:t xml:space="preserve">	12</w:t>
      </w:r>
    </w:p>
    <w:p>
      <w:pPr>
        <w:tabs>
          <w:tab w:val="right" w:pos="9000"/>
        </w:tabs>
        <w:spacing w:after="80"/>
      </w:pPr>
      <w:r>
        <w:rPr>
          <w:rFonts w:ascii="Arial" w:cs="Arial" w:eastAsia="Arial" w:hAnsi="Arial"/>
          <w:color w:val="404040"/>
          <w:sz w:val="22"/>
          <w:szCs w:val="22"/>
        </w:rPr>
        <w:t xml:space="preserve">10.  Compliance and Regulatory Alignment</w:t>
      </w:r>
      <w:r>
        <w:rPr>
          <w:rFonts w:ascii="Arial" w:cs="Arial" w:eastAsia="Arial" w:hAnsi="Arial"/>
          <w:color w:val="404040"/>
          <w:sz w:val="22"/>
          <w:szCs w:val="22"/>
        </w:rPr>
        <w:t xml:space="preserve">	13</w:t>
      </w:r>
    </w:p>
    <w:p>
      <w:pPr>
        <w:tabs>
          <w:tab w:val="right" w:pos="9000"/>
        </w:tabs>
        <w:spacing w:after="80"/>
      </w:pPr>
      <w:r>
        <w:rPr>
          <w:rFonts w:ascii="Arial" w:cs="Arial" w:eastAsia="Arial" w:hAnsi="Arial"/>
          <w:color w:val="404040"/>
          <w:sz w:val="22"/>
          <w:szCs w:val="22"/>
        </w:rPr>
        <w:t xml:space="preserve">11.  Policy Enforcement and Exceptions</w:t>
      </w:r>
      <w:r>
        <w:rPr>
          <w:rFonts w:ascii="Arial" w:cs="Arial" w:eastAsia="Arial" w:hAnsi="Arial"/>
          <w:color w:val="404040"/>
          <w:sz w:val="22"/>
          <w:szCs w:val="22"/>
        </w:rPr>
        <w:t xml:space="preserve">	14</w:t>
      </w:r>
    </w:p>
    <w:p>
      <w:pPr>
        <w:tabs>
          <w:tab w:val="right" w:pos="9000"/>
        </w:tabs>
        <w:spacing w:after="80"/>
      </w:pPr>
      <w:r>
        <w:rPr>
          <w:rFonts w:ascii="Arial" w:cs="Arial" w:eastAsia="Arial" w:hAnsi="Arial"/>
          <w:color w:val="404040"/>
          <w:sz w:val="22"/>
          <w:szCs w:val="22"/>
        </w:rPr>
        <w:t xml:space="preserve">12.  Review and Continuous Improvement</w:t>
      </w:r>
      <w:r>
        <w:rPr>
          <w:rFonts w:ascii="Arial" w:cs="Arial" w:eastAsia="Arial" w:hAnsi="Arial"/>
          <w:color w:val="404040"/>
          <w:sz w:val="22"/>
          <w:szCs w:val="22"/>
        </w:rPr>
        <w:t xml:space="preserve">	14</w:t>
      </w:r>
    </w:p>
    <w:p>
      <w:pPr>
        <w:tabs>
          <w:tab w:val="right" w:pos="9000"/>
        </w:tabs>
        <w:spacing w:after="80"/>
      </w:pPr>
      <w:r>
        <w:rPr>
          <w:rFonts w:ascii="Arial" w:cs="Arial" w:eastAsia="Arial" w:hAnsi="Arial"/>
          <w:color w:val="404040"/>
          <w:sz w:val="22"/>
          <w:szCs w:val="22"/>
        </w:rPr>
        <w:t xml:space="preserve">Appendix A  NIST AI RMF &amp; ISO 42001 Mapping</w:t>
      </w:r>
      <w:r>
        <w:rPr>
          <w:rFonts w:ascii="Arial" w:cs="Arial" w:eastAsia="Arial" w:hAnsi="Arial"/>
          <w:color w:val="404040"/>
          <w:sz w:val="22"/>
          <w:szCs w:val="22"/>
        </w:rPr>
        <w:t xml:space="preserve">	15</w:t>
      </w:r>
    </w:p>
    <w:p>
      <w:pPr>
        <w:tabs>
          <w:tab w:val="right" w:pos="9000"/>
        </w:tabs>
        <w:spacing w:after="80"/>
      </w:pPr>
      <w:r>
        <w:rPr>
          <w:rFonts w:ascii="Arial" w:cs="Arial" w:eastAsia="Arial" w:hAnsi="Arial"/>
          <w:color w:val="404040"/>
          <w:sz w:val="22"/>
          <w:szCs w:val="22"/>
        </w:rPr>
        <w:t xml:space="preserve">Appendix B  AI Governance Committee Charter</w:t>
      </w:r>
      <w:r>
        <w:rPr>
          <w:rFonts w:ascii="Arial" w:cs="Arial" w:eastAsia="Arial" w:hAnsi="Arial"/>
          <w:color w:val="404040"/>
          <w:sz w:val="22"/>
          <w:szCs w:val="22"/>
        </w:rPr>
        <w:t xml:space="preserve">	16</w:t>
      </w:r>
    </w:p>
    <w:p>
      <w:pPr>
        <w:tabs>
          <w:tab w:val="right" w:pos="9000"/>
        </w:tabs>
        <w:spacing w:after="80"/>
      </w:pPr>
      <w:r>
        <w:rPr>
          <w:rFonts w:ascii="Arial" w:cs="Arial" w:eastAsia="Arial" w:hAnsi="Arial"/>
          <w:color w:val="404040"/>
          <w:sz w:val="22"/>
          <w:szCs w:val="22"/>
        </w:rPr>
        <w:t xml:space="preserve">Appendix C  Glossary of AI Terms</w:t>
      </w:r>
      <w:r>
        <w:rPr>
          <w:rFonts w:ascii="Arial" w:cs="Arial" w:eastAsia="Arial" w:hAnsi="Arial"/>
          <w:color w:val="404040"/>
          <w:sz w:val="22"/>
          <w:szCs w:val="22"/>
        </w:rPr>
        <w:t xml:space="preserve">	17</w:t>
      </w:r>
    </w:p>
    <w:p>
      <w:r>
        <w:br w:type="page"/>
      </w:r>
    </w:p>
    <w:p>
      <w:pPr>
        <w:pStyle w:val="Heading1"/>
        <w:spacing w:before="240" w:after="200"/>
      </w:pPr>
      <w:r>
        <w:rPr>
          <w:rFonts w:ascii="Arial" w:cs="Arial" w:eastAsia="Arial" w:hAnsi="Arial"/>
          <w:b/>
          <w:bCs/>
          <w:color w:val="1F3864"/>
          <w:sz w:val="32"/>
          <w:szCs w:val="32"/>
        </w:rPr>
        <w:t xml:space="preserve">1.  Purpose and Scope</w:t>
      </w:r>
    </w:p>
    <w:p>
      <w:pPr>
        <w:pBdr>
          <w:bottom w:val="single" w:color="2E75B6" w:sz="6" w:space="1"/>
        </w:pBdr>
        <w:spacing w:after="200"/>
      </w:pPr>
      <w:r>
        <w:t xml:space="preserve"/>
      </w:r>
    </w:p>
    <w:p>
      <w:pPr>
        <w:pStyle w:val="Heading2"/>
        <w:spacing w:before="200" w:after="120"/>
      </w:pPr>
      <w:r>
        <w:rPr>
          <w:rFonts w:ascii="Arial" w:cs="Arial" w:eastAsia="Arial" w:hAnsi="Arial"/>
          <w:b/>
          <w:bCs/>
          <w:color w:val="2E75B6"/>
          <w:sz w:val="26"/>
          <w:szCs w:val="26"/>
        </w:rPr>
        <w:t xml:space="preserve">1.1  Purpose</w:t>
      </w:r>
    </w:p>
    <w:p>
      <w:pPr>
        <w:spacing w:after="120" w:line="276"/>
      </w:pPr>
      <w:r>
        <w:rPr>
          <w:rFonts w:ascii="Arial" w:cs="Arial" w:eastAsia="Arial" w:hAnsi="Arial"/>
          <w:color w:val="404040"/>
          <w:sz w:val="22"/>
          <w:szCs w:val="22"/>
        </w:rPr>
        <w:t xml:space="preserve">This AI Governance Policy ('Policy') establishes the principles, requirements, roles, and controls that govern the responsible development, deployment, and operation of artificial intelligence and machine learning ('AI/ML') systems at AInnovate Inc. ('AInnovate' or 'the Company').</w:t>
      </w:r>
    </w:p>
    <w:p>
      <w:pPr>
        <w:spacing w:after="120" w:line="276"/>
      </w:pPr>
      <w:r>
        <w:rPr>
          <w:rFonts w:ascii="Arial" w:cs="Arial" w:eastAsia="Arial" w:hAnsi="Arial"/>
          <w:color w:val="404040"/>
          <w:sz w:val="22"/>
          <w:szCs w:val="22"/>
        </w:rPr>
        <w:t xml:space="preserve">The Policy is designed to ensure that AI systems, including the Company's flagship generative AI product GenStudio, are developed and operated in a manner that is trustworthy, transparent, fair, accountable, and compliant with applicable laws and regulations.</w:t>
      </w:r>
    </w:p>
    <w:p>
      <w:pPr>
        <w:spacing w:after="120" w:line="276"/>
      </w:pPr>
      <w:r>
        <w:rPr>
          <w:rFonts w:ascii="Arial" w:cs="Arial" w:eastAsia="Arial" w:hAnsi="Arial"/>
          <w:color w:val="404040"/>
          <w:sz w:val="22"/>
          <w:szCs w:val="22"/>
        </w:rPr>
        <w:t xml:space="preserve">This Policy has been developed in alignment with:</w:t>
      </w:r>
    </w:p>
    <w:p>
      <w:pPr>
        <w:pStyle w:val="ListParagraph"/>
        <w:numPr>
          <w:ilvl w:val="0"/>
          <w:numId w:val="2"/>
        </w:numPr>
        <w:spacing w:after="80" w:line="264"/>
      </w:pPr>
      <w:r>
        <w:rPr>
          <w:rFonts w:ascii="Arial" w:cs="Arial" w:eastAsia="Arial" w:hAnsi="Arial"/>
          <w:b w:val="false"/>
          <w:bCs w:val="false"/>
          <w:color w:val="404040"/>
          <w:sz w:val="22"/>
          <w:szCs w:val="22"/>
        </w:rPr>
        <w:t xml:space="preserve">NIST Artificial Intelligence Risk Management Framework (AI RMF 1.0, January 2023)</w:t>
      </w:r>
    </w:p>
    <w:p>
      <w:pPr>
        <w:pStyle w:val="ListParagraph"/>
        <w:numPr>
          <w:ilvl w:val="0"/>
          <w:numId w:val="2"/>
        </w:numPr>
        <w:spacing w:after="80" w:line="264"/>
      </w:pPr>
      <w:r>
        <w:rPr>
          <w:rFonts w:ascii="Arial" w:cs="Arial" w:eastAsia="Arial" w:hAnsi="Arial"/>
          <w:b w:val="false"/>
          <w:bCs w:val="false"/>
          <w:color w:val="404040"/>
          <w:sz w:val="22"/>
          <w:szCs w:val="22"/>
        </w:rPr>
        <w:t xml:space="preserve">ISO/IEC 42001:2023 – Artificial Intelligence Management System (AIMS)</w:t>
      </w:r>
    </w:p>
    <w:p>
      <w:pPr>
        <w:pStyle w:val="ListParagraph"/>
        <w:numPr>
          <w:ilvl w:val="0"/>
          <w:numId w:val="2"/>
        </w:numPr>
        <w:spacing w:after="80" w:line="264"/>
      </w:pPr>
      <w:r>
        <w:rPr>
          <w:rFonts w:ascii="Arial" w:cs="Arial" w:eastAsia="Arial" w:hAnsi="Arial"/>
          <w:b w:val="false"/>
          <w:bCs w:val="false"/>
          <w:color w:val="404040"/>
          <w:sz w:val="22"/>
          <w:szCs w:val="22"/>
        </w:rPr>
        <w:t xml:space="preserve">EU AI Act (Regulation (EU) 2024/1689)</w:t>
      </w:r>
    </w:p>
    <w:p>
      <w:pPr>
        <w:pStyle w:val="ListParagraph"/>
        <w:numPr>
          <w:ilvl w:val="0"/>
          <w:numId w:val="2"/>
        </w:numPr>
        <w:spacing w:after="80" w:line="264"/>
      </w:pPr>
      <w:r>
        <w:rPr>
          <w:rFonts w:ascii="Arial" w:cs="Arial" w:eastAsia="Arial" w:hAnsi="Arial"/>
          <w:b w:val="false"/>
          <w:bCs w:val="false"/>
          <w:color w:val="404040"/>
          <w:sz w:val="22"/>
          <w:szCs w:val="22"/>
        </w:rPr>
        <w:t xml:space="preserve">AInnovate's existing ISO 27001:2022 Information Security Management System</w:t>
      </w:r>
    </w:p>
    <w:p>
      <w:pPr>
        <w:pStyle w:val="ListParagraph"/>
        <w:numPr>
          <w:ilvl w:val="0"/>
          <w:numId w:val="2"/>
        </w:numPr>
        <w:spacing w:after="80" w:line="264"/>
      </w:pPr>
      <w:r>
        <w:rPr>
          <w:rFonts w:ascii="Arial" w:cs="Arial" w:eastAsia="Arial" w:hAnsi="Arial"/>
          <w:b w:val="false"/>
          <w:bCs w:val="false"/>
          <w:color w:val="404040"/>
          <w:sz w:val="22"/>
          <w:szCs w:val="22"/>
        </w:rPr>
        <w:t xml:space="preserve">UK ICO Guidance on AI and Data Protection</w:t>
      </w:r>
    </w:p>
    <w:p>
      <w:pPr>
        <w:spacing w:after="120"/>
      </w:pPr>
      <w:r>
        <w:t xml:space="preserve"/>
      </w:r>
    </w:p>
    <w:p>
      <w:pPr>
        <w:pStyle w:val="Heading2"/>
        <w:spacing w:before="200" w:after="120"/>
      </w:pPr>
      <w:r>
        <w:rPr>
          <w:rFonts w:ascii="Arial" w:cs="Arial" w:eastAsia="Arial" w:hAnsi="Arial"/>
          <w:b/>
          <w:bCs/>
          <w:color w:val="2E75B6"/>
          <w:sz w:val="26"/>
          <w:szCs w:val="26"/>
        </w:rPr>
        <w:t xml:space="preserve">1.2  Scope</w:t>
      </w:r>
    </w:p>
    <w:p>
      <w:pPr>
        <w:spacing w:after="120" w:line="276"/>
      </w:pPr>
      <w:r>
        <w:rPr>
          <w:rFonts w:ascii="Arial" w:cs="Arial" w:eastAsia="Arial" w:hAnsi="Arial"/>
          <w:color w:val="404040"/>
          <w:sz w:val="22"/>
          <w:szCs w:val="22"/>
        </w:rPr>
        <w:t xml:space="preserve">This Policy applies to:</w:t>
      </w:r>
    </w:p>
    <w:p>
      <w:pPr>
        <w:pStyle w:val="ListParagraph"/>
        <w:numPr>
          <w:ilvl w:val="0"/>
          <w:numId w:val="2"/>
        </w:numPr>
        <w:spacing w:after="80" w:line="264"/>
      </w:pPr>
      <w:r>
        <w:rPr>
          <w:rFonts w:ascii="Arial" w:cs="Arial" w:eastAsia="Arial" w:hAnsi="Arial"/>
          <w:b w:val="false"/>
          <w:bCs w:val="false"/>
          <w:color w:val="404040"/>
          <w:sz w:val="22"/>
          <w:szCs w:val="22"/>
        </w:rPr>
        <w:t xml:space="preserve">All AI/ML systems developed, procured, or operated by AInnovate, including third-party systems integrated into Company products;</w:t>
      </w:r>
    </w:p>
    <w:p>
      <w:pPr>
        <w:pStyle w:val="ListParagraph"/>
        <w:numPr>
          <w:ilvl w:val="0"/>
          <w:numId w:val="2"/>
        </w:numPr>
        <w:spacing w:after="80" w:line="264"/>
      </w:pPr>
      <w:r>
        <w:rPr>
          <w:rFonts w:ascii="Arial" w:cs="Arial" w:eastAsia="Arial" w:hAnsi="Arial"/>
          <w:b w:val="false"/>
          <w:bCs w:val="false"/>
          <w:color w:val="404040"/>
          <w:sz w:val="22"/>
          <w:szCs w:val="22"/>
        </w:rPr>
        <w:t xml:space="preserve">All employees, contractors, and third-party vendors involved in the design, development, testing, deployment, monitoring, or governance of AI systems;</w:t>
      </w:r>
    </w:p>
    <w:p>
      <w:pPr>
        <w:pStyle w:val="ListParagraph"/>
        <w:numPr>
          <w:ilvl w:val="0"/>
          <w:numId w:val="2"/>
        </w:numPr>
        <w:spacing w:after="80" w:line="264"/>
      </w:pPr>
      <w:r>
        <w:rPr>
          <w:rFonts w:ascii="Arial" w:cs="Arial" w:eastAsia="Arial" w:hAnsi="Arial"/>
          <w:b w:val="false"/>
          <w:bCs w:val="false"/>
          <w:color w:val="404040"/>
          <w:sz w:val="22"/>
          <w:szCs w:val="22"/>
        </w:rPr>
        <w:t xml:space="preserve">All business functions that use AI-generated outputs to make or inform decisions that affect customers, employees, or other stakeholders.</w:t>
      </w:r>
    </w:p>
    <w:p>
      <w:pPr>
        <w:spacing w:after="80"/>
      </w:pPr>
      <w:r>
        <w:t xml:space="preserve"/>
      </w:r>
    </w:p>
    <w:p>
      <w:pPr>
        <w:spacing w:after="120" w:line="276"/>
      </w:pPr>
      <w:r>
        <w:rPr>
          <w:rFonts w:ascii="Arial" w:cs="Arial" w:eastAsia="Arial" w:hAnsi="Arial"/>
          <w:color w:val="404040"/>
          <w:sz w:val="22"/>
          <w:szCs w:val="22"/>
        </w:rPr>
        <w:t xml:space="preserve">This Policy applies with particular force to GenStudio — AInnovate's generative AI product that utilises a fine-tuned large language model ('LLM') hosted on Amazon Web Services ('AWS') to assist marketing professionals in generating advertising copy. GenStudio is classified as a Limited-Risk AI system under the EU AI Act due to its content-generation capability and its interaction with business users.</w:t>
      </w:r>
    </w:p>
    <w:p>
      <w:pPr>
        <w:spacing w:after="120"/>
      </w:pPr>
      <w:r>
        <w:t xml:space="preserve"/>
      </w:r>
    </w:p>
    <w:p>
      <w:pPr>
        <w:pStyle w:val="Heading2"/>
        <w:spacing w:before="200" w:after="120"/>
      </w:pPr>
      <w:r>
        <w:rPr>
          <w:rFonts w:ascii="Arial" w:cs="Arial" w:eastAsia="Arial" w:hAnsi="Arial"/>
          <w:b/>
          <w:bCs/>
          <w:color w:val="2E75B6"/>
          <w:sz w:val="26"/>
          <w:szCs w:val="26"/>
        </w:rPr>
        <w:t xml:space="preserve">1.3  Out of Scope</w:t>
      </w:r>
    </w:p>
    <w:p>
      <w:pPr>
        <w:spacing w:after="120" w:line="276"/>
      </w:pPr>
      <w:r>
        <w:rPr>
          <w:rFonts w:ascii="Arial" w:cs="Arial" w:eastAsia="Arial" w:hAnsi="Arial"/>
          <w:color w:val="404040"/>
          <w:sz w:val="22"/>
          <w:szCs w:val="22"/>
        </w:rPr>
        <w:t xml:space="preserve">The following are out of scope for this Policy:</w:t>
      </w:r>
    </w:p>
    <w:p>
      <w:pPr>
        <w:pStyle w:val="ListParagraph"/>
        <w:numPr>
          <w:ilvl w:val="0"/>
          <w:numId w:val="2"/>
        </w:numPr>
        <w:spacing w:after="80" w:line="264"/>
      </w:pPr>
      <w:r>
        <w:rPr>
          <w:rFonts w:ascii="Arial" w:cs="Arial" w:eastAsia="Arial" w:hAnsi="Arial"/>
          <w:b w:val="false"/>
          <w:bCs w:val="false"/>
          <w:color w:val="404040"/>
          <w:sz w:val="22"/>
          <w:szCs w:val="22"/>
        </w:rPr>
        <w:t xml:space="preserve">Simple rule-based automation or scripting that does not involve machine learning;</w:t>
      </w:r>
    </w:p>
    <w:p>
      <w:pPr>
        <w:pStyle w:val="ListParagraph"/>
        <w:numPr>
          <w:ilvl w:val="0"/>
          <w:numId w:val="2"/>
        </w:numPr>
        <w:spacing w:after="80" w:line="264"/>
      </w:pPr>
      <w:r>
        <w:rPr>
          <w:rFonts w:ascii="Arial" w:cs="Arial" w:eastAsia="Arial" w:hAnsi="Arial"/>
          <w:b w:val="false"/>
          <w:bCs w:val="false"/>
          <w:color w:val="404040"/>
          <w:sz w:val="22"/>
          <w:szCs w:val="22"/>
        </w:rPr>
        <w:t xml:space="preserve">Purely statistical analytics tools that do not involve predictive modelling;</w:t>
      </w:r>
    </w:p>
    <w:p>
      <w:pPr>
        <w:pStyle w:val="ListParagraph"/>
        <w:numPr>
          <w:ilvl w:val="0"/>
          <w:numId w:val="2"/>
        </w:numPr>
        <w:spacing w:after="80" w:line="264"/>
      </w:pPr>
      <w:r>
        <w:rPr>
          <w:rFonts w:ascii="Arial" w:cs="Arial" w:eastAsia="Arial" w:hAnsi="Arial"/>
          <w:b w:val="false"/>
          <w:bCs w:val="false"/>
          <w:color w:val="404040"/>
          <w:sz w:val="22"/>
          <w:szCs w:val="22"/>
        </w:rPr>
        <w:t xml:space="preserve">Third-party AI features embedded in off-the-shelf SaaS tools (e.g., grammar checkers), unless integrated directly into AInnovate products.</w:t>
      </w:r>
    </w:p>
    <w:p>
      <w:r>
        <w:br w:type="page"/>
      </w:r>
    </w:p>
    <w:p>
      <w:pPr>
        <w:pStyle w:val="Heading1"/>
        <w:spacing w:before="240" w:after="200"/>
      </w:pPr>
      <w:r>
        <w:rPr>
          <w:rFonts w:ascii="Arial" w:cs="Arial" w:eastAsia="Arial" w:hAnsi="Arial"/>
          <w:b/>
          <w:bCs/>
          <w:color w:val="1F3864"/>
          <w:sz w:val="32"/>
          <w:szCs w:val="32"/>
        </w:rPr>
        <w:t xml:space="preserve">2.  Definitions and Abbreviations</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 / Abbreviation</w:t>
            </w:r>
          </w:p>
        </w:tc>
        <w:tc>
          <w:tcPr>
            <w:tcW w:type="dxa" w:w="67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AI System</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 machine-based system that, for a given set of objectives, makes predictions, recommendations, decisions, or generates content that influences real or virtual environments (ISO/IEC 22989).</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Generative AI</w:t>
            </w:r>
          </w:p>
        </w:tc>
        <w:tc>
          <w:tcPr>
            <w:tcW w:type="dxa" w:w="6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An AI system capable of creating new content (text, images, code, etc.) in response to prompts, typically using large language models or diffusion models.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GenStudio</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AInnovate's commercial generative AI product using a fine-tuned LLM to produce marketing copy.</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AIMS</w:t>
            </w:r>
          </w:p>
        </w:tc>
        <w:tc>
          <w:tcPr>
            <w:tcW w:type="dxa" w:w="6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Artificial Intelligence Management System (per ISO/IEC 42001:2023).</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AI RMF</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NIST Artificial Intelligence Risk Management Framework (January 2023).</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Model Owner</w:t>
            </w:r>
          </w:p>
        </w:tc>
        <w:tc>
          <w:tcPr>
            <w:tcW w:type="dxa" w:w="6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The individual or team accountable for a specific AI model's lifecycle, performance, and risk controls.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Red-Teaming</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Structured adversarial testing of an AI system to identify potential failure modes, biases, or harmful outputs.</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Model Card</w:t>
            </w:r>
          </w:p>
        </w:tc>
        <w:tc>
          <w:tcPr>
            <w:tcW w:type="dxa" w:w="6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 short document accompanying an AI model that describes intended use, performance characteristics, limitations, and fairness evaluations.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LLM</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Large Language Model – a neural network trained on large corpora of text to perform natural language tasks.</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AIGC</w:t>
            </w:r>
          </w:p>
        </w:tc>
        <w:tc>
          <w:tcPr>
            <w:tcW w:type="dxa" w:w="6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AI-Generated Content – outputs (text, images, etc.) produced by generative AI systems.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NIST</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National Institute of Standards and Technology (United States).</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ISO/IEC</w:t>
            </w:r>
          </w:p>
        </w:tc>
        <w:tc>
          <w:tcPr>
            <w:tcW w:type="dxa" w:w="6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International Organization for Standardization / International Electrotechnical Commission.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CPO</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Chief Product Officer.</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CTO</w:t>
            </w:r>
          </w:p>
        </w:tc>
        <w:tc>
          <w:tcPr>
            <w:tcW w:type="dxa" w:w="6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Chief Technology Officer.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CLO</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Chief Legal Officer.</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CDO</w:t>
            </w:r>
          </w:p>
        </w:tc>
        <w:tc>
          <w:tcPr>
            <w:tcW w:type="dxa" w:w="6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Chief Data Officer.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AIGC</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AI-Generated Content.</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PII</w:t>
            </w:r>
          </w:p>
        </w:tc>
        <w:tc>
          <w:tcPr>
            <w:tcW w:type="dxa" w:w="6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Personally Identifiable Information.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SLA</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Service Level Agreement.</w:t>
            </w:r>
          </w:p>
        </w:tc>
      </w:tr>
    </w:tbl>
    <w:p>
      <w:r>
        <w:br w:type="page"/>
      </w:r>
    </w:p>
    <w:p>
      <w:pPr>
        <w:pStyle w:val="Heading1"/>
        <w:spacing w:before="240" w:after="200"/>
      </w:pPr>
      <w:r>
        <w:rPr>
          <w:rFonts w:ascii="Arial" w:cs="Arial" w:eastAsia="Arial" w:hAnsi="Arial"/>
          <w:b/>
          <w:bCs/>
          <w:color w:val="1F3864"/>
          <w:sz w:val="32"/>
          <w:szCs w:val="32"/>
        </w:rPr>
        <w:t xml:space="preserve">3.  Guiding Principles</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AInnovate's approach to AI governance is grounded in seven core principles derived from the NIST AI RMF Trustworthy AI characteristics and ISO/IEC 42001 requirements. All AI activities at AInnovate shall be conducted in accordance with these principles.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6860"/>
      </w:tblGrid>
      <w:tr>
        <w:tc>
          <w:tcPr>
            <w:tcW w:type="dxa" w:w="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1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Principle</w:t>
            </w:r>
          </w:p>
        </w:tc>
        <w:tc>
          <w:tcPr>
            <w:tcW w:type="dxa" w:w="68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 and Application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P1</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Accountability</w:t>
            </w:r>
          </w:p>
        </w:tc>
        <w:tc>
          <w:tcPr>
            <w:tcW w:type="dxa" w:w="6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AInnovate assigns clear ownership for every AI system. The AI Governance Committee, model owners, and executive sponsors are each accountable for defined aspects of AI risk management. Accountability flows from model inception through decommissioning.</w:t>
            </w:r>
          </w:p>
        </w:tc>
      </w:tr>
      <w:tr>
        <w:tc>
          <w:tcPr>
            <w:tcW w:type="dxa" w:w="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P2</w:t>
            </w:r>
          </w:p>
        </w:tc>
        <w:tc>
          <w:tcPr>
            <w:tcW w:type="dxa" w:w="21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Transparency</w:t>
            </w:r>
          </w:p>
        </w:tc>
        <w:tc>
          <w:tcPr>
            <w:tcW w:type="dxa" w:w="68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AInnovate maintains model cards for all production AI models, documents data lineage, and discloses AI involvement to users of GenStudio through in-product labelling. Internal documentation is maintained in the AI Model Registry.</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P3</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Fairness &amp; Non-Discrimination</w:t>
            </w:r>
          </w:p>
        </w:tc>
        <w:tc>
          <w:tcPr>
            <w:tcW w:type="dxa" w:w="6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AI systems must not produce outputs that systematically disadvantage protected groups. Bias assessments are conducted pre-deployment and on a scheduled basis post-deployment, with defined remediation thresholds.</w:t>
            </w:r>
          </w:p>
        </w:tc>
      </w:tr>
      <w:tr>
        <w:tc>
          <w:tcPr>
            <w:tcW w:type="dxa" w:w="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P4</w:t>
            </w:r>
          </w:p>
        </w:tc>
        <w:tc>
          <w:tcPr>
            <w:tcW w:type="dxa" w:w="21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Privacy by Design</w:t>
            </w:r>
          </w:p>
        </w:tc>
        <w:tc>
          <w:tcPr>
            <w:tcW w:type="dxa" w:w="68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Personal data is minimised in AI training and inference pipelines. Privacy impact assessments are required before processing personal data in any AI context. AInnovate's ISO 27001 controls apply to all AI data assets.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P5</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Safety &amp; Security</w:t>
            </w:r>
          </w:p>
        </w:tc>
        <w:tc>
          <w:tcPr>
            <w:tcW w:type="dxa" w:w="6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AI systems undergo security testing (adversarial red-teaming, prompt injection testing) before production deployment. Outputs are subject to content safety filters. Incident response procedures cover AI-specific failure modes.</w:t>
            </w:r>
          </w:p>
        </w:tc>
      </w:tr>
      <w:tr>
        <w:tc>
          <w:tcPr>
            <w:tcW w:type="dxa" w:w="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P6</w:t>
            </w:r>
          </w:p>
        </w:tc>
        <w:tc>
          <w:tcPr>
            <w:tcW w:type="dxa" w:w="21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Reliability &amp; Robustness</w:t>
            </w:r>
          </w:p>
        </w:tc>
        <w:tc>
          <w:tcPr>
            <w:tcW w:type="dxa" w:w="68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AI models are tested for performance, consistency, and resilience across diverse inputs. SLAs define acceptable performance thresholds. Monitoring and drift detection alert model owners to degradation.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P7</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Human Oversight</w:t>
            </w:r>
          </w:p>
        </w:tc>
        <w:tc>
          <w:tcPr>
            <w:tcW w:type="dxa" w:w="6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AI-generated content is treated as assistive. GenStudio users retain responsibility for final ad copy published. Meaningful human review gates are built into the product workflow for high-stakes decisions.</w:t>
            </w:r>
          </w:p>
        </w:tc>
      </w:tr>
    </w:tbl>
    <w:p>
      <w:pPr>
        <w:spacing w:after="200"/>
      </w:pPr>
      <w:r>
        <w:t xml:space="preserve"/>
      </w:r>
    </w:p>
    <w:p>
      <w:pPr>
        <w:spacing w:after="120" w:line="276"/>
      </w:pPr>
      <w:r>
        <w:rPr>
          <w:rFonts w:ascii="Arial" w:cs="Arial" w:eastAsia="Arial" w:hAnsi="Arial"/>
          <w:color w:val="404040"/>
          <w:sz w:val="22"/>
          <w:szCs w:val="22"/>
        </w:rPr>
        <w:t xml:space="preserve">These principles are operationalised through the requirements, roles, and controls defined in Sections 4–9 of this Policy. They are mapped to specific NIST AI RMF functions and ISO 42001 clauses in Appendix A.</w:t>
      </w:r>
    </w:p>
    <w:p>
      <w:r>
        <w:br w:type="page"/>
      </w:r>
    </w:p>
    <w:p>
      <w:pPr>
        <w:pStyle w:val="Heading1"/>
        <w:spacing w:before="240" w:after="200"/>
      </w:pPr>
      <w:r>
        <w:rPr>
          <w:rFonts w:ascii="Arial" w:cs="Arial" w:eastAsia="Arial" w:hAnsi="Arial"/>
          <w:b/>
          <w:bCs/>
          <w:color w:val="1F3864"/>
          <w:sz w:val="32"/>
          <w:szCs w:val="32"/>
        </w:rPr>
        <w:t xml:space="preserve">4.  Governance Structure and Roles</w:t>
      </w:r>
    </w:p>
    <w:p>
      <w:pPr>
        <w:pBdr>
          <w:bottom w:val="single" w:color="2E75B6" w:sz="6" w:space="1"/>
        </w:pBdr>
        <w:spacing w:after="200"/>
      </w:pPr>
      <w:r>
        <w:t xml:space="preserve"/>
      </w:r>
    </w:p>
    <w:p>
      <w:pPr>
        <w:pStyle w:val="Heading2"/>
        <w:spacing w:before="200" w:after="120"/>
      </w:pPr>
      <w:r>
        <w:rPr>
          <w:rFonts w:ascii="Arial" w:cs="Arial" w:eastAsia="Arial" w:hAnsi="Arial"/>
          <w:b/>
          <w:bCs/>
          <w:color w:val="2E75B6"/>
          <w:sz w:val="26"/>
          <w:szCs w:val="26"/>
        </w:rPr>
        <w:t xml:space="preserve">4.1  AI Governance Committee (AIGC)</w:t>
      </w:r>
    </w:p>
    <w:p>
      <w:pPr>
        <w:spacing w:after="120" w:line="276"/>
      </w:pPr>
      <w:r>
        <w:rPr>
          <w:rFonts w:ascii="Arial" w:cs="Arial" w:eastAsia="Arial" w:hAnsi="Arial"/>
          <w:color w:val="404040"/>
          <w:sz w:val="22"/>
          <w:szCs w:val="22"/>
        </w:rPr>
        <w:t xml:space="preserve">The AI Governance Committee ('AIGC') is the primary decision-making and oversight body for all AI activities at AInnovate. The AIGC is chaired by the CPO and comprises the CTO, CLO, CDO, and AI Governance Lead. The AIGC shall meet no less than quarterly and may convene emergency sessions in response to AI incidents or material regulatory changes.</w:t>
      </w:r>
    </w:p>
    <w:p>
      <w:pPr>
        <w:spacing w:after="80"/>
      </w:pPr>
      <w:r>
        <w:t xml:space="preserve"/>
      </w:r>
    </w:p>
    <w:p>
      <w:pPr>
        <w:spacing w:after="120" w:line="276"/>
      </w:pPr>
      <w:r>
        <w:rPr>
          <w:rFonts w:ascii="Arial" w:cs="Arial" w:eastAsia="Arial" w:hAnsi="Arial"/>
          <w:color w:val="404040"/>
          <w:sz w:val="22"/>
          <w:szCs w:val="22"/>
        </w:rPr>
        <w:t xml:space="preserve">The AIGC is responsible for:</w:t>
      </w:r>
    </w:p>
    <w:p>
      <w:pPr>
        <w:pStyle w:val="ListParagraph"/>
        <w:numPr>
          <w:ilvl w:val="0"/>
          <w:numId w:val="2"/>
        </w:numPr>
        <w:spacing w:after="80" w:line="264"/>
      </w:pPr>
      <w:r>
        <w:rPr>
          <w:rFonts w:ascii="Arial" w:cs="Arial" w:eastAsia="Arial" w:hAnsi="Arial"/>
          <w:b w:val="false"/>
          <w:bCs w:val="false"/>
          <w:color w:val="404040"/>
          <w:sz w:val="22"/>
          <w:szCs w:val="22"/>
        </w:rPr>
        <w:t xml:space="preserve">Approving this Policy and all subordinate AI governance standards and procedures;</w:t>
      </w:r>
    </w:p>
    <w:p>
      <w:pPr>
        <w:pStyle w:val="ListParagraph"/>
        <w:numPr>
          <w:ilvl w:val="0"/>
          <w:numId w:val="2"/>
        </w:numPr>
        <w:spacing w:after="80" w:line="264"/>
      </w:pPr>
      <w:r>
        <w:rPr>
          <w:rFonts w:ascii="Arial" w:cs="Arial" w:eastAsia="Arial" w:hAnsi="Arial"/>
          <w:b w:val="false"/>
          <w:bCs w:val="false"/>
          <w:color w:val="404040"/>
          <w:sz w:val="22"/>
          <w:szCs w:val="22"/>
        </w:rPr>
        <w:t xml:space="preserve">Reviewing and approving risk assessments for new or significantly modified AI systems;</w:t>
      </w:r>
    </w:p>
    <w:p>
      <w:pPr>
        <w:pStyle w:val="ListParagraph"/>
        <w:numPr>
          <w:ilvl w:val="0"/>
          <w:numId w:val="2"/>
        </w:numPr>
        <w:spacing w:after="80" w:line="264"/>
      </w:pPr>
      <w:r>
        <w:rPr>
          <w:rFonts w:ascii="Arial" w:cs="Arial" w:eastAsia="Arial" w:hAnsi="Arial"/>
          <w:b w:val="false"/>
          <w:bCs w:val="false"/>
          <w:color w:val="404040"/>
          <w:sz w:val="22"/>
          <w:szCs w:val="22"/>
        </w:rPr>
        <w:t xml:space="preserve">Overseeing the AI Model Registry and escalated incident management;</w:t>
      </w:r>
    </w:p>
    <w:p>
      <w:pPr>
        <w:pStyle w:val="ListParagraph"/>
        <w:numPr>
          <w:ilvl w:val="0"/>
          <w:numId w:val="2"/>
        </w:numPr>
        <w:spacing w:after="80" w:line="264"/>
      </w:pPr>
      <w:r>
        <w:rPr>
          <w:rFonts w:ascii="Arial" w:cs="Arial" w:eastAsia="Arial" w:hAnsi="Arial"/>
          <w:b w:val="false"/>
          <w:bCs w:val="false"/>
          <w:color w:val="404040"/>
          <w:sz w:val="22"/>
          <w:szCs w:val="22"/>
        </w:rPr>
        <w:t xml:space="preserve">Monitoring compliance with applicable AI regulations (EU AI Act, UK AI White Paper, etc.);</w:t>
      </w:r>
    </w:p>
    <w:p>
      <w:pPr>
        <w:pStyle w:val="ListParagraph"/>
        <w:numPr>
          <w:ilvl w:val="0"/>
          <w:numId w:val="2"/>
        </w:numPr>
        <w:spacing w:after="80" w:line="264"/>
      </w:pPr>
      <w:r>
        <w:rPr>
          <w:rFonts w:ascii="Arial" w:cs="Arial" w:eastAsia="Arial" w:hAnsi="Arial"/>
          <w:b w:val="false"/>
          <w:bCs w:val="false"/>
          <w:color w:val="404040"/>
          <w:sz w:val="22"/>
          <w:szCs w:val="22"/>
        </w:rPr>
        <w:t xml:space="preserve">Reporting AI risk and governance status to the Board at least annually;</w:t>
      </w:r>
    </w:p>
    <w:p>
      <w:pPr>
        <w:pStyle w:val="ListParagraph"/>
        <w:numPr>
          <w:ilvl w:val="0"/>
          <w:numId w:val="2"/>
        </w:numPr>
        <w:spacing w:after="80" w:line="264"/>
      </w:pPr>
      <w:r>
        <w:rPr>
          <w:rFonts w:ascii="Arial" w:cs="Arial" w:eastAsia="Arial" w:hAnsi="Arial"/>
          <w:b w:val="false"/>
          <w:bCs w:val="false"/>
          <w:color w:val="404040"/>
          <w:sz w:val="22"/>
          <w:szCs w:val="22"/>
        </w:rPr>
        <w:t xml:space="preserve">Approving exceptions to this Policy.</w:t>
      </w:r>
    </w:p>
    <w:p>
      <w:pPr>
        <w:spacing w:after="120"/>
      </w:pPr>
      <w:r>
        <w:t xml:space="preserve"/>
      </w:r>
    </w:p>
    <w:p>
      <w:pPr>
        <w:pStyle w:val="Heading2"/>
        <w:spacing w:before="200" w:after="120"/>
      </w:pPr>
      <w:r>
        <w:rPr>
          <w:rFonts w:ascii="Arial" w:cs="Arial" w:eastAsia="Arial" w:hAnsi="Arial"/>
          <w:b/>
          <w:bCs/>
          <w:color w:val="2E75B6"/>
          <w:sz w:val="26"/>
          <w:szCs w:val="26"/>
        </w:rPr>
        <w:t xml:space="preserve">4.2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Held By</w:t>
            </w:r>
          </w:p>
        </w:tc>
        <w:tc>
          <w:tcPr>
            <w:tcW w:type="dxa" w:w="5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Responsibilities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AI Governance Lead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Mihir Trivedi</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Owns this Policy; leads AIGC secretariat; maintains AI Model Registry; coordinates bias assessments and red-teaming; reports to CPO.</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Model Owner (GenStudio)</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Senior ML Engineer (Engineering)</w:t>
            </w:r>
          </w:p>
        </w:tc>
        <w:tc>
          <w:tcPr>
            <w:tcW w:type="dxa" w:w="5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Owns model lifecycle (training, evaluation, deployment, retirement); maintains model card; monitors model performance and drift; triggers incident response.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Data Steward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Data Engineering Lead (CDO org)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Ensures training and inference data quality, provenance, and privacy compliance; manages data access controls in AWS.</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Legal &amp; Compliance Counsel</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CLO / Legal Team</w:t>
            </w:r>
          </w:p>
        </w:tc>
        <w:tc>
          <w:tcPr>
            <w:tcW w:type="dxa" w:w="5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Monitors AI regulatory landscape; advises on GDPR, EU AI Act, IP, and copyright obligations for AIGC outputs; reviews third-party AI contracts.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Product AI Owner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CPO / Product Manager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Defines acceptable use cases for GenStudio; owns user-facing transparency disclosures; manages customer-facing AI incident communication.</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Security Engineer</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CTO org / Information Security</w:t>
            </w:r>
          </w:p>
        </w:tc>
        <w:tc>
          <w:tcPr>
            <w:tcW w:type="dxa" w:w="5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Implements and monitors security controls for AI infrastructure (AWS); conducts prompt injection and adversarial testing; integrates with ISO 27001 ISMS.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All Employees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All Staff</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Comply with this Policy; report AI-related concerns or incidents to the AI Governance Lead; complete mandatory AI literacy training annually.</w:t>
            </w:r>
          </w:p>
        </w:tc>
      </w:tr>
    </w:tbl>
    <w:p>
      <w:pPr>
        <w:spacing w:after="200"/>
      </w:pPr>
      <w:r>
        <w:t xml:space="preserve"/>
      </w:r>
    </w:p>
    <w:p>
      <w:pPr>
        <w:pStyle w:val="Heading2"/>
        <w:spacing w:before="200" w:after="120"/>
      </w:pPr>
      <w:r>
        <w:rPr>
          <w:rFonts w:ascii="Arial" w:cs="Arial" w:eastAsia="Arial" w:hAnsi="Arial"/>
          <w:b/>
          <w:bCs/>
          <w:color w:val="2E75B6"/>
          <w:sz w:val="26"/>
          <w:szCs w:val="26"/>
        </w:rPr>
        <w:t xml:space="preserve">4.3  Three Lines of Defence Model</w:t>
      </w:r>
    </w:p>
    <w:p>
      <w:pPr>
        <w:spacing w:after="120" w:line="276"/>
      </w:pPr>
      <w:r>
        <w:rPr>
          <w:rFonts w:ascii="Arial" w:cs="Arial" w:eastAsia="Arial" w:hAnsi="Arial"/>
          <w:color w:val="404040"/>
          <w:sz w:val="22"/>
          <w:szCs w:val="22"/>
        </w:rPr>
        <w:t xml:space="preserve">AInnovate adopts a three-lines-of-defence model for AI governance: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Line</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5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1st Line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Model Owners, Data Stewards, Engineering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Day-to-day controls: model testing, monitoring, data quality, content filtering, prompt guardrails.</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2nd Line</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AI Governance Lead, Legal &amp; Compliance</w:t>
            </w:r>
          </w:p>
        </w:tc>
        <w:tc>
          <w:tcPr>
            <w:tcW w:type="dxa" w:w="5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Policy, standards, risk assessments, bias audits, regulatory monitoring, escalation.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3rd Line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External Auditor (ISO 42001 Certification Body)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Independent assurance of AI management system effectiveness; annual surveillance audits.</w:t>
            </w:r>
          </w:p>
        </w:tc>
      </w:tr>
    </w:tbl>
    <w:p>
      <w:pPr>
        <w:spacing w:after="200"/>
      </w:pPr>
      <w:r>
        <w:t xml:space="preserve"/>
      </w:r>
    </w:p>
    <w:p>
      <w:pPr>
        <w:pStyle w:val="Heading2"/>
        <w:spacing w:before="200" w:after="120"/>
      </w:pPr>
      <w:r>
        <w:rPr>
          <w:rFonts w:ascii="Arial" w:cs="Arial" w:eastAsia="Arial" w:hAnsi="Arial"/>
          <w:b/>
          <w:bCs/>
          <w:color w:val="2E75B6"/>
          <w:sz w:val="26"/>
          <w:szCs w:val="26"/>
        </w:rPr>
        <w:t xml:space="preserve">4.4  AI Model Registry</w:t>
      </w:r>
    </w:p>
    <w:p>
      <w:pPr>
        <w:spacing w:after="120" w:line="276"/>
      </w:pPr>
      <w:r>
        <w:rPr>
          <w:rFonts w:ascii="Arial" w:cs="Arial" w:eastAsia="Arial" w:hAnsi="Arial"/>
          <w:color w:val="404040"/>
          <w:sz w:val="22"/>
          <w:szCs w:val="22"/>
        </w:rPr>
        <w:t xml:space="preserve">AInnovate shall maintain an AI Model Registry as the authoritative record of all AI systems in use. The Registry shall be hosted in the Company's internal document management system and updated by the AI Governance Lead whenever a new model is introduced, significantly modified, or retired.</w:t>
      </w:r>
    </w:p>
    <w:p>
      <w:pPr>
        <w:spacing w:after="120" w:line="276"/>
      </w:pPr>
      <w:r>
        <w:rPr>
          <w:rFonts w:ascii="Arial" w:cs="Arial" w:eastAsia="Arial" w:hAnsi="Arial"/>
          <w:color w:val="404040"/>
          <w:sz w:val="22"/>
          <w:szCs w:val="22"/>
        </w:rPr>
        <w:t xml:space="preserve">Each registry entry shall capture:</w:t>
      </w:r>
    </w:p>
    <w:p>
      <w:pPr>
        <w:pStyle w:val="ListParagraph"/>
        <w:numPr>
          <w:ilvl w:val="0"/>
          <w:numId w:val="2"/>
        </w:numPr>
        <w:spacing w:after="80" w:line="264"/>
      </w:pPr>
      <w:r>
        <w:rPr>
          <w:rFonts w:ascii="Arial" w:cs="Arial" w:eastAsia="Arial" w:hAnsi="Arial"/>
          <w:b w:val="false"/>
          <w:bCs w:val="false"/>
          <w:color w:val="404040"/>
          <w:sz w:val="22"/>
          <w:szCs w:val="22"/>
        </w:rPr>
        <w:t xml:space="preserve">Model ID, name, and version;</w:t>
      </w:r>
    </w:p>
    <w:p>
      <w:pPr>
        <w:pStyle w:val="ListParagraph"/>
        <w:numPr>
          <w:ilvl w:val="0"/>
          <w:numId w:val="2"/>
        </w:numPr>
        <w:spacing w:after="80" w:line="264"/>
      </w:pPr>
      <w:r>
        <w:rPr>
          <w:rFonts w:ascii="Arial" w:cs="Arial" w:eastAsia="Arial" w:hAnsi="Arial"/>
          <w:b w:val="false"/>
          <w:bCs w:val="false"/>
          <w:color w:val="404040"/>
          <w:sz w:val="22"/>
          <w:szCs w:val="22"/>
        </w:rPr>
        <w:t xml:space="preserve">Business purpose and use case;</w:t>
      </w:r>
    </w:p>
    <w:p>
      <w:pPr>
        <w:pStyle w:val="ListParagraph"/>
        <w:numPr>
          <w:ilvl w:val="0"/>
          <w:numId w:val="2"/>
        </w:numPr>
        <w:spacing w:after="80" w:line="264"/>
      </w:pPr>
      <w:r>
        <w:rPr>
          <w:rFonts w:ascii="Arial" w:cs="Arial" w:eastAsia="Arial" w:hAnsi="Arial"/>
          <w:b w:val="false"/>
          <w:bCs w:val="false"/>
          <w:color w:val="404040"/>
          <w:sz w:val="22"/>
          <w:szCs w:val="22"/>
        </w:rPr>
        <w:t xml:space="preserve">Risk classification (High / Limited / Minimal under EU AI Act);</w:t>
      </w:r>
    </w:p>
    <w:p>
      <w:pPr>
        <w:pStyle w:val="ListParagraph"/>
        <w:numPr>
          <w:ilvl w:val="0"/>
          <w:numId w:val="2"/>
        </w:numPr>
        <w:spacing w:after="80" w:line="264"/>
      </w:pPr>
      <w:r>
        <w:rPr>
          <w:rFonts w:ascii="Arial" w:cs="Arial" w:eastAsia="Arial" w:hAnsi="Arial"/>
          <w:b w:val="false"/>
          <w:bCs w:val="false"/>
          <w:color w:val="404040"/>
          <w:sz w:val="22"/>
          <w:szCs w:val="22"/>
        </w:rPr>
        <w:t xml:space="preserve">Model Owner name and contact;</w:t>
      </w:r>
    </w:p>
    <w:p>
      <w:pPr>
        <w:pStyle w:val="ListParagraph"/>
        <w:numPr>
          <w:ilvl w:val="0"/>
          <w:numId w:val="2"/>
        </w:numPr>
        <w:spacing w:after="80" w:line="264"/>
      </w:pPr>
      <w:r>
        <w:rPr>
          <w:rFonts w:ascii="Arial" w:cs="Arial" w:eastAsia="Arial" w:hAnsi="Arial"/>
          <w:b w:val="false"/>
          <w:bCs w:val="false"/>
          <w:color w:val="404040"/>
          <w:sz w:val="22"/>
          <w:szCs w:val="22"/>
        </w:rPr>
        <w:t xml:space="preserve">Training data description and provenance;</w:t>
      </w:r>
    </w:p>
    <w:p>
      <w:pPr>
        <w:pStyle w:val="ListParagraph"/>
        <w:numPr>
          <w:ilvl w:val="0"/>
          <w:numId w:val="2"/>
        </w:numPr>
        <w:spacing w:after="80" w:line="264"/>
      </w:pPr>
      <w:r>
        <w:rPr>
          <w:rFonts w:ascii="Arial" w:cs="Arial" w:eastAsia="Arial" w:hAnsi="Arial"/>
          <w:b w:val="false"/>
          <w:bCs w:val="false"/>
          <w:color w:val="404040"/>
          <w:sz w:val="22"/>
          <w:szCs w:val="22"/>
        </w:rPr>
        <w:t xml:space="preserve">Deployment environment (e.g., AWS region, endpoint ARN);</w:t>
      </w:r>
    </w:p>
    <w:p>
      <w:pPr>
        <w:pStyle w:val="ListParagraph"/>
        <w:numPr>
          <w:ilvl w:val="0"/>
          <w:numId w:val="2"/>
        </w:numPr>
        <w:spacing w:after="80" w:line="264"/>
      </w:pPr>
      <w:r>
        <w:rPr>
          <w:rFonts w:ascii="Arial" w:cs="Arial" w:eastAsia="Arial" w:hAnsi="Arial"/>
          <w:b w:val="false"/>
          <w:bCs w:val="false"/>
          <w:color w:val="404040"/>
          <w:sz w:val="22"/>
          <w:szCs w:val="22"/>
        </w:rPr>
        <w:t xml:space="preserve">Current status (Development / Staging / Production / Retired);</w:t>
      </w:r>
    </w:p>
    <w:p>
      <w:pPr>
        <w:pStyle w:val="ListParagraph"/>
        <w:numPr>
          <w:ilvl w:val="0"/>
          <w:numId w:val="2"/>
        </w:numPr>
        <w:spacing w:after="80" w:line="264"/>
      </w:pPr>
      <w:r>
        <w:rPr>
          <w:rFonts w:ascii="Arial" w:cs="Arial" w:eastAsia="Arial" w:hAnsi="Arial"/>
          <w:b w:val="false"/>
          <w:bCs w:val="false"/>
          <w:color w:val="404040"/>
          <w:sz w:val="22"/>
          <w:szCs w:val="22"/>
        </w:rPr>
        <w:t xml:space="preserve">Link to model card and risk assessment;</w:t>
      </w:r>
    </w:p>
    <w:p>
      <w:pPr>
        <w:pStyle w:val="ListParagraph"/>
        <w:numPr>
          <w:ilvl w:val="0"/>
          <w:numId w:val="2"/>
        </w:numPr>
        <w:spacing w:after="80" w:line="264"/>
      </w:pPr>
      <w:r>
        <w:rPr>
          <w:rFonts w:ascii="Arial" w:cs="Arial" w:eastAsia="Arial" w:hAnsi="Arial"/>
          <w:b w:val="false"/>
          <w:bCs w:val="false"/>
          <w:color w:val="404040"/>
          <w:sz w:val="22"/>
          <w:szCs w:val="22"/>
        </w:rPr>
        <w:t xml:space="preserve">Date of last bias assessment and next scheduled review.</w:t>
      </w:r>
    </w:p>
    <w:p>
      <w:r>
        <w:br w:type="page"/>
      </w:r>
    </w:p>
    <w:p>
      <w:pPr>
        <w:pStyle w:val="Heading1"/>
        <w:spacing w:before="240" w:after="200"/>
      </w:pPr>
      <w:r>
        <w:rPr>
          <w:rFonts w:ascii="Arial" w:cs="Arial" w:eastAsia="Arial" w:hAnsi="Arial"/>
          <w:b/>
          <w:bCs/>
          <w:color w:val="1F3864"/>
          <w:sz w:val="32"/>
          <w:szCs w:val="32"/>
        </w:rPr>
        <w:t xml:space="preserve">5.  Model Risk Management</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Model risk management at AInnovate aligns with the NIST AI RMF Map and Measure functions and ISO 42001 Clause 8 (Operation). All AI models must pass through a defined lifecycle with embedded risk checkpoints before and during production deployment.</w:t>
      </w:r>
    </w:p>
    <w:p>
      <w:pPr>
        <w:spacing w:after="120"/>
      </w:pPr>
      <w:r>
        <w:t xml:space="preserve"/>
      </w:r>
    </w:p>
    <w:p>
      <w:pPr>
        <w:pStyle w:val="Heading2"/>
        <w:spacing w:before="200" w:after="120"/>
      </w:pPr>
      <w:r>
        <w:rPr>
          <w:rFonts w:ascii="Arial" w:cs="Arial" w:eastAsia="Arial" w:hAnsi="Arial"/>
          <w:b/>
          <w:bCs/>
          <w:color w:val="2E75B6"/>
          <w:sz w:val="26"/>
          <w:szCs w:val="26"/>
        </w:rPr>
        <w:t xml:space="preserve">5.1  AI Model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Activities</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Governance Gate</w:t>
            </w:r>
          </w:p>
        </w:tc>
        <w:tc>
          <w:tcPr>
            <w:tcW w:type="dxa" w:w="29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1. Initiate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Define use case; identify stakeholders; conduct preliminary risk classification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AIGC approval to proceed</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Use Case Register entry; initial risk classification</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2. Design &amp; Develop</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Data sourcing; feature engineering; model architecture selection; fine-tuning</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Data Steward sign-off on training data; Privacy Impact Assessment</w:t>
            </w:r>
          </w:p>
        </w:tc>
        <w:tc>
          <w:tcPr>
            <w:tcW w:type="dxa" w:w="29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Training data lineage document; model architecture record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3. Evaluate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Model performance testing; bias assessment; adversarial red-teaming; security testing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AI Governance Lead sign-off; bias thresholds met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Evaluation report; model card (draft); bias assessment report</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4. Deploy</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Staging environment testing; content safety filter configuration; AWS deployment</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Model Owner + Security Engineer sign-off; AIGC notification</w:t>
            </w:r>
          </w:p>
        </w:tc>
        <w:tc>
          <w:tcPr>
            <w:tcW w:type="dxa" w:w="29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Deployment record; model card (final); monitoring dashboard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5. Monitor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Continuous performance and drift monitoring; periodic bias re-assessment; incident tracking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Quarterly AIGC review</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Monthly monitoring reports; drift alerts; bias re-assessment results</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6. Retire</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Graceful shutdown; data retention/deletion; documentation archival</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AIGC approval to retire</w:t>
            </w:r>
          </w:p>
        </w:tc>
        <w:tc>
          <w:tcPr>
            <w:tcW w:type="dxa" w:w="29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Retirement notice; data disposition record</w:t>
            </w:r>
          </w:p>
        </w:tc>
      </w:tr>
    </w:tbl>
    <w:p>
      <w:pPr>
        <w:spacing w:after="200"/>
      </w:pPr>
      <w:r>
        <w:t xml:space="preserve"/>
      </w:r>
    </w:p>
    <w:p>
      <w:pPr>
        <w:pStyle w:val="Heading2"/>
        <w:spacing w:before="200" w:after="120"/>
      </w:pPr>
      <w:r>
        <w:rPr>
          <w:rFonts w:ascii="Arial" w:cs="Arial" w:eastAsia="Arial" w:hAnsi="Arial"/>
          <w:b/>
          <w:bCs/>
          <w:color w:val="2E75B6"/>
          <w:sz w:val="26"/>
          <w:szCs w:val="26"/>
        </w:rPr>
        <w:t xml:space="preserve">5.2  Risk Classification</w:t>
      </w:r>
    </w:p>
    <w:p>
      <w:pPr>
        <w:spacing w:after="120" w:line="276"/>
      </w:pPr>
      <w:r>
        <w:rPr>
          <w:rFonts w:ascii="Arial" w:cs="Arial" w:eastAsia="Arial" w:hAnsi="Arial"/>
          <w:color w:val="404040"/>
          <w:sz w:val="22"/>
          <w:szCs w:val="22"/>
        </w:rPr>
        <w:t xml:space="preserve">All AI systems shall be assigned a risk classification consistent with the EU AI Act risk tiers. GenStudio is currently classified as Limited Risk given its content-generation function and the absence of direct, automated decision-making affecting individuals' rights. However, the Model Owner shall review the classification whenever GenStudio's functionality is materially extended.</w:t>
      </w:r>
    </w:p>
    <w:p>
      <w:pPr>
        <w:spacing w:after="120"/>
      </w:pPr>
      <w:r>
        <w:t xml:space="preserve"/>
      </w:r>
    </w:p>
    <w:p>
      <w:pPr>
        <w:pStyle w:val="Heading2"/>
        <w:spacing w:before="200" w:after="120"/>
      </w:pPr>
      <w:r>
        <w:rPr>
          <w:rFonts w:ascii="Arial" w:cs="Arial" w:eastAsia="Arial" w:hAnsi="Arial"/>
          <w:b/>
          <w:bCs/>
          <w:color w:val="2E75B6"/>
          <w:sz w:val="26"/>
          <w:szCs w:val="26"/>
        </w:rPr>
        <w:t xml:space="preserve">5.3  Model Cards</w:t>
      </w:r>
    </w:p>
    <w:p>
      <w:pPr>
        <w:spacing w:after="120" w:line="276"/>
      </w:pPr>
      <w:r>
        <w:rPr>
          <w:rFonts w:ascii="Arial" w:cs="Arial" w:eastAsia="Arial" w:hAnsi="Arial"/>
          <w:color w:val="404040"/>
          <w:sz w:val="22"/>
          <w:szCs w:val="22"/>
        </w:rPr>
        <w:t xml:space="preserve">A model card is mandatory for every AI model in production at AInnovate. Model cards shall conform to the structure defined in AInnovate's Model Card Template (AIN-GOV-003) and shall include, at a minimum:</w:t>
      </w:r>
    </w:p>
    <w:p>
      <w:pPr>
        <w:pStyle w:val="ListParagraph"/>
        <w:numPr>
          <w:ilvl w:val="0"/>
          <w:numId w:val="2"/>
        </w:numPr>
        <w:spacing w:after="80" w:line="264"/>
      </w:pPr>
      <w:r>
        <w:rPr>
          <w:rFonts w:ascii="Arial" w:cs="Arial" w:eastAsia="Arial" w:hAnsi="Arial"/>
          <w:b w:val="false"/>
          <w:bCs w:val="false"/>
          <w:color w:val="404040"/>
          <w:sz w:val="22"/>
          <w:szCs w:val="22"/>
        </w:rPr>
        <w:t xml:space="preserve">Model description: architecture, version, intended use, and out-of-scope uses;</w:t>
      </w:r>
    </w:p>
    <w:p>
      <w:pPr>
        <w:pStyle w:val="ListParagraph"/>
        <w:numPr>
          <w:ilvl w:val="0"/>
          <w:numId w:val="2"/>
        </w:numPr>
        <w:spacing w:after="80" w:line="264"/>
      </w:pPr>
      <w:r>
        <w:rPr>
          <w:rFonts w:ascii="Arial" w:cs="Arial" w:eastAsia="Arial" w:hAnsi="Arial"/>
          <w:b w:val="false"/>
          <w:bCs w:val="false"/>
          <w:color w:val="404040"/>
          <w:sz w:val="22"/>
          <w:szCs w:val="22"/>
        </w:rPr>
        <w:t xml:space="preserve">Training data: sources, size, preprocessing steps, and known limitations;</w:t>
      </w:r>
    </w:p>
    <w:p>
      <w:pPr>
        <w:pStyle w:val="ListParagraph"/>
        <w:numPr>
          <w:ilvl w:val="0"/>
          <w:numId w:val="2"/>
        </w:numPr>
        <w:spacing w:after="80" w:line="264"/>
      </w:pPr>
      <w:r>
        <w:rPr>
          <w:rFonts w:ascii="Arial" w:cs="Arial" w:eastAsia="Arial" w:hAnsi="Arial"/>
          <w:b w:val="false"/>
          <w:bCs w:val="false"/>
          <w:color w:val="404040"/>
          <w:sz w:val="22"/>
          <w:szCs w:val="22"/>
        </w:rPr>
        <w:t xml:space="preserve">Evaluation results: performance metrics disaggregated by relevant subgroups;</w:t>
      </w:r>
    </w:p>
    <w:p>
      <w:pPr>
        <w:pStyle w:val="ListParagraph"/>
        <w:numPr>
          <w:ilvl w:val="0"/>
          <w:numId w:val="2"/>
        </w:numPr>
        <w:spacing w:after="80" w:line="264"/>
      </w:pPr>
      <w:r>
        <w:rPr>
          <w:rFonts w:ascii="Arial" w:cs="Arial" w:eastAsia="Arial" w:hAnsi="Arial"/>
          <w:b w:val="false"/>
          <w:bCs w:val="false"/>
          <w:color w:val="404040"/>
          <w:sz w:val="22"/>
          <w:szCs w:val="22"/>
        </w:rPr>
        <w:t xml:space="preserve">Ethical considerations: potential biases, fairness limitations, and mitigations;</w:t>
      </w:r>
    </w:p>
    <w:p>
      <w:pPr>
        <w:pStyle w:val="ListParagraph"/>
        <w:numPr>
          <w:ilvl w:val="0"/>
          <w:numId w:val="2"/>
        </w:numPr>
        <w:spacing w:after="80" w:line="264"/>
      </w:pPr>
      <w:r>
        <w:rPr>
          <w:rFonts w:ascii="Arial" w:cs="Arial" w:eastAsia="Arial" w:hAnsi="Arial"/>
          <w:b w:val="false"/>
          <w:bCs w:val="false"/>
          <w:color w:val="404040"/>
          <w:sz w:val="22"/>
          <w:szCs w:val="22"/>
        </w:rPr>
        <w:t xml:space="preserve">Caveats and recommendations for downstream users.</w:t>
      </w:r>
    </w:p>
    <w:p>
      <w:pPr>
        <w:spacing w:after="120"/>
      </w:pPr>
      <w:r>
        <w:t xml:space="preserve"/>
      </w:r>
    </w:p>
    <w:p>
      <w:pPr>
        <w:pStyle w:val="Heading2"/>
        <w:spacing w:before="200" w:after="120"/>
      </w:pPr>
      <w:r>
        <w:rPr>
          <w:rFonts w:ascii="Arial" w:cs="Arial" w:eastAsia="Arial" w:hAnsi="Arial"/>
          <w:b/>
          <w:bCs/>
          <w:color w:val="2E75B6"/>
          <w:sz w:val="26"/>
          <w:szCs w:val="26"/>
        </w:rPr>
        <w:t xml:space="preserve">5.4  Red-Teaming and Adversarial Testing</w:t>
      </w:r>
    </w:p>
    <w:p>
      <w:pPr>
        <w:spacing w:after="120" w:line="276"/>
      </w:pPr>
      <w:r>
        <w:rPr>
          <w:rFonts w:ascii="Arial" w:cs="Arial" w:eastAsia="Arial" w:hAnsi="Arial"/>
          <w:color w:val="404040"/>
          <w:sz w:val="22"/>
          <w:szCs w:val="22"/>
        </w:rPr>
        <w:t xml:space="preserve">Prior to each production deployment of GenStudio (including major version updates), the Security Engineer and Model Owner shall conduct structured red-teaming exercises covering:</w:t>
      </w:r>
    </w:p>
    <w:p>
      <w:pPr>
        <w:pStyle w:val="ListParagraph"/>
        <w:numPr>
          <w:ilvl w:val="0"/>
          <w:numId w:val="2"/>
        </w:numPr>
        <w:spacing w:after="80" w:line="264"/>
      </w:pPr>
      <w:r>
        <w:rPr>
          <w:rFonts w:ascii="Arial" w:cs="Arial" w:eastAsia="Arial" w:hAnsi="Arial"/>
          <w:b w:val="false"/>
          <w:bCs w:val="false"/>
          <w:color w:val="404040"/>
          <w:sz w:val="22"/>
          <w:szCs w:val="22"/>
        </w:rPr>
        <w:t xml:space="preserve">Prompt injection and jailbreak attempts designed to bypass content safety filters;</w:t>
      </w:r>
    </w:p>
    <w:p>
      <w:pPr>
        <w:pStyle w:val="ListParagraph"/>
        <w:numPr>
          <w:ilvl w:val="0"/>
          <w:numId w:val="2"/>
        </w:numPr>
        <w:spacing w:after="80" w:line="264"/>
      </w:pPr>
      <w:r>
        <w:rPr>
          <w:rFonts w:ascii="Arial" w:cs="Arial" w:eastAsia="Arial" w:hAnsi="Arial"/>
          <w:b w:val="false"/>
          <w:bCs w:val="false"/>
          <w:color w:val="404040"/>
          <w:sz w:val="22"/>
          <w:szCs w:val="22"/>
        </w:rPr>
        <w:t xml:space="preserve">Attempts to elicit harmful, offensive, or discriminatory outputs;</w:t>
      </w:r>
    </w:p>
    <w:p>
      <w:pPr>
        <w:pStyle w:val="ListParagraph"/>
        <w:numPr>
          <w:ilvl w:val="0"/>
          <w:numId w:val="2"/>
        </w:numPr>
        <w:spacing w:after="80" w:line="264"/>
      </w:pPr>
      <w:r>
        <w:rPr>
          <w:rFonts w:ascii="Arial" w:cs="Arial" w:eastAsia="Arial" w:hAnsi="Arial"/>
          <w:b w:val="false"/>
          <w:bCs w:val="false"/>
          <w:color w:val="404040"/>
          <w:sz w:val="22"/>
          <w:szCs w:val="22"/>
        </w:rPr>
        <w:t xml:space="preserve">Tests for training data memorisation and potential PII leakage;</w:t>
      </w:r>
    </w:p>
    <w:p>
      <w:pPr>
        <w:pStyle w:val="ListParagraph"/>
        <w:numPr>
          <w:ilvl w:val="0"/>
          <w:numId w:val="2"/>
        </w:numPr>
        <w:spacing w:after="80" w:line="264"/>
      </w:pPr>
      <w:r>
        <w:rPr>
          <w:rFonts w:ascii="Arial" w:cs="Arial" w:eastAsia="Arial" w:hAnsi="Arial"/>
          <w:b w:val="false"/>
          <w:bCs w:val="false"/>
          <w:color w:val="404040"/>
          <w:sz w:val="22"/>
          <w:szCs w:val="22"/>
        </w:rPr>
        <w:t xml:space="preserve">Adversarial inputs designed to degrade output quality or introduce bias.</w:t>
      </w:r>
    </w:p>
    <w:p>
      <w:pPr>
        <w:spacing w:after="80"/>
      </w:pPr>
      <w:r>
        <w:t xml:space="preserve"/>
      </w:r>
    </w:p>
    <w:p>
      <w:pPr>
        <w:spacing w:after="120" w:line="276"/>
      </w:pPr>
      <w:r>
        <w:rPr>
          <w:rFonts w:ascii="Arial" w:cs="Arial" w:eastAsia="Arial" w:hAnsi="Arial"/>
          <w:color w:val="404040"/>
          <w:sz w:val="22"/>
          <w:szCs w:val="22"/>
        </w:rPr>
        <w:t xml:space="preserve">Red-teaming results shall be documented and reviewed by the AI Governance Lead. Critical findings must be remediated before deployment approval is granted. Red-teaming exercises shall be repeated at least annually for all production models.</w:t>
      </w:r>
    </w:p>
    <w:p>
      <w:r>
        <w:br w:type="page"/>
      </w:r>
    </w:p>
    <w:p>
      <w:pPr>
        <w:pStyle w:val="Heading1"/>
        <w:spacing w:before="240" w:after="200"/>
      </w:pPr>
      <w:r>
        <w:rPr>
          <w:rFonts w:ascii="Arial" w:cs="Arial" w:eastAsia="Arial" w:hAnsi="Arial"/>
          <w:b/>
          <w:bCs/>
          <w:color w:val="1F3864"/>
          <w:sz w:val="32"/>
          <w:szCs w:val="32"/>
        </w:rPr>
        <w:t xml:space="preserve">6.  Data Privacy and Protection</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AInnovate processes personal data in connection with AI systems in two principal contexts: (i) training and fine-tuning AI models, and (ii) processing user-submitted prompts and generated outputs through GenStudio's inference pipeline. This section establishes requirements for both contexts, complementing AInnovate's ISO 27001 ISMS and applicable data protection legislation.</w:t>
      </w:r>
    </w:p>
    <w:p>
      <w:pPr>
        <w:spacing w:after="120"/>
      </w:pPr>
      <w:r>
        <w:t xml:space="preserve"/>
      </w:r>
    </w:p>
    <w:p>
      <w:pPr>
        <w:pStyle w:val="Heading2"/>
        <w:spacing w:before="200" w:after="120"/>
      </w:pPr>
      <w:r>
        <w:rPr>
          <w:rFonts w:ascii="Arial" w:cs="Arial" w:eastAsia="Arial" w:hAnsi="Arial"/>
          <w:b/>
          <w:bCs/>
          <w:color w:val="2E75B6"/>
          <w:sz w:val="26"/>
          <w:szCs w:val="26"/>
        </w:rPr>
        <w:t xml:space="preserve">6.1  Privacy by Design Requirements</w:t>
      </w:r>
    </w:p>
    <w:p>
      <w:pPr>
        <w:pStyle w:val="ListParagraph"/>
        <w:numPr>
          <w:ilvl w:val="0"/>
          <w:numId w:val="2"/>
        </w:numPr>
        <w:spacing w:after="80" w:line="264"/>
      </w:pPr>
      <w:r>
        <w:rPr>
          <w:rFonts w:ascii="Arial" w:cs="Arial" w:eastAsia="Arial" w:hAnsi="Arial"/>
          <w:b w:val="false"/>
          <w:bCs w:val="false"/>
          <w:color w:val="404040"/>
          <w:sz w:val="22"/>
          <w:szCs w:val="22"/>
        </w:rPr>
        <w:t xml:space="preserve">A Data Protection Impact Assessment (DPIA) shall be completed before any personal data is incorporated into AI training datasets or inference pipelines.</w:t>
      </w:r>
    </w:p>
    <w:p>
      <w:pPr>
        <w:pStyle w:val="ListParagraph"/>
        <w:numPr>
          <w:ilvl w:val="0"/>
          <w:numId w:val="2"/>
        </w:numPr>
        <w:spacing w:after="80" w:line="264"/>
      </w:pPr>
      <w:r>
        <w:rPr>
          <w:rFonts w:ascii="Arial" w:cs="Arial" w:eastAsia="Arial" w:hAnsi="Arial"/>
          <w:b w:val="false"/>
          <w:bCs w:val="false"/>
          <w:color w:val="404040"/>
          <w:sz w:val="22"/>
          <w:szCs w:val="22"/>
        </w:rPr>
        <w:t xml:space="preserve">Training datasets shall be de-identified or pseudonymised wherever technically feasible. Where de-identification is not feasible, the Data Steward must document the legal basis and implement compensating controls.</w:t>
      </w:r>
    </w:p>
    <w:p>
      <w:pPr>
        <w:pStyle w:val="ListParagraph"/>
        <w:numPr>
          <w:ilvl w:val="0"/>
          <w:numId w:val="2"/>
        </w:numPr>
        <w:spacing w:after="80" w:line="264"/>
      </w:pPr>
      <w:r>
        <w:rPr>
          <w:rFonts w:ascii="Arial" w:cs="Arial" w:eastAsia="Arial" w:hAnsi="Arial"/>
          <w:b w:val="false"/>
          <w:bCs w:val="false"/>
          <w:color w:val="404040"/>
          <w:sz w:val="22"/>
          <w:szCs w:val="22"/>
        </w:rPr>
        <w:t xml:space="preserve">Personal data shall not be retained in inference logs beyond 30 days unless legally required or explicitly consented to by the data subject.</w:t>
      </w:r>
    </w:p>
    <w:p>
      <w:pPr>
        <w:pStyle w:val="ListParagraph"/>
        <w:numPr>
          <w:ilvl w:val="0"/>
          <w:numId w:val="2"/>
        </w:numPr>
        <w:spacing w:after="80" w:line="264"/>
      </w:pPr>
      <w:r>
        <w:rPr>
          <w:rFonts w:ascii="Arial" w:cs="Arial" w:eastAsia="Arial" w:hAnsi="Arial"/>
          <w:b w:val="false"/>
          <w:bCs w:val="false"/>
          <w:color w:val="404040"/>
          <w:sz w:val="22"/>
          <w:szCs w:val="22"/>
        </w:rPr>
        <w:t xml:space="preserve">GenStudio prompts submitted by users shall be treated as potentially containing PII; the inference pipeline shall apply automated PII detection and masking before any logging.</w:t>
      </w:r>
    </w:p>
    <w:p>
      <w:pPr>
        <w:pStyle w:val="ListParagraph"/>
        <w:numPr>
          <w:ilvl w:val="0"/>
          <w:numId w:val="2"/>
        </w:numPr>
        <w:spacing w:after="80" w:line="264"/>
      </w:pPr>
      <w:r>
        <w:rPr>
          <w:rFonts w:ascii="Arial" w:cs="Arial" w:eastAsia="Arial" w:hAnsi="Arial"/>
          <w:b w:val="false"/>
          <w:bCs w:val="false"/>
          <w:color w:val="404040"/>
          <w:sz w:val="22"/>
          <w:szCs w:val="22"/>
        </w:rPr>
        <w:t xml:space="preserve">All AI data assets are classified under AInnovate's data classification scheme and subject to corresponding ISO 27001 controls.</w:t>
      </w:r>
    </w:p>
    <w:p>
      <w:pPr>
        <w:spacing w:after="120"/>
      </w:pPr>
      <w:r>
        <w:t xml:space="preserve"/>
      </w:r>
    </w:p>
    <w:p>
      <w:pPr>
        <w:pStyle w:val="Heading2"/>
        <w:spacing w:before="200" w:after="120"/>
      </w:pPr>
      <w:r>
        <w:rPr>
          <w:rFonts w:ascii="Arial" w:cs="Arial" w:eastAsia="Arial" w:hAnsi="Arial"/>
          <w:b/>
          <w:bCs/>
          <w:color w:val="2E75B6"/>
          <w:sz w:val="26"/>
          <w:szCs w:val="26"/>
        </w:rPr>
        <w:t xml:space="preserve">6.2  Third-Party and Supply Chain Data</w:t>
      </w:r>
    </w:p>
    <w:p>
      <w:pPr>
        <w:spacing w:after="120" w:line="276"/>
      </w:pPr>
      <w:r>
        <w:rPr>
          <w:rFonts w:ascii="Arial" w:cs="Arial" w:eastAsia="Arial" w:hAnsi="Arial"/>
          <w:color w:val="404040"/>
          <w:sz w:val="22"/>
          <w:szCs w:val="22"/>
        </w:rPr>
        <w:t xml:space="preserve">Where AInnovate uses third-party datasets (including licensed corpora or AWS Bedrock base models) in AI development:</w:t>
      </w:r>
    </w:p>
    <w:p>
      <w:pPr>
        <w:pStyle w:val="ListParagraph"/>
        <w:numPr>
          <w:ilvl w:val="0"/>
          <w:numId w:val="2"/>
        </w:numPr>
        <w:spacing w:after="80" w:line="264"/>
      </w:pPr>
      <w:r>
        <w:rPr>
          <w:rFonts w:ascii="Arial" w:cs="Arial" w:eastAsia="Arial" w:hAnsi="Arial"/>
          <w:b w:val="false"/>
          <w:bCs w:val="false"/>
          <w:color w:val="404040"/>
          <w:sz w:val="22"/>
          <w:szCs w:val="22"/>
        </w:rPr>
        <w:t xml:space="preserve">The Data Steward shall verify the licence terms permit use in commercial AI training;</w:t>
      </w:r>
    </w:p>
    <w:p>
      <w:pPr>
        <w:pStyle w:val="ListParagraph"/>
        <w:numPr>
          <w:ilvl w:val="0"/>
          <w:numId w:val="2"/>
        </w:numPr>
        <w:spacing w:after="80" w:line="264"/>
      </w:pPr>
      <w:r>
        <w:rPr>
          <w:rFonts w:ascii="Arial" w:cs="Arial" w:eastAsia="Arial" w:hAnsi="Arial"/>
          <w:b w:val="false"/>
          <w:bCs w:val="false"/>
          <w:color w:val="404040"/>
          <w:sz w:val="22"/>
          <w:szCs w:val="22"/>
        </w:rPr>
        <w:t xml:space="preserve">Data provenance shall be recorded in the AI Model Registry;</w:t>
      </w:r>
    </w:p>
    <w:p>
      <w:pPr>
        <w:pStyle w:val="ListParagraph"/>
        <w:numPr>
          <w:ilvl w:val="0"/>
          <w:numId w:val="2"/>
        </w:numPr>
        <w:spacing w:after="80" w:line="264"/>
      </w:pPr>
      <w:r>
        <w:rPr>
          <w:rFonts w:ascii="Arial" w:cs="Arial" w:eastAsia="Arial" w:hAnsi="Arial"/>
          <w:b w:val="false"/>
          <w:bCs w:val="false"/>
          <w:color w:val="404040"/>
          <w:sz w:val="22"/>
          <w:szCs w:val="22"/>
        </w:rPr>
        <w:t xml:space="preserve">Third-party data processors must be bound by data processing agreements compliant with GDPR Article 28.</w:t>
      </w:r>
    </w:p>
    <w:p>
      <w:pPr>
        <w:spacing w:after="120"/>
      </w:pPr>
      <w:r>
        <w:t xml:space="preserve"/>
      </w:r>
    </w:p>
    <w:p>
      <w:pPr>
        <w:pStyle w:val="Heading2"/>
        <w:spacing w:before="200" w:after="120"/>
      </w:pPr>
      <w:r>
        <w:rPr>
          <w:rFonts w:ascii="Arial" w:cs="Arial" w:eastAsia="Arial" w:hAnsi="Arial"/>
          <w:b/>
          <w:bCs/>
          <w:color w:val="2E75B6"/>
          <w:sz w:val="26"/>
          <w:szCs w:val="26"/>
        </w:rPr>
        <w:t xml:space="preserve">6.3  AWS Infrastructure Security Controls</w:t>
      </w:r>
    </w:p>
    <w:p>
      <w:pPr>
        <w:spacing w:after="120" w:line="276"/>
      </w:pPr>
      <w:r>
        <w:rPr>
          <w:rFonts w:ascii="Arial" w:cs="Arial" w:eastAsia="Arial" w:hAnsi="Arial"/>
          <w:color w:val="404040"/>
          <w:sz w:val="22"/>
          <w:szCs w:val="22"/>
        </w:rPr>
        <w:t xml:space="preserve">GenStudio's LLM is hosted on AWS. The following controls are mandatory and shall be verified by the Security Engineer quarterly:</w:t>
      </w:r>
    </w:p>
    <w:p>
      <w:pPr>
        <w:pStyle w:val="ListParagraph"/>
        <w:numPr>
          <w:ilvl w:val="0"/>
          <w:numId w:val="2"/>
        </w:numPr>
        <w:spacing w:after="80" w:line="264"/>
      </w:pPr>
      <w:r>
        <w:rPr>
          <w:rFonts w:ascii="Arial" w:cs="Arial" w:eastAsia="Arial" w:hAnsi="Arial"/>
          <w:b w:val="false"/>
          <w:bCs w:val="false"/>
          <w:color w:val="404040"/>
          <w:sz w:val="22"/>
          <w:szCs w:val="22"/>
        </w:rPr>
        <w:t xml:space="preserve">Encryption at rest (AWS KMS) for all model artefacts and inference logs;</w:t>
      </w:r>
    </w:p>
    <w:p>
      <w:pPr>
        <w:pStyle w:val="ListParagraph"/>
        <w:numPr>
          <w:ilvl w:val="0"/>
          <w:numId w:val="2"/>
        </w:numPr>
        <w:spacing w:after="80" w:line="264"/>
      </w:pPr>
      <w:r>
        <w:rPr>
          <w:rFonts w:ascii="Arial" w:cs="Arial" w:eastAsia="Arial" w:hAnsi="Arial"/>
          <w:b w:val="false"/>
          <w:bCs w:val="false"/>
          <w:color w:val="404040"/>
          <w:sz w:val="22"/>
          <w:szCs w:val="22"/>
        </w:rPr>
        <w:t xml:space="preserve">Encryption in transit (TLS 1.2+) for all API calls;</w:t>
      </w:r>
    </w:p>
    <w:p>
      <w:pPr>
        <w:pStyle w:val="ListParagraph"/>
        <w:numPr>
          <w:ilvl w:val="0"/>
          <w:numId w:val="2"/>
        </w:numPr>
        <w:spacing w:after="80" w:line="264"/>
      </w:pPr>
      <w:r>
        <w:rPr>
          <w:rFonts w:ascii="Arial" w:cs="Arial" w:eastAsia="Arial" w:hAnsi="Arial"/>
          <w:b w:val="false"/>
          <w:bCs w:val="false"/>
          <w:color w:val="404040"/>
          <w:sz w:val="22"/>
          <w:szCs w:val="22"/>
        </w:rPr>
        <w:t xml:space="preserve">AWS IAM least-privilege access policies for model endpoints;</w:t>
      </w:r>
    </w:p>
    <w:p>
      <w:pPr>
        <w:pStyle w:val="ListParagraph"/>
        <w:numPr>
          <w:ilvl w:val="0"/>
          <w:numId w:val="2"/>
        </w:numPr>
        <w:spacing w:after="80" w:line="264"/>
      </w:pPr>
      <w:r>
        <w:rPr>
          <w:rFonts w:ascii="Arial" w:cs="Arial" w:eastAsia="Arial" w:hAnsi="Arial"/>
          <w:b w:val="false"/>
          <w:bCs w:val="false"/>
          <w:color w:val="404040"/>
          <w:sz w:val="22"/>
          <w:szCs w:val="22"/>
        </w:rPr>
        <w:t xml:space="preserve">VPC deployment with private endpoints for inference to prevent public internet exposure of raw model APIs;</w:t>
      </w:r>
    </w:p>
    <w:p>
      <w:pPr>
        <w:pStyle w:val="ListParagraph"/>
        <w:numPr>
          <w:ilvl w:val="0"/>
          <w:numId w:val="2"/>
        </w:numPr>
        <w:spacing w:after="80" w:line="264"/>
      </w:pPr>
      <w:r>
        <w:rPr>
          <w:rFonts w:ascii="Arial" w:cs="Arial" w:eastAsia="Arial" w:hAnsi="Arial"/>
          <w:b w:val="false"/>
          <w:bCs w:val="false"/>
          <w:color w:val="404040"/>
          <w:sz w:val="22"/>
          <w:szCs w:val="22"/>
        </w:rPr>
        <w:t xml:space="preserve">AWS CloudTrail logging enabled for all model invocations;</w:t>
      </w:r>
    </w:p>
    <w:p>
      <w:pPr>
        <w:pStyle w:val="ListParagraph"/>
        <w:numPr>
          <w:ilvl w:val="0"/>
          <w:numId w:val="2"/>
        </w:numPr>
        <w:spacing w:after="80" w:line="264"/>
      </w:pPr>
      <w:r>
        <w:rPr>
          <w:rFonts w:ascii="Arial" w:cs="Arial" w:eastAsia="Arial" w:hAnsi="Arial"/>
          <w:b w:val="false"/>
          <w:bCs w:val="false"/>
          <w:color w:val="404040"/>
          <w:sz w:val="22"/>
          <w:szCs w:val="22"/>
        </w:rPr>
        <w:t xml:space="preserve">Regular review of AWS Trusted Advisor and Security Hub findings.</w:t>
      </w:r>
    </w:p>
    <w:p>
      <w:r>
        <w:br w:type="page"/>
      </w:r>
    </w:p>
    <w:p>
      <w:pPr>
        <w:pStyle w:val="Heading1"/>
        <w:spacing w:before="240" w:after="200"/>
      </w:pPr>
      <w:r>
        <w:rPr>
          <w:rFonts w:ascii="Arial" w:cs="Arial" w:eastAsia="Arial" w:hAnsi="Arial"/>
          <w:b/>
          <w:bCs/>
          <w:color w:val="1F3864"/>
          <w:sz w:val="32"/>
          <w:szCs w:val="32"/>
        </w:rPr>
        <w:t xml:space="preserve">7.  Bias and Fairness</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Algorithmic bias in generative AI systems can perpetuate stereotypes, misrepresent communities, or produce outputs that are systematically less helpful or more harmful to certain groups. AInnovate is committed to identifying and mitigating bias as an ongoing discipline rather than a one-time check. Detailed methodology is provided in the companion document AInnovate Bias Assessment Methodology (AIN-GOV-002).</w:t>
      </w:r>
    </w:p>
    <w:p>
      <w:pPr>
        <w:spacing w:after="120"/>
      </w:pPr>
      <w:r>
        <w:t xml:space="preserve"/>
      </w:r>
    </w:p>
    <w:p>
      <w:pPr>
        <w:pStyle w:val="Heading2"/>
        <w:spacing w:before="200" w:after="120"/>
      </w:pPr>
      <w:r>
        <w:rPr>
          <w:rFonts w:ascii="Arial" w:cs="Arial" w:eastAsia="Arial" w:hAnsi="Arial"/>
          <w:b/>
          <w:bCs/>
          <w:color w:val="2E75B6"/>
          <w:sz w:val="26"/>
          <w:szCs w:val="26"/>
        </w:rPr>
        <w:t xml:space="preserve">7.1  Bias Assessment Requirements</w:t>
      </w:r>
    </w:p>
    <w:p>
      <w:pPr>
        <w:pStyle w:val="ListParagraph"/>
        <w:numPr>
          <w:ilvl w:val="0"/>
          <w:numId w:val="2"/>
        </w:numPr>
        <w:spacing w:after="80" w:line="264"/>
      </w:pPr>
      <w:r>
        <w:rPr>
          <w:rFonts w:ascii="Arial" w:cs="Arial" w:eastAsia="Arial" w:hAnsi="Arial"/>
          <w:b w:val="false"/>
          <w:bCs w:val="false"/>
          <w:color w:val="404040"/>
          <w:sz w:val="22"/>
          <w:szCs w:val="22"/>
        </w:rPr>
        <w:t xml:space="preserve">A bias assessment is mandatory prior to initial production deployment and after any significant model update (including fine-tuning on new data or prompt system changes).</w:t>
      </w:r>
    </w:p>
    <w:p>
      <w:pPr>
        <w:pStyle w:val="ListParagraph"/>
        <w:numPr>
          <w:ilvl w:val="0"/>
          <w:numId w:val="2"/>
        </w:numPr>
        <w:spacing w:after="80" w:line="264"/>
      </w:pPr>
      <w:r>
        <w:rPr>
          <w:rFonts w:ascii="Arial" w:cs="Arial" w:eastAsia="Arial" w:hAnsi="Arial"/>
          <w:b w:val="false"/>
          <w:bCs w:val="false"/>
          <w:color w:val="404040"/>
          <w:sz w:val="22"/>
          <w:szCs w:val="22"/>
        </w:rPr>
        <w:t xml:space="preserve">Scheduled bias re-assessments shall be conducted at least semi-annually for GenStudio.</w:t>
      </w:r>
    </w:p>
    <w:p>
      <w:pPr>
        <w:pStyle w:val="ListParagraph"/>
        <w:numPr>
          <w:ilvl w:val="0"/>
          <w:numId w:val="2"/>
        </w:numPr>
        <w:spacing w:after="80" w:line="264"/>
      </w:pPr>
      <w:r>
        <w:rPr>
          <w:rFonts w:ascii="Arial" w:cs="Arial" w:eastAsia="Arial" w:hAnsi="Arial"/>
          <w:b w:val="false"/>
          <w:bCs w:val="false"/>
          <w:color w:val="404040"/>
          <w:sz w:val="22"/>
          <w:szCs w:val="22"/>
        </w:rPr>
        <w:t xml:space="preserve">Bias assessments shall evaluate outputs across demographic dimensions relevant to marketing content, including (but not limited to): gender, race/ethnicity, age, nationality, religion, and disability.</w:t>
      </w:r>
    </w:p>
    <w:p>
      <w:pPr>
        <w:pStyle w:val="ListParagraph"/>
        <w:numPr>
          <w:ilvl w:val="0"/>
          <w:numId w:val="2"/>
        </w:numPr>
        <w:spacing w:after="80" w:line="264"/>
      </w:pPr>
      <w:r>
        <w:rPr>
          <w:rFonts w:ascii="Arial" w:cs="Arial" w:eastAsia="Arial" w:hAnsi="Arial"/>
          <w:b w:val="false"/>
          <w:bCs w:val="false"/>
          <w:color w:val="404040"/>
          <w:sz w:val="22"/>
          <w:szCs w:val="22"/>
        </w:rPr>
        <w:t xml:space="preserve">Assessment results shall be documented and reviewed by the AI Governance Lead. Results that exceed defined thresholds shall trigger mandatory remediation before continued production operation.</w:t>
      </w:r>
    </w:p>
    <w:p>
      <w:pPr>
        <w:spacing w:after="120"/>
      </w:pPr>
      <w:r>
        <w:t xml:space="preserve"/>
      </w:r>
    </w:p>
    <w:p>
      <w:pPr>
        <w:pStyle w:val="Heading2"/>
        <w:spacing w:before="200" w:after="120"/>
      </w:pPr>
      <w:r>
        <w:rPr>
          <w:rFonts w:ascii="Arial" w:cs="Arial" w:eastAsia="Arial" w:hAnsi="Arial"/>
          <w:b/>
          <w:bCs/>
          <w:color w:val="2E75B6"/>
          <w:sz w:val="26"/>
          <w:szCs w:val="26"/>
        </w:rPr>
        <w:t xml:space="preserve">7.2  Fairness Metrics</w:t>
      </w:r>
    </w:p>
    <w:p>
      <w:pPr>
        <w:spacing w:after="120" w:line="276"/>
      </w:pPr>
      <w:r>
        <w:rPr>
          <w:rFonts w:ascii="Arial" w:cs="Arial" w:eastAsia="Arial" w:hAnsi="Arial"/>
          <w:color w:val="404040"/>
          <w:sz w:val="22"/>
          <w:szCs w:val="22"/>
        </w:rPr>
        <w:t xml:space="preserve">AInnovate shall measure the following fairness metrics for GenStudio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43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5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Acceptable Threshold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Demographic Parity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Proportion of positive/neutral sentiment outputs should not differ significantly across demographic groups in test prompts.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&lt; 5% disparity across groups</w:t>
            </w:r>
          </w:p>
        </w:tc>
      </w:tr>
      <w:tr>
        <w:tc>
          <w:tcPr>
            <w:tcW w:type="dxa" w:w="25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Equal Opportunity</w:t>
            </w:r>
          </w:p>
        </w:tc>
        <w:tc>
          <w:tcPr>
            <w:tcW w:type="dxa" w:w="43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Rate of 'high quality' output classifications should be consistent across demographic groups.</w:t>
            </w:r>
          </w:p>
        </w:tc>
        <w:tc>
          <w:tcPr>
            <w:tcW w:type="dxa" w:w="25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&lt; 5% disparity across groups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Stereotype Amplification Rate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Frequency with which outputs reinforce known stereotypical associations.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&lt; 2% of evaluated outputs</w:t>
            </w:r>
          </w:p>
        </w:tc>
      </w:tr>
      <w:tr>
        <w:tc>
          <w:tcPr>
            <w:tcW w:type="dxa" w:w="25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Toxicity Differential</w:t>
            </w:r>
          </w:p>
        </w:tc>
        <w:tc>
          <w:tcPr>
            <w:tcW w:type="dxa" w:w="43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Difference in Perspective API toxicity scores for outputs referencing different demographic groups.</w:t>
            </w:r>
          </w:p>
        </w:tc>
        <w:tc>
          <w:tcPr>
            <w:tcW w:type="dxa" w:w="25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&lt; 0.05 mean score difference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Content Refusal Parity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Rate at which the system refuses to generate content should not be disproportionate across groups.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&lt; 3% disparity across groups</w:t>
            </w:r>
          </w:p>
        </w:tc>
      </w:tr>
    </w:tbl>
    <w:p>
      <w:r>
        <w:br w:type="page"/>
      </w:r>
    </w:p>
    <w:p>
      <w:pPr>
        <w:pStyle w:val="Heading1"/>
        <w:spacing w:before="240" w:after="200"/>
      </w:pPr>
      <w:r>
        <w:rPr>
          <w:rFonts w:ascii="Arial" w:cs="Arial" w:eastAsia="Arial" w:hAnsi="Arial"/>
          <w:b/>
          <w:bCs/>
          <w:color w:val="1F3864"/>
          <w:sz w:val="32"/>
          <w:szCs w:val="32"/>
        </w:rPr>
        <w:t xml:space="preserve">8.  Transparency and Explainability</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Transparency and explainability are fundamental to building stakeholder trust in AI systems and to meeting regulatory obligations under the EU AI Act (Article 13 – Transparency and provision of information to deployers) and GDPR Article 22 (automated decision-making). This section defines AInnovate's requirements for both external (user-facing) and internal transparency.</w:t>
      </w:r>
    </w:p>
    <w:p>
      <w:pPr>
        <w:spacing w:after="120"/>
      </w:pPr>
      <w:r>
        <w:t xml:space="preserve"/>
      </w:r>
    </w:p>
    <w:p>
      <w:pPr>
        <w:pStyle w:val="Heading2"/>
        <w:spacing w:before="200" w:after="120"/>
      </w:pPr>
      <w:r>
        <w:rPr>
          <w:rFonts w:ascii="Arial" w:cs="Arial" w:eastAsia="Arial" w:hAnsi="Arial"/>
          <w:b/>
          <w:bCs/>
          <w:color w:val="2E75B6"/>
          <w:sz w:val="26"/>
          <w:szCs w:val="26"/>
        </w:rPr>
        <w:t xml:space="preserve">8.1  User-Facing Transparency (GenStudio)</w:t>
      </w:r>
    </w:p>
    <w:p>
      <w:pPr>
        <w:pStyle w:val="ListParagraph"/>
        <w:numPr>
          <w:ilvl w:val="0"/>
          <w:numId w:val="2"/>
        </w:numPr>
        <w:spacing w:after="80" w:line="264"/>
      </w:pPr>
      <w:r>
        <w:rPr>
          <w:rFonts w:ascii="Arial" w:cs="Arial" w:eastAsia="Arial" w:hAnsi="Arial"/>
          <w:b w:val="false"/>
          <w:bCs w:val="false"/>
          <w:color w:val="404040"/>
          <w:sz w:val="22"/>
          <w:szCs w:val="22"/>
        </w:rPr>
        <w:t xml:space="preserve">All content generated by GenStudio shall be clearly labelled as AI-generated within the product interface (e.g., via an 'AI-generated' badge on all outputs).</w:t>
      </w:r>
    </w:p>
    <w:p>
      <w:pPr>
        <w:pStyle w:val="ListParagraph"/>
        <w:numPr>
          <w:ilvl w:val="0"/>
          <w:numId w:val="2"/>
        </w:numPr>
        <w:spacing w:after="80" w:line="264"/>
      </w:pPr>
      <w:r>
        <w:rPr>
          <w:rFonts w:ascii="Arial" w:cs="Arial" w:eastAsia="Arial" w:hAnsi="Arial"/>
          <w:b w:val="false"/>
          <w:bCs w:val="false"/>
          <w:color w:val="404040"/>
          <w:sz w:val="22"/>
          <w:szCs w:val="22"/>
        </w:rPr>
        <w:t xml:space="preserve">GenStudio's user documentation and Terms of Use shall disclose: the use of a large language model; the fact that outputs may contain inaccuracies; and the user's responsibility to review content before publication.</w:t>
      </w:r>
    </w:p>
    <w:p>
      <w:pPr>
        <w:pStyle w:val="ListParagraph"/>
        <w:numPr>
          <w:ilvl w:val="0"/>
          <w:numId w:val="2"/>
        </w:numPr>
        <w:spacing w:after="80" w:line="264"/>
      </w:pPr>
      <w:r>
        <w:rPr>
          <w:rFonts w:ascii="Arial" w:cs="Arial" w:eastAsia="Arial" w:hAnsi="Arial"/>
          <w:b w:val="false"/>
          <w:bCs w:val="false"/>
          <w:color w:val="404040"/>
          <w:sz w:val="22"/>
          <w:szCs w:val="22"/>
        </w:rPr>
        <w:t xml:space="preserve">AInnovate shall publish a plain-language AI Transparency Statement on its website, accessible to customers and the public.</w:t>
      </w:r>
    </w:p>
    <w:p>
      <w:pPr>
        <w:pStyle w:val="ListParagraph"/>
        <w:numPr>
          <w:ilvl w:val="0"/>
          <w:numId w:val="2"/>
        </w:numPr>
        <w:spacing w:after="80" w:line="264"/>
      </w:pPr>
      <w:r>
        <w:rPr>
          <w:rFonts w:ascii="Arial" w:cs="Arial" w:eastAsia="Arial" w:hAnsi="Arial"/>
          <w:b w:val="false"/>
          <w:bCs w:val="false"/>
          <w:color w:val="404040"/>
          <w:sz w:val="22"/>
          <w:szCs w:val="22"/>
        </w:rPr>
        <w:t xml:space="preserve">Users shall be informed of any material changes to GenStudio's underlying model or system prompt that could affect output characteristics.</w:t>
      </w:r>
    </w:p>
    <w:p>
      <w:pPr>
        <w:spacing w:after="120"/>
      </w:pPr>
      <w:r>
        <w:t xml:space="preserve"/>
      </w:r>
    </w:p>
    <w:p>
      <w:pPr>
        <w:pStyle w:val="Heading2"/>
        <w:spacing w:before="200" w:after="120"/>
      </w:pPr>
      <w:r>
        <w:rPr>
          <w:rFonts w:ascii="Arial" w:cs="Arial" w:eastAsia="Arial" w:hAnsi="Arial"/>
          <w:b/>
          <w:bCs/>
          <w:color w:val="2E75B6"/>
          <w:sz w:val="26"/>
          <w:szCs w:val="26"/>
        </w:rPr>
        <w:t xml:space="preserve">8.2  Internal Explainability Standards</w:t>
      </w:r>
    </w:p>
    <w:p>
      <w:pPr>
        <w:pStyle w:val="ListParagraph"/>
        <w:numPr>
          <w:ilvl w:val="0"/>
          <w:numId w:val="2"/>
        </w:numPr>
        <w:spacing w:after="80" w:line="264"/>
      </w:pPr>
      <w:r>
        <w:rPr>
          <w:rFonts w:ascii="Arial" w:cs="Arial" w:eastAsia="Arial" w:hAnsi="Arial"/>
          <w:b w:val="false"/>
          <w:bCs w:val="false"/>
          <w:color w:val="404040"/>
          <w:sz w:val="22"/>
          <w:szCs w:val="22"/>
        </w:rPr>
        <w:t xml:space="preserve">Model cards (Section 5.3) serve as the primary internal explainability documentation. They must describe, in accessible language, the model's capabilities, limitations, and known failure modes.</w:t>
      </w:r>
    </w:p>
    <w:p>
      <w:pPr>
        <w:pStyle w:val="ListParagraph"/>
        <w:numPr>
          <w:ilvl w:val="0"/>
          <w:numId w:val="2"/>
        </w:numPr>
        <w:spacing w:after="80" w:line="264"/>
      </w:pPr>
      <w:r>
        <w:rPr>
          <w:rFonts w:ascii="Arial" w:cs="Arial" w:eastAsia="Arial" w:hAnsi="Arial"/>
          <w:b w:val="false"/>
          <w:bCs w:val="false"/>
          <w:color w:val="404040"/>
          <w:sz w:val="22"/>
          <w:szCs w:val="22"/>
        </w:rPr>
        <w:t xml:space="preserve">For high-risk decisions informed by AI outputs, the Model Owner shall be able to provide a substantive explanation of how the system reached its output. For GenStudio, this means maintaining documentation of the fine-tuning approach, system prompt design, and content filter logic.</w:t>
      </w:r>
    </w:p>
    <w:p>
      <w:pPr>
        <w:pStyle w:val="ListParagraph"/>
        <w:numPr>
          <w:ilvl w:val="0"/>
          <w:numId w:val="2"/>
        </w:numPr>
        <w:spacing w:after="80" w:line="264"/>
      </w:pPr>
      <w:r>
        <w:rPr>
          <w:rFonts w:ascii="Arial" w:cs="Arial" w:eastAsia="Arial" w:hAnsi="Arial"/>
          <w:b w:val="false"/>
          <w:bCs w:val="false"/>
          <w:color w:val="404040"/>
          <w:sz w:val="22"/>
          <w:szCs w:val="22"/>
        </w:rPr>
        <w:t xml:space="preserve">AInnovate shall maintain records of all system prompt versions used in production, with rationale for changes, in the AI Model Registry.</w:t>
      </w:r>
    </w:p>
    <w:p>
      <w:pPr>
        <w:spacing w:after="120"/>
      </w:pPr>
      <w:r>
        <w:t xml:space="preserve"/>
      </w:r>
    </w:p>
    <w:p>
      <w:pPr>
        <w:pStyle w:val="Heading2"/>
        <w:spacing w:before="200" w:after="120"/>
      </w:pPr>
      <w:r>
        <w:rPr>
          <w:rFonts w:ascii="Arial" w:cs="Arial" w:eastAsia="Arial" w:hAnsi="Arial"/>
          <w:b/>
          <w:bCs/>
          <w:color w:val="2E75B6"/>
          <w:sz w:val="26"/>
          <w:szCs w:val="26"/>
        </w:rPr>
        <w:t xml:space="preserve">8.3  Human Oversight Mechanisms</w:t>
      </w:r>
    </w:p>
    <w:p>
      <w:pPr>
        <w:spacing w:after="120" w:line="276"/>
      </w:pPr>
      <w:r>
        <w:rPr>
          <w:rFonts w:ascii="Arial" w:cs="Arial" w:eastAsia="Arial" w:hAnsi="Arial"/>
          <w:color w:val="404040"/>
          <w:sz w:val="22"/>
          <w:szCs w:val="22"/>
        </w:rPr>
        <w:t xml:space="preserve">GenStudio is designed as an assistive tool. The following human oversight mechanisms are mandatory:</w:t>
      </w:r>
    </w:p>
    <w:p>
      <w:pPr>
        <w:pStyle w:val="ListParagraph"/>
        <w:numPr>
          <w:ilvl w:val="0"/>
          <w:numId w:val="2"/>
        </w:numPr>
        <w:spacing w:after="80" w:line="264"/>
      </w:pPr>
      <w:r>
        <w:rPr>
          <w:rFonts w:ascii="Arial" w:cs="Arial" w:eastAsia="Arial" w:hAnsi="Arial"/>
          <w:b w:val="false"/>
          <w:bCs w:val="false"/>
          <w:color w:val="404040"/>
          <w:sz w:val="22"/>
          <w:szCs w:val="22"/>
        </w:rPr>
        <w:t xml:space="preserve">All AI-generated ad copy must be reviewed and approved by a human before publication. The product workflow shall enforce this review step and maintain an audit log.</w:t>
      </w:r>
    </w:p>
    <w:p>
      <w:pPr>
        <w:pStyle w:val="ListParagraph"/>
        <w:numPr>
          <w:ilvl w:val="0"/>
          <w:numId w:val="2"/>
        </w:numPr>
        <w:spacing w:after="80" w:line="264"/>
      </w:pPr>
      <w:r>
        <w:rPr>
          <w:rFonts w:ascii="Arial" w:cs="Arial" w:eastAsia="Arial" w:hAnsi="Arial"/>
          <w:b w:val="false"/>
          <w:bCs w:val="false"/>
          <w:color w:val="404040"/>
          <w:sz w:val="22"/>
          <w:szCs w:val="22"/>
        </w:rPr>
        <w:t xml:space="preserve">GenStudio shall not be positioned or marketed as a fully autonomous content publishing system.</w:t>
      </w:r>
    </w:p>
    <w:p>
      <w:pPr>
        <w:pStyle w:val="ListParagraph"/>
        <w:numPr>
          <w:ilvl w:val="0"/>
          <w:numId w:val="2"/>
        </w:numPr>
        <w:spacing w:after="80" w:line="264"/>
      </w:pPr>
      <w:r>
        <w:rPr>
          <w:rFonts w:ascii="Arial" w:cs="Arial" w:eastAsia="Arial" w:hAnsi="Arial"/>
          <w:b w:val="false"/>
          <w:bCs w:val="false"/>
          <w:color w:val="404040"/>
          <w:sz w:val="22"/>
          <w:szCs w:val="22"/>
        </w:rPr>
        <w:t xml:space="preserve">Users shall have the ability to regenerate, edit, or reject any AI-generated output within the product interface.</w:t>
      </w:r>
    </w:p>
    <w:p>
      <w:r>
        <w:br w:type="page"/>
      </w:r>
    </w:p>
    <w:p>
      <w:pPr>
        <w:pStyle w:val="Heading1"/>
        <w:spacing w:before="240" w:after="200"/>
      </w:pPr>
      <w:r>
        <w:rPr>
          <w:rFonts w:ascii="Arial" w:cs="Arial" w:eastAsia="Arial" w:hAnsi="Arial"/>
          <w:b/>
          <w:bCs/>
          <w:color w:val="1F3864"/>
          <w:sz w:val="32"/>
          <w:szCs w:val="32"/>
        </w:rPr>
        <w:t xml:space="preserve">9.  AI Incident Response</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AI incidents — defined as events where an AI system produces outputs or exhibits behaviours that cause harm, violate policy, or create significant business or reputational risk — require a structured response process that complements AInnovate's existing Information Security incident procedures. Full procedures are defined in the AI Incident Response Plan (AIN-GOV-004). This section provides the policy-level requirements.</w:t>
      </w:r>
    </w:p>
    <w:p>
      <w:pPr>
        <w:spacing w:after="120"/>
      </w:pPr>
      <w:r>
        <w:t xml:space="preserve"/>
      </w:r>
    </w:p>
    <w:p>
      <w:pPr>
        <w:pStyle w:val="Heading2"/>
        <w:spacing w:before="200" w:after="120"/>
      </w:pPr>
      <w:r>
        <w:rPr>
          <w:rFonts w:ascii="Arial" w:cs="Arial" w:eastAsia="Arial" w:hAnsi="Arial"/>
          <w:b/>
          <w:bCs/>
          <w:color w:val="2E75B6"/>
          <w:sz w:val="26"/>
          <w:szCs w:val="26"/>
        </w:rPr>
        <w:t xml:space="preserve">9.1  AI Incident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25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52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P1 – Critical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Safety / Legal Violation</w:t>
            </w:r>
          </w:p>
        </w:tc>
        <w:tc>
          <w:tcPr>
            <w:tcW w:type="dxa" w:w="52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Output containing hate speech, CSAM, instructions for illegal activity, or defamation of identifiable individuals; confirmed data breach involving PII.</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P2 – High</w:t>
            </w:r>
          </w:p>
        </w:tc>
        <w:tc>
          <w:tcPr>
            <w:tcW w:type="dxa" w:w="25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Harmful / Biased Output</w:t>
            </w:r>
          </w:p>
        </w:tc>
        <w:tc>
          <w:tcPr>
            <w:tcW w:type="dxa" w:w="52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Systematic generation of discriminatory content; significant stereotype amplification detected; output causing demonstrable reputational harm to a customer.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P3 – Medium</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Performance Degradation / Compliance</w:t>
            </w:r>
          </w:p>
        </w:tc>
        <w:tc>
          <w:tcPr>
            <w:tcW w:type="dxa" w:w="52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Model accuracy drop exceeding defined SLA threshold; unexplained drift in output quality; minor data handling violations.</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P4 – Low</w:t>
            </w:r>
          </w:p>
        </w:tc>
        <w:tc>
          <w:tcPr>
            <w:tcW w:type="dxa" w:w="25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Quality / Anomaly</w:t>
            </w:r>
          </w:p>
        </w:tc>
        <w:tc>
          <w:tcPr>
            <w:tcW w:type="dxa" w:w="52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Isolated poor-quality outputs; user complaints about relevance; minor prompt injection attempts that were contained.</w:t>
            </w:r>
          </w:p>
        </w:tc>
      </w:tr>
    </w:tbl>
    <w:p>
      <w:pPr>
        <w:spacing w:after="200"/>
      </w:pPr>
      <w:r>
        <w:t xml:space="preserve"/>
      </w:r>
    </w:p>
    <w:p>
      <w:pPr>
        <w:pStyle w:val="Heading2"/>
        <w:spacing w:before="200" w:after="120"/>
      </w:pPr>
      <w:r>
        <w:rPr>
          <w:rFonts w:ascii="Arial" w:cs="Arial" w:eastAsia="Arial" w:hAnsi="Arial"/>
          <w:b/>
          <w:bCs/>
          <w:color w:val="2E75B6"/>
          <w:sz w:val="26"/>
          <w:szCs w:val="26"/>
        </w:rPr>
        <w:t xml:space="preserve">9.2  Policy Requirements</w:t>
      </w:r>
    </w:p>
    <w:p>
      <w:pPr>
        <w:pStyle w:val="ListParagraph"/>
        <w:numPr>
          <w:ilvl w:val="0"/>
          <w:numId w:val="2"/>
        </w:numPr>
        <w:spacing w:after="80" w:line="264"/>
      </w:pPr>
      <w:r>
        <w:rPr>
          <w:rFonts w:ascii="Arial" w:cs="Arial" w:eastAsia="Arial" w:hAnsi="Arial"/>
          <w:b w:val="false"/>
          <w:bCs w:val="false"/>
          <w:color w:val="404040"/>
          <w:sz w:val="22"/>
          <w:szCs w:val="22"/>
        </w:rPr>
        <w:t xml:space="preserve">All AInnovate employees and GenStudio users (via in-product reporting) shall have a clear mechanism to report suspected AI incidents.</w:t>
      </w:r>
    </w:p>
    <w:p>
      <w:pPr>
        <w:pStyle w:val="ListParagraph"/>
        <w:numPr>
          <w:ilvl w:val="0"/>
          <w:numId w:val="2"/>
        </w:numPr>
        <w:spacing w:after="80" w:line="264"/>
      </w:pPr>
      <w:r>
        <w:rPr>
          <w:rFonts w:ascii="Arial" w:cs="Arial" w:eastAsia="Arial" w:hAnsi="Arial"/>
          <w:b w:val="false"/>
          <w:bCs w:val="false"/>
          <w:color w:val="404040"/>
          <w:sz w:val="22"/>
          <w:szCs w:val="22"/>
        </w:rPr>
        <w:t xml:space="preserve">P1 incidents require immediate notification of the AI Governance Lead, CPO, CLO, and CTO within 1 hour of detection.</w:t>
      </w:r>
    </w:p>
    <w:p>
      <w:pPr>
        <w:pStyle w:val="ListParagraph"/>
        <w:numPr>
          <w:ilvl w:val="0"/>
          <w:numId w:val="2"/>
        </w:numPr>
        <w:spacing w:after="80" w:line="264"/>
      </w:pPr>
      <w:r>
        <w:rPr>
          <w:rFonts w:ascii="Arial" w:cs="Arial" w:eastAsia="Arial" w:hAnsi="Arial"/>
          <w:b w:val="false"/>
          <w:bCs w:val="false"/>
          <w:color w:val="404040"/>
          <w:sz w:val="22"/>
          <w:szCs w:val="22"/>
        </w:rPr>
        <w:t xml:space="preserve">P2 incidents require notification within 4 hours. P1 and P2 incidents may require suspension of the affected AI system pending investigation.</w:t>
      </w:r>
    </w:p>
    <w:p>
      <w:pPr>
        <w:pStyle w:val="ListParagraph"/>
        <w:numPr>
          <w:ilvl w:val="0"/>
          <w:numId w:val="2"/>
        </w:numPr>
        <w:spacing w:after="80" w:line="264"/>
      </w:pPr>
      <w:r>
        <w:rPr>
          <w:rFonts w:ascii="Arial" w:cs="Arial" w:eastAsia="Arial" w:hAnsi="Arial"/>
          <w:b w:val="false"/>
          <w:bCs w:val="false"/>
          <w:color w:val="404040"/>
          <w:sz w:val="22"/>
          <w:szCs w:val="22"/>
        </w:rPr>
        <w:t xml:space="preserve">Regulatory notification timelines under GDPR (72 hours for data breaches) and EU AI Act obligations shall be tracked by the CLO.</w:t>
      </w:r>
    </w:p>
    <w:p>
      <w:pPr>
        <w:pStyle w:val="ListParagraph"/>
        <w:numPr>
          <w:ilvl w:val="0"/>
          <w:numId w:val="2"/>
        </w:numPr>
        <w:spacing w:after="80" w:line="264"/>
      </w:pPr>
      <w:r>
        <w:rPr>
          <w:rFonts w:ascii="Arial" w:cs="Arial" w:eastAsia="Arial" w:hAnsi="Arial"/>
          <w:b w:val="false"/>
          <w:bCs w:val="false"/>
          <w:color w:val="404040"/>
          <w:sz w:val="22"/>
          <w:szCs w:val="22"/>
        </w:rPr>
        <w:t xml:space="preserve">Post-incident reviews (root cause analysis) are mandatory for all P1 and P2 incidents. Findings shall be reported to the AIGC.</w:t>
      </w:r>
    </w:p>
    <w:p>
      <w:pPr>
        <w:pStyle w:val="ListParagraph"/>
        <w:numPr>
          <w:ilvl w:val="0"/>
          <w:numId w:val="2"/>
        </w:numPr>
        <w:spacing w:after="80" w:line="264"/>
      </w:pPr>
      <w:r>
        <w:rPr>
          <w:rFonts w:ascii="Arial" w:cs="Arial" w:eastAsia="Arial" w:hAnsi="Arial"/>
          <w:b w:val="false"/>
          <w:bCs w:val="false"/>
          <w:color w:val="404040"/>
          <w:sz w:val="22"/>
          <w:szCs w:val="22"/>
        </w:rPr>
        <w:t xml:space="preserve">An AI incident log shall be maintained by the AI Governance Lead and reviewed at each AIGC meeting.</w:t>
      </w:r>
    </w:p>
    <w:p>
      <w:r>
        <w:br w:type="page"/>
      </w:r>
    </w:p>
    <w:p>
      <w:pPr>
        <w:pStyle w:val="Heading1"/>
        <w:spacing w:before="240" w:after="200"/>
      </w:pPr>
      <w:r>
        <w:rPr>
          <w:rFonts w:ascii="Arial" w:cs="Arial" w:eastAsia="Arial" w:hAnsi="Arial"/>
          <w:b/>
          <w:bCs/>
          <w:color w:val="1F3864"/>
          <w:sz w:val="32"/>
          <w:szCs w:val="32"/>
        </w:rPr>
        <w:t xml:space="preserve">10.  Compliance and Regulatory Alignment</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AInnovate operates in a rapidly evolving AI regulatory environment. This section summarises the key frameworks and how this Policy aligns with them. The CLO is responsible for monitoring regulatory developments and proposing Policy updates to the AIGC.</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Framework / Regulation</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Applicability</w:t>
            </w:r>
          </w:p>
        </w:tc>
        <w:tc>
          <w:tcPr>
            <w:tcW w:type="dxa" w:w="49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AInnovate Alignment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NIST AI RMF 1.0 (2023)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Voluntary (US)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This Policy is structured around the four NIST AI RMF Core Functions: Govern, Map, Measure, Manage. See Appendix A for full mapping.</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ISO/IEC 42001:2023 (AIMS)</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Voluntary (International)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AInnovate targets ISO 42001 certification by Q4 2026. The AI Governance Committee, model lifecycle, and risk assessment processes align with Clauses 4–10.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EU AI Act (2024/1689)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Mandatory for EU market</w:t>
            </w:r>
          </w:p>
        </w:tc>
        <w:tc>
          <w:tcPr>
            <w:tcW w:type="dxa" w:w="4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GenStudio is classified as Limited Risk. AInnovate implements transparency obligations (Article 13) and human oversight (Article 14). Registration in EU AI database is under review by CLO.</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UK AI White Paper / DSIT Guidance</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Voluntary (UK)</w:t>
            </w:r>
          </w:p>
        </w:tc>
        <w:tc>
          <w:tcPr>
            <w:tcW w:type="dxa" w:w="49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AInnovate aligns with the five UK AI principles (Safety, Security, Robustness; Transparency; Fairness; Accountability; Contestability).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GDPR / UK GDPR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Mandatory</w:t>
            </w:r>
          </w:p>
        </w:tc>
        <w:tc>
          <w:tcPr>
            <w:tcW w:type="dxa" w:w="4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DPIAs for AI data processing; data minimisation in training pipelines; retention limits on inference logs; data subject rights processes maintained by CDO.</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ISO/IEC 27001:2022 (ISMS)</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Certified (existing)</w:t>
            </w:r>
          </w:p>
        </w:tc>
        <w:tc>
          <w:tcPr>
            <w:tcW w:type="dxa" w:w="49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AI infrastructure and data assets are in scope of AInnovate's existing ISMS. AI-specific controls in this Policy integrate with Annex A controls A.8 (Technology) and A.5 (Policies).</w:t>
            </w:r>
          </w:p>
        </w:tc>
      </w:tr>
    </w:tbl>
    <w:p>
      <w:r>
        <w:br w:type="page"/>
      </w:r>
    </w:p>
    <w:p>
      <w:pPr>
        <w:pStyle w:val="Heading1"/>
        <w:spacing w:before="240" w:after="200"/>
      </w:pPr>
      <w:r>
        <w:rPr>
          <w:rFonts w:ascii="Arial" w:cs="Arial" w:eastAsia="Arial" w:hAnsi="Arial"/>
          <w:b/>
          <w:bCs/>
          <w:color w:val="1F3864"/>
          <w:sz w:val="32"/>
          <w:szCs w:val="32"/>
        </w:rPr>
        <w:t xml:space="preserve">11.  Policy Enforcement and Exceptions</w:t>
      </w:r>
    </w:p>
    <w:p>
      <w:pPr>
        <w:pBdr>
          <w:bottom w:val="single" w:color="2E75B6" w:sz="6" w:space="1"/>
        </w:pBdr>
        <w:spacing w:after="200"/>
      </w:pPr>
      <w:r>
        <w:t xml:space="preserve"/>
      </w:r>
    </w:p>
    <w:p>
      <w:pPr>
        <w:pStyle w:val="Heading2"/>
        <w:spacing w:before="200" w:after="120"/>
      </w:pPr>
      <w:r>
        <w:rPr>
          <w:rFonts w:ascii="Arial" w:cs="Arial" w:eastAsia="Arial" w:hAnsi="Arial"/>
          <w:b/>
          <w:bCs/>
          <w:color w:val="2E75B6"/>
          <w:sz w:val="26"/>
          <w:szCs w:val="26"/>
        </w:rPr>
        <w:t xml:space="preserve">11.1  Enforcement</w:t>
      </w:r>
    </w:p>
    <w:p>
      <w:pPr>
        <w:spacing w:after="120" w:line="276"/>
      </w:pPr>
      <w:r>
        <w:rPr>
          <w:rFonts w:ascii="Arial" w:cs="Arial" w:eastAsia="Arial" w:hAnsi="Arial"/>
          <w:color w:val="404040"/>
          <w:sz w:val="22"/>
          <w:szCs w:val="22"/>
        </w:rPr>
        <w:t xml:space="preserve">Compliance with this Policy is mandatory for all in-scope personnel. Breaches of this Policy may result in disciplinary action in accordance with AInnovate's HR policies, up to and including termination of employment or contract. Serious breaches involving personal data may also result in notification to supervisory authorities (e.g., the ICO) or legal action.</w:t>
      </w:r>
    </w:p>
    <w:p>
      <w:pPr>
        <w:spacing w:after="120" w:line="276"/>
      </w:pPr>
      <w:r>
        <w:rPr>
          <w:rFonts w:ascii="Arial" w:cs="Arial" w:eastAsia="Arial" w:hAnsi="Arial"/>
          <w:color w:val="404040"/>
          <w:sz w:val="22"/>
          <w:szCs w:val="22"/>
        </w:rPr>
        <w:t xml:space="preserve">The AI Governance Lead shall conduct at least one internal compliance review annually and report findings to the AIGC.</w:t>
      </w:r>
    </w:p>
    <w:p>
      <w:pPr>
        <w:spacing w:after="120"/>
      </w:pPr>
      <w:r>
        <w:t xml:space="preserve"/>
      </w:r>
    </w:p>
    <w:p>
      <w:pPr>
        <w:pStyle w:val="Heading2"/>
        <w:spacing w:before="200" w:after="120"/>
      </w:pPr>
      <w:r>
        <w:rPr>
          <w:rFonts w:ascii="Arial" w:cs="Arial" w:eastAsia="Arial" w:hAnsi="Arial"/>
          <w:b/>
          <w:bCs/>
          <w:color w:val="2E75B6"/>
          <w:sz w:val="26"/>
          <w:szCs w:val="26"/>
        </w:rPr>
        <w:t xml:space="preserve">11.2  Exception Process</w:t>
      </w:r>
    </w:p>
    <w:p>
      <w:pPr>
        <w:spacing w:after="120" w:line="276"/>
      </w:pPr>
      <w:r>
        <w:rPr>
          <w:rFonts w:ascii="Arial" w:cs="Arial" w:eastAsia="Arial" w:hAnsi="Arial"/>
          <w:color w:val="404040"/>
          <w:sz w:val="22"/>
          <w:szCs w:val="22"/>
        </w:rPr>
        <w:t xml:space="preserve">Exceptions to this Policy may be granted by the AIGC in exceptional circumstances where strict compliance is demonstrably impractical. Exception requests shall be submitted in writing to the AI Governance Lead and shall include:</w:t>
      </w:r>
    </w:p>
    <w:p>
      <w:pPr>
        <w:pStyle w:val="ListParagraph"/>
        <w:numPr>
          <w:ilvl w:val="0"/>
          <w:numId w:val="2"/>
        </w:numPr>
        <w:spacing w:after="80" w:line="264"/>
      </w:pPr>
      <w:r>
        <w:rPr>
          <w:rFonts w:ascii="Arial" w:cs="Arial" w:eastAsia="Arial" w:hAnsi="Arial"/>
          <w:b w:val="false"/>
          <w:bCs w:val="false"/>
          <w:color w:val="404040"/>
          <w:sz w:val="22"/>
          <w:szCs w:val="22"/>
        </w:rPr>
        <w:t xml:space="preserve">The specific Policy requirement from which exemption is sought;</w:t>
      </w:r>
    </w:p>
    <w:p>
      <w:pPr>
        <w:pStyle w:val="ListParagraph"/>
        <w:numPr>
          <w:ilvl w:val="0"/>
          <w:numId w:val="2"/>
        </w:numPr>
        <w:spacing w:after="80" w:line="264"/>
      </w:pPr>
      <w:r>
        <w:rPr>
          <w:rFonts w:ascii="Arial" w:cs="Arial" w:eastAsia="Arial" w:hAnsi="Arial"/>
          <w:b w:val="false"/>
          <w:bCs w:val="false"/>
          <w:color w:val="404040"/>
          <w:sz w:val="22"/>
          <w:szCs w:val="22"/>
        </w:rPr>
        <w:t xml:space="preserve">The business justification for the exception;</w:t>
      </w:r>
    </w:p>
    <w:p>
      <w:pPr>
        <w:pStyle w:val="ListParagraph"/>
        <w:numPr>
          <w:ilvl w:val="0"/>
          <w:numId w:val="2"/>
        </w:numPr>
        <w:spacing w:after="80" w:line="264"/>
      </w:pPr>
      <w:r>
        <w:rPr>
          <w:rFonts w:ascii="Arial" w:cs="Arial" w:eastAsia="Arial" w:hAnsi="Arial"/>
          <w:b w:val="false"/>
          <w:bCs w:val="false"/>
          <w:color w:val="404040"/>
          <w:sz w:val="22"/>
          <w:szCs w:val="22"/>
        </w:rPr>
        <w:t xml:space="preserve">A risk assessment of proceeding without the control;</w:t>
      </w:r>
    </w:p>
    <w:p>
      <w:pPr>
        <w:pStyle w:val="ListParagraph"/>
        <w:numPr>
          <w:ilvl w:val="0"/>
          <w:numId w:val="2"/>
        </w:numPr>
        <w:spacing w:after="80" w:line="264"/>
      </w:pPr>
      <w:r>
        <w:rPr>
          <w:rFonts w:ascii="Arial" w:cs="Arial" w:eastAsia="Arial" w:hAnsi="Arial"/>
          <w:b w:val="false"/>
          <w:bCs w:val="false"/>
          <w:color w:val="404040"/>
          <w:sz w:val="22"/>
          <w:szCs w:val="22"/>
        </w:rPr>
        <w:t xml:space="preserve">Proposed compensating controls;</w:t>
      </w:r>
    </w:p>
    <w:p>
      <w:pPr>
        <w:pStyle w:val="ListParagraph"/>
        <w:numPr>
          <w:ilvl w:val="0"/>
          <w:numId w:val="2"/>
        </w:numPr>
        <w:spacing w:after="80" w:line="264"/>
      </w:pPr>
      <w:r>
        <w:rPr>
          <w:rFonts w:ascii="Arial" w:cs="Arial" w:eastAsia="Arial" w:hAnsi="Arial"/>
          <w:b w:val="false"/>
          <w:bCs w:val="false"/>
          <w:color w:val="404040"/>
          <w:sz w:val="22"/>
          <w:szCs w:val="22"/>
        </w:rPr>
        <w:t xml:space="preserve">The requested duration of the exception (maximum 12 months).</w:t>
      </w:r>
    </w:p>
    <w:p>
      <w:pPr>
        <w:spacing w:after="80"/>
      </w:pPr>
      <w:r>
        <w:t xml:space="preserve"/>
      </w:r>
    </w:p>
    <w:p>
      <w:pPr>
        <w:spacing w:after="120" w:line="276"/>
      </w:pPr>
      <w:r>
        <w:rPr>
          <w:rFonts w:ascii="Arial" w:cs="Arial" w:eastAsia="Arial" w:hAnsi="Arial"/>
          <w:color w:val="404040"/>
          <w:sz w:val="22"/>
          <w:szCs w:val="22"/>
        </w:rPr>
        <w:t xml:space="preserve">Approved exceptions shall be recorded in the AI Exception Register, reviewed by the AIGC at each quarterly meeting, and subject to renewal or formal policy amendment as appropriate.</w:t>
      </w:r>
    </w:p>
    <w:p>
      <w:pPr>
        <w:spacing w:after="160"/>
      </w:pPr>
      <w:r>
        <w:t xml:space="preserve"/>
      </w:r>
    </w:p>
    <w:p>
      <w:pPr>
        <w:pStyle w:val="Heading1"/>
        <w:spacing w:before="240" w:after="200"/>
      </w:pPr>
      <w:r>
        <w:rPr>
          <w:rFonts w:ascii="Arial" w:cs="Arial" w:eastAsia="Arial" w:hAnsi="Arial"/>
          <w:b/>
          <w:bCs/>
          <w:color w:val="1F3864"/>
          <w:sz w:val="32"/>
          <w:szCs w:val="32"/>
        </w:rPr>
        <w:t xml:space="preserve">12.  Review and Continuous Improvement</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This Policy shall be formally reviewed at least annually by the AI Governance Lead and the AIGC, or sooner in the event of:</w:t>
      </w:r>
    </w:p>
    <w:p>
      <w:pPr>
        <w:pStyle w:val="ListParagraph"/>
        <w:numPr>
          <w:ilvl w:val="0"/>
          <w:numId w:val="2"/>
        </w:numPr>
        <w:spacing w:after="80" w:line="264"/>
      </w:pPr>
      <w:r>
        <w:rPr>
          <w:rFonts w:ascii="Arial" w:cs="Arial" w:eastAsia="Arial" w:hAnsi="Arial"/>
          <w:b w:val="false"/>
          <w:bCs w:val="false"/>
          <w:color w:val="404040"/>
          <w:sz w:val="22"/>
          <w:szCs w:val="22"/>
        </w:rPr>
        <w:t xml:space="preserve">Material changes to AInnovate's AI products or capabilities;</w:t>
      </w:r>
    </w:p>
    <w:p>
      <w:pPr>
        <w:pStyle w:val="ListParagraph"/>
        <w:numPr>
          <w:ilvl w:val="0"/>
          <w:numId w:val="2"/>
        </w:numPr>
        <w:spacing w:after="80" w:line="264"/>
      </w:pPr>
      <w:r>
        <w:rPr>
          <w:rFonts w:ascii="Arial" w:cs="Arial" w:eastAsia="Arial" w:hAnsi="Arial"/>
          <w:b w:val="false"/>
          <w:bCs w:val="false"/>
          <w:color w:val="404040"/>
          <w:sz w:val="22"/>
          <w:szCs w:val="22"/>
        </w:rPr>
        <w:t xml:space="preserve">Significant regulatory developments (e.g., EU AI Act implementing acts);</w:t>
      </w:r>
    </w:p>
    <w:p>
      <w:pPr>
        <w:pStyle w:val="ListParagraph"/>
        <w:numPr>
          <w:ilvl w:val="0"/>
          <w:numId w:val="2"/>
        </w:numPr>
        <w:spacing w:after="80" w:line="264"/>
      </w:pPr>
      <w:r>
        <w:rPr>
          <w:rFonts w:ascii="Arial" w:cs="Arial" w:eastAsia="Arial" w:hAnsi="Arial"/>
          <w:b w:val="false"/>
          <w:bCs w:val="false"/>
          <w:color w:val="404040"/>
          <w:sz w:val="22"/>
          <w:szCs w:val="22"/>
        </w:rPr>
        <w:t xml:space="preserve">P1 or P2 AI incidents that reveal gaps in the Policy;</w:t>
      </w:r>
    </w:p>
    <w:p>
      <w:pPr>
        <w:pStyle w:val="ListParagraph"/>
        <w:numPr>
          <w:ilvl w:val="0"/>
          <w:numId w:val="2"/>
        </w:numPr>
        <w:spacing w:after="80" w:line="264"/>
      </w:pPr>
      <w:r>
        <w:rPr>
          <w:rFonts w:ascii="Arial" w:cs="Arial" w:eastAsia="Arial" w:hAnsi="Arial"/>
          <w:b w:val="false"/>
          <w:bCs w:val="false"/>
          <w:color w:val="404040"/>
          <w:sz w:val="22"/>
          <w:szCs w:val="22"/>
        </w:rPr>
        <w:t xml:space="preserve">Changes to AInnovate's organisational structure or risk appetite.</w:t>
      </w:r>
    </w:p>
    <w:p>
      <w:pPr>
        <w:spacing w:after="80"/>
      </w:pPr>
      <w:r>
        <w:t xml:space="preserve"/>
      </w:r>
    </w:p>
    <w:p>
      <w:pPr>
        <w:spacing w:after="120" w:line="276"/>
      </w:pPr>
      <w:r>
        <w:rPr>
          <w:rFonts w:ascii="Arial" w:cs="Arial" w:eastAsia="Arial" w:hAnsi="Arial"/>
          <w:color w:val="404040"/>
          <w:sz w:val="22"/>
          <w:szCs w:val="22"/>
        </w:rPr>
        <w:t xml:space="preserve">The review process shall consider feedback from model owners, data stewards, legal counsel, and frontline engineering teams. Proposed changes shall be documented in a Policy Change Request, approved by the AIGC, and communicated to all affected personnel before the revised Policy takes effect.</w:t>
      </w:r>
    </w:p>
    <w:p>
      <w:pPr>
        <w:spacing w:after="120" w:line="276"/>
      </w:pPr>
      <w:r>
        <w:rPr>
          <w:rFonts w:ascii="Arial" w:cs="Arial" w:eastAsia="Arial" w:hAnsi="Arial"/>
          <w:color w:val="404040"/>
          <w:sz w:val="22"/>
          <w:szCs w:val="22"/>
        </w:rPr>
        <w:t xml:space="preserve">AInnovate is committed to continuous improvement of its AI governance practices in line with evolving best practice, industry standards, and regulatory guidance. The AI Governance Lead shall track developments in AI governance (including NIST AI RMF updates, ISO 42001 amendments, and EU AI Act guidance) and present an annual AI Governance Improvement Plan to the AIGC.</w:t>
      </w:r>
    </w:p>
    <w:p>
      <w:r>
        <w:br w:type="page"/>
      </w:r>
    </w:p>
    <w:p>
      <w:pPr>
        <w:pStyle w:val="Heading1"/>
        <w:spacing w:before="240" w:after="200"/>
      </w:pPr>
      <w:r>
        <w:rPr>
          <w:rFonts w:ascii="Arial" w:cs="Arial" w:eastAsia="Arial" w:hAnsi="Arial"/>
          <w:b/>
          <w:bCs/>
          <w:color w:val="1F3864"/>
          <w:sz w:val="32"/>
          <w:szCs w:val="32"/>
        </w:rPr>
        <w:t xml:space="preserve">Appendix A – NIST AI RMF &amp; ISO 42001 Mapping</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The table below maps the key requirements of this Policy to the NIST AI RMF Core Functions and the relevant ISO/IEC 42001:2023 clauses, demonstrating alignment with both frameworks.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Policy Section</w:t>
            </w:r>
          </w:p>
        </w:tc>
        <w:tc>
          <w:tcPr>
            <w:tcW w:type="dxa" w:w="2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NIST AI RMF Function(s)</w:t>
            </w:r>
          </w:p>
        </w:tc>
        <w:tc>
          <w:tcPr>
            <w:tcW w:type="dxa" w:w="2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ISO 42001 Clause(s)</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Control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Section 3 – Principles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Govern (GV-1)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Cl. 4 (Context), Cl. 5 (Leadership)</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Documented governance principles</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Section 4 – Governance Structure</w:t>
            </w:r>
          </w:p>
        </w:tc>
        <w:tc>
          <w:tcPr>
            <w:tcW w:type="dxa" w:w="2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Govern (GV-2, GV-6)</w:t>
            </w:r>
          </w:p>
        </w:tc>
        <w:tc>
          <w:tcPr>
            <w:tcW w:type="dxa" w:w="2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Cl. 5.1, 5.3, Cl. 6.1</w:t>
            </w:r>
          </w:p>
        </w:tc>
        <w:tc>
          <w:tcPr>
            <w:tcW w:type="dxa" w:w="2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AIGC charter; defined roles &amp; responsibilities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Section 5 – Model Risk Mgmt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Map (MP-1–5), Measure (MS-1–4)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Cl. 8.1, 8.4, 9.1</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Model lifecycle gates; model cards; red-teaming</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Section 6 – Data Privacy</w:t>
            </w:r>
          </w:p>
        </w:tc>
        <w:tc>
          <w:tcPr>
            <w:tcW w:type="dxa" w:w="2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Map (MP-2), Manage (MG-2)</w:t>
            </w:r>
          </w:p>
        </w:tc>
        <w:tc>
          <w:tcPr>
            <w:tcW w:type="dxa" w:w="2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Cl. 8.3, Cl. A.5, A.6</w:t>
            </w:r>
          </w:p>
        </w:tc>
        <w:tc>
          <w:tcPr>
            <w:tcW w:type="dxa" w:w="2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DPIAs; data minimisation; AWS encryption controls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Section 7 – Bias &amp; Fairness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Measure (MS-2, MS-3)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Cl. 8.5, Annex A.6.2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Bias assessment methodology; fairness metrics; thresholds</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Section 8 – Transparency</w:t>
            </w:r>
          </w:p>
        </w:tc>
        <w:tc>
          <w:tcPr>
            <w:tcW w:type="dxa" w:w="2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Govern (GV-1), Map (MP-4)</w:t>
            </w:r>
          </w:p>
        </w:tc>
        <w:tc>
          <w:tcPr>
            <w:tcW w:type="dxa" w:w="2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Cl. 8.4, Annex A.6.1</w:t>
            </w:r>
          </w:p>
        </w:tc>
        <w:tc>
          <w:tcPr>
            <w:tcW w:type="dxa" w:w="2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Model cards; user-facing AI labels; audit logs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Section 9 – Incident Response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Manage (MG-3, MG-4)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Cl. 10.1, 10.2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AI incident classification; response procedures; post-incident review</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Section 10 – Regulatory</w:t>
            </w:r>
          </w:p>
        </w:tc>
        <w:tc>
          <w:tcPr>
            <w:tcW w:type="dxa" w:w="2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Govern (GV-4, GV-5)</w:t>
            </w:r>
          </w:p>
        </w:tc>
        <w:tc>
          <w:tcPr>
            <w:tcW w:type="dxa" w:w="2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Cl. 4.2, 4.4</w:t>
            </w:r>
          </w:p>
        </w:tc>
        <w:tc>
          <w:tcPr>
            <w:tcW w:type="dxa" w:w="2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EU AI Act alignment; GDPR DPIAs; regulatory monitoring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Section 12 – Continuous Improvement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Govern (GV-3)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Cl. 9.3, Cl. 10.3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Annual policy review; AIGC improvement plan</w:t>
            </w:r>
          </w:p>
        </w:tc>
      </w:tr>
    </w:tbl>
    <w:p>
      <w:r>
        <w:br w:type="page"/>
      </w:r>
    </w:p>
    <w:p>
      <w:pPr>
        <w:pStyle w:val="Heading1"/>
        <w:spacing w:before="240" w:after="200"/>
      </w:pPr>
      <w:r>
        <w:rPr>
          <w:rFonts w:ascii="Arial" w:cs="Arial" w:eastAsia="Arial" w:hAnsi="Arial"/>
          <w:b/>
          <w:bCs/>
          <w:color w:val="1F3864"/>
          <w:sz w:val="32"/>
          <w:szCs w:val="32"/>
        </w:rPr>
        <w:t xml:space="preserve">Appendix B – AI Governance Committee Charter</w:t>
      </w:r>
    </w:p>
    <w:p>
      <w:pPr>
        <w:pBdr>
          <w:bottom w:val="single" w:color="2E75B6" w:sz="6" w:space="1"/>
        </w:pBdr>
        <w:spacing w:after="200"/>
      </w:pPr>
      <w:r>
        <w:t xml:space="preserve"/>
      </w:r>
    </w:p>
    <w:p>
      <w:pPr>
        <w:pStyle w:val="Heading2"/>
        <w:spacing w:before="200" w:after="120"/>
      </w:pPr>
      <w:r>
        <w:rPr>
          <w:rFonts w:ascii="Arial" w:cs="Arial" w:eastAsia="Arial" w:hAnsi="Arial"/>
          <w:b/>
          <w:bCs/>
          <w:color w:val="2E75B6"/>
          <w:sz w:val="26"/>
          <w:szCs w:val="26"/>
        </w:rPr>
        <w:t xml:space="preserve">B.1  Purpose</w:t>
      </w:r>
    </w:p>
    <w:p>
      <w:pPr>
        <w:spacing w:after="120" w:line="276"/>
      </w:pPr>
      <w:r>
        <w:rPr>
          <w:rFonts w:ascii="Arial" w:cs="Arial" w:eastAsia="Arial" w:hAnsi="Arial"/>
          <w:color w:val="404040"/>
          <w:sz w:val="22"/>
          <w:szCs w:val="22"/>
        </w:rPr>
        <w:t xml:space="preserve">The AI Governance Committee (AIGC) is established to provide strategic oversight, cross-functional coordination, and accountability for the responsible development and use of AI at AInnovate. The AIGC reports to the AInnovate Board via the CPO.</w:t>
      </w:r>
    </w:p>
    <w:p>
      <w:pPr>
        <w:pStyle w:val="Heading2"/>
        <w:spacing w:before="200" w:after="120"/>
      </w:pPr>
      <w:r>
        <w:rPr>
          <w:rFonts w:ascii="Arial" w:cs="Arial" w:eastAsia="Arial" w:hAnsi="Arial"/>
          <w:b/>
          <w:bCs/>
          <w:color w:val="2E75B6"/>
          <w:sz w:val="26"/>
          <w:szCs w:val="26"/>
        </w:rPr>
        <w:t xml:space="preserve">B.2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Member</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 on AIGC</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CPO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Chief Product Officer</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Chair – strategic direction; final policy approval</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CTO</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Chief Technology Officer</w:t>
            </w:r>
          </w:p>
        </w:tc>
        <w:tc>
          <w:tcPr>
            <w:tcW w:type="dxa" w:w="4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Engineering &amp; security oversight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CLO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Chief Legal Officer</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Legal &amp; regulatory compliance</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CDO</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Chief Data Officer</w:t>
            </w:r>
          </w:p>
        </w:tc>
        <w:tc>
          <w:tcPr>
            <w:tcW w:type="dxa" w:w="4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Data governance &amp; privacy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Mihir Trivedi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AI Governance Lead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Secretary – agenda, minutes, action tracking; policy ownership</w:t>
            </w:r>
          </w:p>
        </w:tc>
      </w:tr>
    </w:tbl>
    <w:p>
      <w:pPr>
        <w:spacing w:after="120"/>
      </w:pPr>
      <w:r>
        <w:t xml:space="preserve"/>
      </w:r>
    </w:p>
    <w:p>
      <w:pPr>
        <w:pStyle w:val="Heading2"/>
        <w:spacing w:before="200" w:after="120"/>
      </w:pPr>
      <w:r>
        <w:rPr>
          <w:rFonts w:ascii="Arial" w:cs="Arial" w:eastAsia="Arial" w:hAnsi="Arial"/>
          <w:b/>
          <w:bCs/>
          <w:color w:val="2E75B6"/>
          <w:sz w:val="26"/>
          <w:szCs w:val="26"/>
        </w:rPr>
        <w:t xml:space="preserve">B.3  Meeting Cadence and Quorum</w:t>
      </w:r>
    </w:p>
    <w:p>
      <w:pPr>
        <w:pStyle w:val="ListParagraph"/>
        <w:numPr>
          <w:ilvl w:val="0"/>
          <w:numId w:val="2"/>
        </w:numPr>
        <w:spacing w:after="80" w:line="264"/>
      </w:pPr>
      <w:r>
        <w:rPr>
          <w:rFonts w:ascii="Arial" w:cs="Arial" w:eastAsia="Arial" w:hAnsi="Arial"/>
          <w:b w:val="false"/>
          <w:bCs w:val="false"/>
          <w:color w:val="404040"/>
          <w:sz w:val="22"/>
          <w:szCs w:val="22"/>
        </w:rPr>
        <w:t xml:space="preserve">Regular meetings: Quarterly (last Thursday of the quarter)</w:t>
      </w:r>
    </w:p>
    <w:p>
      <w:pPr>
        <w:pStyle w:val="ListParagraph"/>
        <w:numPr>
          <w:ilvl w:val="0"/>
          <w:numId w:val="2"/>
        </w:numPr>
        <w:spacing w:after="80" w:line="264"/>
      </w:pPr>
      <w:r>
        <w:rPr>
          <w:rFonts w:ascii="Arial" w:cs="Arial" w:eastAsia="Arial" w:hAnsi="Arial"/>
          <w:b w:val="false"/>
          <w:bCs w:val="false"/>
          <w:color w:val="404040"/>
          <w:sz w:val="22"/>
          <w:szCs w:val="22"/>
        </w:rPr>
        <w:t xml:space="preserve">Emergency sessions: Convened by the Chair within 24 hours upon request of any member or the AI Governance Lead</w:t>
      </w:r>
    </w:p>
    <w:p>
      <w:pPr>
        <w:pStyle w:val="ListParagraph"/>
        <w:numPr>
          <w:ilvl w:val="0"/>
          <w:numId w:val="2"/>
        </w:numPr>
        <w:spacing w:after="80" w:line="264"/>
      </w:pPr>
      <w:r>
        <w:rPr>
          <w:rFonts w:ascii="Arial" w:cs="Arial" w:eastAsia="Arial" w:hAnsi="Arial"/>
          <w:b w:val="false"/>
          <w:bCs w:val="false"/>
          <w:color w:val="404040"/>
          <w:sz w:val="22"/>
          <w:szCs w:val="22"/>
        </w:rPr>
        <w:t xml:space="preserve">Quorum: Chair + 2 additional members</w:t>
      </w:r>
    </w:p>
    <w:p>
      <w:pPr>
        <w:pStyle w:val="ListParagraph"/>
        <w:numPr>
          <w:ilvl w:val="0"/>
          <w:numId w:val="2"/>
        </w:numPr>
        <w:spacing w:after="80" w:line="264"/>
      </w:pPr>
      <w:r>
        <w:rPr>
          <w:rFonts w:ascii="Arial" w:cs="Arial" w:eastAsia="Arial" w:hAnsi="Arial"/>
          <w:b w:val="false"/>
          <w:bCs w:val="false"/>
          <w:color w:val="404040"/>
          <w:sz w:val="22"/>
          <w:szCs w:val="22"/>
        </w:rPr>
        <w:t xml:space="preserve">Decisions: Majority vote; Chair holds casting vote in tied votes</w:t>
      </w:r>
    </w:p>
    <w:p>
      <w:pPr>
        <w:pStyle w:val="ListParagraph"/>
        <w:numPr>
          <w:ilvl w:val="0"/>
          <w:numId w:val="2"/>
        </w:numPr>
        <w:spacing w:after="80" w:line="264"/>
      </w:pPr>
      <w:r>
        <w:rPr>
          <w:rFonts w:ascii="Arial" w:cs="Arial" w:eastAsia="Arial" w:hAnsi="Arial"/>
          <w:b w:val="false"/>
          <w:bCs w:val="false"/>
          <w:color w:val="404040"/>
          <w:sz w:val="22"/>
          <w:szCs w:val="22"/>
        </w:rPr>
        <w:t xml:space="preserve">Minutes: Circulated within 5 business days; approved at next meeting</w:t>
      </w:r>
    </w:p>
    <w:p>
      <w:r>
        <w:br w:type="page"/>
      </w:r>
    </w:p>
    <w:p>
      <w:pPr>
        <w:pStyle w:val="Heading1"/>
        <w:spacing w:before="240" w:after="200"/>
      </w:pPr>
      <w:r>
        <w:rPr>
          <w:rFonts w:ascii="Arial" w:cs="Arial" w:eastAsia="Arial" w:hAnsi="Arial"/>
          <w:b/>
          <w:bCs/>
          <w:color w:val="1F3864"/>
          <w:sz w:val="32"/>
          <w:szCs w:val="32"/>
        </w:rPr>
        <w:t xml:space="preserve">Appendix C – Glossary of AI Terms</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The following terms supplement those defined in Section 2 and are provided for the benefit of all AInnovate staff engaging with AI governance activities.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Fine-Tuning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The process of further training a pre-trained foundation model on a domain-specific dataset to improve its performance on targeted tasks.</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Foundation Model</w:t>
            </w:r>
          </w:p>
        </w:tc>
        <w:tc>
          <w:tcPr>
            <w:tcW w:type="dxa" w:w="6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 large AI model trained on broad data at scale, which can be adapted to a wide range of downstream tasks (e.g., GPT-4, Llama 3).</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Hallucination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 phenomenon where a generative AI model produces confident-sounding but factually incorrect or fabricated information.</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Prompt Injection</w:t>
            </w:r>
          </w:p>
        </w:tc>
        <w:tc>
          <w:tcPr>
            <w:tcW w:type="dxa" w:w="6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An attack where malicious instructions are embedded in user input to manipulate an AI system's behaviour.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Guardrails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Technical and policy-level constraints applied to an AI system to prevent harmful, off-policy, or unsafe outputs.</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Drift (Model Drift)</w:t>
            </w:r>
          </w:p>
        </w:tc>
        <w:tc>
          <w:tcPr>
            <w:tcW w:type="dxa" w:w="6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The gradual degradation of a model's performance over time as the statistical distribution of real-world data diverges from the training distribution.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Data Poisoning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An adversarial attack where malicious data is introduced into a model's training set to manipulate its outputs.</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Content Safety Filter</w:t>
            </w:r>
          </w:p>
        </w:tc>
        <w:tc>
          <w:tcPr>
            <w:tcW w:type="dxa" w:w="6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A secondary model or rule-based system that screens AI outputs for harmful, inappropriate, or policy-violating content before delivery to end users.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404040"/>
                <w:sz w:val="20"/>
                <w:szCs w:val="20"/>
              </w:rPr>
              <w:t xml:space="preserve">Inference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404040"/>
                <w:sz w:val="20"/>
                <w:szCs w:val="20"/>
              </w:rPr>
              <w:t xml:space="preserve">The process of using a trained AI model to generate predictions or outputs from new input data.</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bCs/>
                <w:color w:val="404040"/>
                <w:sz w:val="20"/>
                <w:szCs w:val="20"/>
              </w:rPr>
              <w:t xml:space="preserve">Zero-Shot / Few-Shot Prompting</w:t>
            </w:r>
          </w:p>
        </w:tc>
        <w:tc>
          <w:tcPr>
            <w:tcW w:type="dxa" w:w="6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b w:val="false"/>
                <w:bCs w:val="false"/>
                <w:color w:val="404040"/>
                <w:sz w:val="20"/>
                <w:szCs w:val="20"/>
              </w:rPr>
              <w:t xml:space="preserve">Techniques for guiding a model's output using natural language instructions (zero-shot) or a small number of examples (few-shot) without additional training.</w:t>
            </w:r>
          </w:p>
        </w:tc>
      </w:tr>
    </w:tbl>
    <w:p>
      <w:pPr>
        <w:spacing w:after="300"/>
      </w:pPr>
      <w:r>
        <w:t xml:space="preserve"/>
      </w:r>
    </w:p>
    <w:p>
      <w:pPr>
        <w:jc w:val="center"/>
      </w:pPr>
      <w:r>
        <w:rPr>
          <w:rFonts w:ascii="Arial" w:cs="Arial" w:eastAsia="Arial" w:hAnsi="Arial"/>
          <w:b/>
          <w:bCs/>
          <w:i/>
          <w:iCs/>
          <w:color w:val="1F3864"/>
          <w:sz w:val="20"/>
          <w:szCs w:val="20"/>
        </w:rPr>
        <w:t xml:space="preserve">— END OF DOCUMENT —</w:t>
      </w:r>
    </w:p>
    <w:p>
      <w:pPr>
        <w:spacing w:after="80"/>
      </w:pPr>
      <w:r>
        <w:t xml:space="preserve"/>
      </w:r>
    </w:p>
    <w:p>
      <w:pPr>
        <w:jc w:val="center"/>
      </w:pPr>
      <w:r>
        <w:rPr>
          <w:rFonts w:ascii="Arial" w:cs="Arial" w:eastAsia="Arial" w:hAnsi="Arial"/>
          <w:color w:val="404040"/>
          <w:sz w:val="18"/>
          <w:szCs w:val="18"/>
        </w:rPr>
        <w:t xml:space="preserve">AInnovate Inc.  |  AIN-GOV-001  |  Version 1.0  |  01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80"/>
    </w:pPr>
    <w:r>
      <w:rPr>
        <w:rFonts w:ascii="Arial" w:cs="Arial" w:eastAsia="Arial" w:hAnsi="Arial"/>
        <w:color w:val="404040"/>
        <w:sz w:val="18"/>
        <w:szCs w:val="18"/>
      </w:rPr>
      <w:t xml:space="preserve">Prepared by Mihir Trivedi, AI Governance Lead  |  © 2026 AInnovate Inc.</w:t>
    </w:r>
    <w:r>
      <w:rPr>
        <w:rFonts w:ascii="Arial" w:cs="Arial" w:eastAsia="Arial" w:hAnsi="Arial"/>
        <w:color w:val="404040"/>
        <w:sz w:val="18"/>
        <w:szCs w:val="18"/>
      </w:rPr>
      <w:t xml:space="preserve">	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20"/>
    </w:pPr>
    <w:r>
      <w:rPr>
        <w:rFonts w:ascii="Arial" w:cs="Arial" w:eastAsia="Arial" w:hAnsi="Arial"/>
        <w:color w:val="404040"/>
        <w:sz w:val="18"/>
        <w:szCs w:val="18"/>
      </w:rPr>
      <w:t xml:space="preserve">AInnovate Inc. – AI Governance Policy  |  AIN-GOV-001  |  CONFIDENTIAL</w:t>
    </w:r>
    <w:r>
      <w:rPr>
        <w:rFonts w:ascii="Arial" w:cs="Arial" w:eastAsia="Arial" w:hAnsi="Arial"/>
        <w:color w:val="404040"/>
        <w:sz w:val="18"/>
        <w:szCs w:val="18"/>
      </w:rPr>
      <w:t xml:space="preserve">	Version 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2026-03-14T21:38:32.144Z</dcterms:created>
  <dcterms:modified xsi:type="dcterms:W3CDTF">2026-03-14T21:38:32.145Z</dcterms:modified>
</cp:coreProperties>
</file>

<file path=docProps/custom.xml><?xml version="1.0" encoding="utf-8"?>
<Properties xmlns="http://schemas.openxmlformats.org/officeDocument/2006/custom-properties" xmlns:vt="http://schemas.openxmlformats.org/officeDocument/2006/docPropsVTypes"/>
</file>