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0"/>
      </w:pPr>
      <w:r>
        <w:t xml:space="preserve"/>
      </w:r>
    </w:p>
    <w:p>
      <w:pPr>
        <w:spacing w:after="60"/>
        <w:jc w:val="center"/>
      </w:pPr>
      <w:r>
        <w:rPr>
          <w:rFonts w:ascii="Arial" w:cs="Arial" w:eastAsia="Arial" w:hAnsi="Arial"/>
          <w:b/>
          <w:bCs/>
          <w:color w:val="1F3864"/>
          <w:sz w:val="52"/>
          <w:szCs w:val="52"/>
        </w:rPr>
        <w:t xml:space="preserve">AInnovate Inc.</w:t>
      </w:r>
    </w:p>
    <w:p>
      <w:pPr>
        <w:spacing w:after="60"/>
        <w:jc w:val="center"/>
      </w:pPr>
      <w:r>
        <w:rPr>
          <w:rFonts w:ascii="Arial" w:cs="Arial" w:eastAsia="Arial" w:hAnsi="Arial"/>
          <w:b/>
          <w:bCs/>
          <w:color w:val="2E75B6"/>
          <w:sz w:val="40"/>
          <w:szCs w:val="40"/>
        </w:rPr>
        <w:t xml:space="preserve">AI Incident Response Plan</w:t>
      </w:r>
    </w:p>
    <w:p>
      <w:pPr>
        <w:spacing w:after="60"/>
        <w:jc w:val="center"/>
      </w:pPr>
      <w:r>
        <w:rPr>
          <w:rFonts w:ascii="Arial" w:cs="Arial" w:eastAsia="Arial" w:hAnsi="Arial"/>
          <w:b w:val="false"/>
          <w:bCs w:val="false"/>
          <w:color w:val="2E75B6"/>
          <w:sz w:val="28"/>
          <w:szCs w:val="28"/>
        </w:rPr>
        <w:t xml:space="preserve">GenStudio Generative AI Platform</w:t>
      </w:r>
    </w:p>
    <w:p>
      <w:pPr>
        <w:pBdr>
          <w:bottom w:val="single" w:color="2E75B6" w:sz="8" w:space="2"/>
        </w:pBdr>
        <w:spacing w:after="300"/>
        <w:jc w:val="center"/>
      </w:pPr>
      <w:r>
        <w:t xml:space="preserve"/>
      </w:r>
    </w:p>
    <w:p>
      <w:pPr>
        <w:spacing w:after="260"/>
      </w:pPr>
      <w:r>
        <w:t xml:space="preserve"/>
      </w: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tblGrid>
      <w:tr>
        <w:tc>
          <w:tcPr>
            <w:tcW w:type="dxa" w:w="2200"/>
            <w:tcBorders>
              <w:top w:val="single" w:color="BBBBBB" w:sz="1"/>
              <w:left w:val="single" w:color="BBBBBB" w:sz="1"/>
              <w:bottom w:val="single" w:color="BBBBBB" w:sz="1"/>
              <w:right w:val="single" w:color="BBBBBB" w:sz="1"/>
            </w:tcBorders>
            <w:shd w:fill="D6E4F0" w:val="clear"/>
            <w:tcMar>
              <w:top w:type="dxa" w:w="80"/>
              <w:left w:type="dxa" w:w="140"/>
              <w:bottom w:type="dxa" w:w="80"/>
              <w:right w:type="dxa" w:w="140"/>
            </w:tcMar>
          </w:tcPr>
          <w:p>
            <w:r>
              <w:rPr>
                <w:rFonts w:ascii="Arial" w:cs="Arial" w:eastAsia="Arial" w:hAnsi="Arial"/>
                <w:b/>
                <w:bCs/>
                <w:color w:val="1F3864"/>
                <w:sz w:val="20"/>
                <w:szCs w:val="20"/>
              </w:rPr>
              <w:t xml:space="preserve">Document Number</w:t>
            </w:r>
          </w:p>
        </w:tc>
        <w:tc>
          <w:tcPr>
            <w:tcW w:type="dxa" w:w="3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404040"/>
                <w:sz w:val="20"/>
                <w:szCs w:val="20"/>
              </w:rPr>
              <w:t xml:space="preserve">AIN-GOV-004</w:t>
            </w:r>
          </w:p>
        </w:tc>
      </w:tr>
      <w:tr>
        <w:tc>
          <w:tcPr>
            <w:tcW w:type="dxa" w:w="2200"/>
            <w:tcBorders>
              <w:top w:val="single" w:color="BBBBBB" w:sz="1"/>
              <w:left w:val="single" w:color="BBBBBB" w:sz="1"/>
              <w:bottom w:val="single" w:color="BBBBBB" w:sz="1"/>
              <w:right w:val="single" w:color="BBBBBB" w:sz="1"/>
            </w:tcBorders>
            <w:shd w:fill="D6E4F0" w:val="clear"/>
            <w:tcMar>
              <w:top w:type="dxa" w:w="80"/>
              <w:left w:type="dxa" w:w="140"/>
              <w:bottom w:type="dxa" w:w="80"/>
              <w:right w:type="dxa" w:w="140"/>
            </w:tcMar>
          </w:tcPr>
          <w:p>
            <w:r>
              <w:rPr>
                <w:rFonts w:ascii="Arial" w:cs="Arial" w:eastAsia="Arial" w:hAnsi="Arial"/>
                <w:b/>
                <w:bCs/>
                <w:color w:val="1F3864"/>
                <w:sz w:val="20"/>
                <w:szCs w:val="20"/>
              </w:rPr>
              <w:t xml:space="preserve">Version</w:t>
            </w:r>
          </w:p>
        </w:tc>
        <w:tc>
          <w:tcPr>
            <w:tcW w:type="dxa" w:w="3800"/>
            <w:tcBorders>
              <w:top w:val="single" w:color="BBBBBB" w:sz="1"/>
              <w:left w:val="single" w:color="BBBBBB" w:sz="1"/>
              <w:bottom w:val="single" w:color="BBBBBB" w:sz="1"/>
              <w:right w:val="single" w:color="BBBBBB" w:sz="1"/>
            </w:tcBorders>
            <w:shd w:fill="EEF4FB" w:val="clear"/>
            <w:tcMar>
              <w:top w:type="dxa" w:w="80"/>
              <w:left w:type="dxa" w:w="140"/>
              <w:bottom w:type="dxa" w:w="80"/>
              <w:right w:type="dxa" w:w="140"/>
            </w:tcMar>
          </w:tcPr>
          <w:p>
            <w:r>
              <w:rPr>
                <w:rFonts w:ascii="Arial" w:cs="Arial" w:eastAsia="Arial" w:hAnsi="Arial"/>
                <w:color w:val="404040"/>
                <w:sz w:val="20"/>
                <w:szCs w:val="20"/>
              </w:rPr>
              <w:t xml:space="preserve">1.0</w:t>
            </w:r>
          </w:p>
        </w:tc>
      </w:tr>
      <w:tr>
        <w:tc>
          <w:tcPr>
            <w:tcW w:type="dxa" w:w="2200"/>
            <w:tcBorders>
              <w:top w:val="single" w:color="BBBBBB" w:sz="1"/>
              <w:left w:val="single" w:color="BBBBBB" w:sz="1"/>
              <w:bottom w:val="single" w:color="BBBBBB" w:sz="1"/>
              <w:right w:val="single" w:color="BBBBBB" w:sz="1"/>
            </w:tcBorders>
            <w:shd w:fill="D6E4F0" w:val="clear"/>
            <w:tcMar>
              <w:top w:type="dxa" w:w="80"/>
              <w:left w:type="dxa" w:w="140"/>
              <w:bottom w:type="dxa" w:w="80"/>
              <w:right w:type="dxa" w:w="140"/>
            </w:tcMar>
          </w:tcPr>
          <w:p>
            <w:r>
              <w:rPr>
                <w:rFonts w:ascii="Arial" w:cs="Arial" w:eastAsia="Arial" w:hAnsi="Arial"/>
                <w:b/>
                <w:bCs/>
                <w:color w:val="1F3864"/>
                <w:sz w:val="20"/>
                <w:szCs w:val="20"/>
              </w:rPr>
              <w:t xml:space="preserve">Status</w:t>
            </w:r>
          </w:p>
        </w:tc>
        <w:tc>
          <w:tcPr>
            <w:tcW w:type="dxa" w:w="3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404040"/>
                <w:sz w:val="20"/>
                <w:szCs w:val="20"/>
              </w:rPr>
              <w:t xml:space="preserve">APPROVED</w:t>
            </w:r>
          </w:p>
        </w:tc>
      </w:tr>
      <w:tr>
        <w:tc>
          <w:tcPr>
            <w:tcW w:type="dxa" w:w="2200"/>
            <w:tcBorders>
              <w:top w:val="single" w:color="BBBBBB" w:sz="1"/>
              <w:left w:val="single" w:color="BBBBBB" w:sz="1"/>
              <w:bottom w:val="single" w:color="BBBBBB" w:sz="1"/>
              <w:right w:val="single" w:color="BBBBBB" w:sz="1"/>
            </w:tcBorders>
            <w:shd w:fill="D6E4F0" w:val="clear"/>
            <w:tcMar>
              <w:top w:type="dxa" w:w="80"/>
              <w:left w:type="dxa" w:w="140"/>
              <w:bottom w:type="dxa" w:w="80"/>
              <w:right w:type="dxa" w:w="140"/>
            </w:tcMar>
          </w:tcPr>
          <w:p>
            <w:r>
              <w:rPr>
                <w:rFonts w:ascii="Arial" w:cs="Arial" w:eastAsia="Arial" w:hAnsi="Arial"/>
                <w:b/>
                <w:bCs/>
                <w:color w:val="1F3864"/>
                <w:sz w:val="20"/>
                <w:szCs w:val="20"/>
              </w:rPr>
              <w:t xml:space="preserve">Effective Date</w:t>
            </w:r>
          </w:p>
        </w:tc>
        <w:tc>
          <w:tcPr>
            <w:tcW w:type="dxa" w:w="3800"/>
            <w:tcBorders>
              <w:top w:val="single" w:color="BBBBBB" w:sz="1"/>
              <w:left w:val="single" w:color="BBBBBB" w:sz="1"/>
              <w:bottom w:val="single" w:color="BBBBBB" w:sz="1"/>
              <w:right w:val="single" w:color="BBBBBB" w:sz="1"/>
            </w:tcBorders>
            <w:shd w:fill="EEF4FB" w:val="clear"/>
            <w:tcMar>
              <w:top w:type="dxa" w:w="80"/>
              <w:left w:type="dxa" w:w="140"/>
              <w:bottom w:type="dxa" w:w="80"/>
              <w:right w:type="dxa" w:w="140"/>
            </w:tcMar>
          </w:tcPr>
          <w:p>
            <w:r>
              <w:rPr>
                <w:rFonts w:ascii="Arial" w:cs="Arial" w:eastAsia="Arial" w:hAnsi="Arial"/>
                <w:color w:val="404040"/>
                <w:sz w:val="20"/>
                <w:szCs w:val="20"/>
              </w:rPr>
              <w:t xml:space="preserve">01 February 2026</w:t>
            </w:r>
          </w:p>
        </w:tc>
      </w:tr>
      <w:tr>
        <w:tc>
          <w:tcPr>
            <w:tcW w:type="dxa" w:w="2200"/>
            <w:tcBorders>
              <w:top w:val="single" w:color="BBBBBB" w:sz="1"/>
              <w:left w:val="single" w:color="BBBBBB" w:sz="1"/>
              <w:bottom w:val="single" w:color="BBBBBB" w:sz="1"/>
              <w:right w:val="single" w:color="BBBBBB" w:sz="1"/>
            </w:tcBorders>
            <w:shd w:fill="D6E4F0" w:val="clear"/>
            <w:tcMar>
              <w:top w:type="dxa" w:w="80"/>
              <w:left w:type="dxa" w:w="140"/>
              <w:bottom w:type="dxa" w:w="80"/>
              <w:right w:type="dxa" w:w="140"/>
            </w:tcMar>
          </w:tcPr>
          <w:p>
            <w:r>
              <w:rPr>
                <w:rFonts w:ascii="Arial" w:cs="Arial" w:eastAsia="Arial" w:hAnsi="Arial"/>
                <w:b/>
                <w:bCs/>
                <w:color w:val="1F3864"/>
                <w:sz w:val="20"/>
                <w:szCs w:val="20"/>
              </w:rPr>
              <w:t xml:space="preserve">Review Date</w:t>
            </w:r>
          </w:p>
        </w:tc>
        <w:tc>
          <w:tcPr>
            <w:tcW w:type="dxa" w:w="3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404040"/>
                <w:sz w:val="20"/>
                <w:szCs w:val="20"/>
              </w:rPr>
              <w:t xml:space="preserve">31 January 2027</w:t>
            </w:r>
          </w:p>
        </w:tc>
      </w:tr>
      <w:tr>
        <w:tc>
          <w:tcPr>
            <w:tcW w:type="dxa" w:w="2200"/>
            <w:tcBorders>
              <w:top w:val="single" w:color="BBBBBB" w:sz="1"/>
              <w:left w:val="single" w:color="BBBBBB" w:sz="1"/>
              <w:bottom w:val="single" w:color="BBBBBB" w:sz="1"/>
              <w:right w:val="single" w:color="BBBBBB" w:sz="1"/>
            </w:tcBorders>
            <w:shd w:fill="D6E4F0" w:val="clear"/>
            <w:tcMar>
              <w:top w:type="dxa" w:w="80"/>
              <w:left w:type="dxa" w:w="140"/>
              <w:bottom w:type="dxa" w:w="80"/>
              <w:right w:type="dxa" w:w="140"/>
            </w:tcMar>
          </w:tcPr>
          <w:p>
            <w:r>
              <w:rPr>
                <w:rFonts w:ascii="Arial" w:cs="Arial" w:eastAsia="Arial" w:hAnsi="Arial"/>
                <w:b/>
                <w:bCs/>
                <w:color w:val="1F3864"/>
                <w:sz w:val="20"/>
                <w:szCs w:val="20"/>
              </w:rPr>
              <w:t xml:space="preserve">Document Owner</w:t>
            </w:r>
          </w:p>
        </w:tc>
        <w:tc>
          <w:tcPr>
            <w:tcW w:type="dxa" w:w="3800"/>
            <w:tcBorders>
              <w:top w:val="single" w:color="BBBBBB" w:sz="1"/>
              <w:left w:val="single" w:color="BBBBBB" w:sz="1"/>
              <w:bottom w:val="single" w:color="BBBBBB" w:sz="1"/>
              <w:right w:val="single" w:color="BBBBBB" w:sz="1"/>
            </w:tcBorders>
            <w:shd w:fill="EEF4FB" w:val="clear"/>
            <w:tcMar>
              <w:top w:type="dxa" w:w="80"/>
              <w:left w:type="dxa" w:w="140"/>
              <w:bottom w:type="dxa" w:w="80"/>
              <w:right w:type="dxa" w:w="140"/>
            </w:tcMar>
          </w:tcPr>
          <w:p>
            <w:r>
              <w:rPr>
                <w:rFonts w:ascii="Arial" w:cs="Arial" w:eastAsia="Arial" w:hAnsi="Arial"/>
                <w:color w:val="404040"/>
                <w:sz w:val="20"/>
                <w:szCs w:val="20"/>
              </w:rPr>
              <w:t xml:space="preserve">AI Governance Committee</w:t>
            </w:r>
          </w:p>
        </w:tc>
      </w:tr>
      <w:tr>
        <w:tc>
          <w:tcPr>
            <w:tcW w:type="dxa" w:w="2200"/>
            <w:tcBorders>
              <w:top w:val="single" w:color="BBBBBB" w:sz="1"/>
              <w:left w:val="single" w:color="BBBBBB" w:sz="1"/>
              <w:bottom w:val="single" w:color="BBBBBB" w:sz="1"/>
              <w:right w:val="single" w:color="BBBBBB" w:sz="1"/>
            </w:tcBorders>
            <w:shd w:fill="D6E4F0" w:val="clear"/>
            <w:tcMar>
              <w:top w:type="dxa" w:w="80"/>
              <w:left w:type="dxa" w:w="140"/>
              <w:bottom w:type="dxa" w:w="80"/>
              <w:right w:type="dxa" w:w="140"/>
            </w:tcMar>
          </w:tcPr>
          <w:p>
            <w:r>
              <w:rPr>
                <w:rFonts w:ascii="Arial" w:cs="Arial" w:eastAsia="Arial" w:hAnsi="Arial"/>
                <w:b/>
                <w:bCs/>
                <w:color w:val="1F3864"/>
                <w:sz w:val="20"/>
                <w:szCs w:val="20"/>
              </w:rPr>
              <w:t xml:space="preserve">Prepared by</w:t>
            </w:r>
          </w:p>
        </w:tc>
        <w:tc>
          <w:tcPr>
            <w:tcW w:type="dxa" w:w="3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404040"/>
                <w:sz w:val="20"/>
                <w:szCs w:val="20"/>
              </w:rPr>
              <w:t xml:space="preserve">Mihir Trivedi, AI Governance Lead</w:t>
            </w:r>
          </w:p>
        </w:tc>
      </w:tr>
      <w:tr>
        <w:tc>
          <w:tcPr>
            <w:tcW w:type="dxa" w:w="2200"/>
            <w:tcBorders>
              <w:top w:val="single" w:color="BBBBBB" w:sz="1"/>
              <w:left w:val="single" w:color="BBBBBB" w:sz="1"/>
              <w:bottom w:val="single" w:color="BBBBBB" w:sz="1"/>
              <w:right w:val="single" w:color="BBBBBB" w:sz="1"/>
            </w:tcBorders>
            <w:shd w:fill="D6E4F0" w:val="clear"/>
            <w:tcMar>
              <w:top w:type="dxa" w:w="80"/>
              <w:left w:type="dxa" w:w="140"/>
              <w:bottom w:type="dxa" w:w="80"/>
              <w:right w:type="dxa" w:w="140"/>
            </w:tcMar>
          </w:tcPr>
          <w:p>
            <w:r>
              <w:rPr>
                <w:rFonts w:ascii="Arial" w:cs="Arial" w:eastAsia="Arial" w:hAnsi="Arial"/>
                <w:b/>
                <w:bCs/>
                <w:color w:val="1F3864"/>
                <w:sz w:val="20"/>
                <w:szCs w:val="20"/>
              </w:rPr>
              <w:t xml:space="preserve">Approved by</w:t>
            </w:r>
          </w:p>
        </w:tc>
        <w:tc>
          <w:tcPr>
            <w:tcW w:type="dxa" w:w="3800"/>
            <w:tcBorders>
              <w:top w:val="single" w:color="BBBBBB" w:sz="1"/>
              <w:left w:val="single" w:color="BBBBBB" w:sz="1"/>
              <w:bottom w:val="single" w:color="BBBBBB" w:sz="1"/>
              <w:right w:val="single" w:color="BBBBBB" w:sz="1"/>
            </w:tcBorders>
            <w:shd w:fill="EEF4FB" w:val="clear"/>
            <w:tcMar>
              <w:top w:type="dxa" w:w="80"/>
              <w:left w:type="dxa" w:w="140"/>
              <w:bottom w:type="dxa" w:w="80"/>
              <w:right w:type="dxa" w:w="140"/>
            </w:tcMar>
          </w:tcPr>
          <w:p>
            <w:r>
              <w:rPr>
                <w:rFonts w:ascii="Arial" w:cs="Arial" w:eastAsia="Arial" w:hAnsi="Arial"/>
                <w:color w:val="404040"/>
                <w:sz w:val="20"/>
                <w:szCs w:val="20"/>
              </w:rPr>
              <w:t xml:space="preserve">Chief Product Officer (CPO)</w:t>
            </w:r>
          </w:p>
        </w:tc>
      </w:tr>
      <w:tr>
        <w:tc>
          <w:tcPr>
            <w:tcW w:type="dxa" w:w="2200"/>
            <w:tcBorders>
              <w:top w:val="single" w:color="BBBBBB" w:sz="1"/>
              <w:left w:val="single" w:color="BBBBBB" w:sz="1"/>
              <w:bottom w:val="single" w:color="BBBBBB" w:sz="1"/>
              <w:right w:val="single" w:color="BBBBBB" w:sz="1"/>
            </w:tcBorders>
            <w:shd w:fill="D6E4F0" w:val="clear"/>
            <w:tcMar>
              <w:top w:type="dxa" w:w="80"/>
              <w:left w:type="dxa" w:w="140"/>
              <w:bottom w:type="dxa" w:w="80"/>
              <w:right w:type="dxa" w:w="140"/>
            </w:tcMar>
          </w:tcPr>
          <w:p>
            <w:r>
              <w:rPr>
                <w:rFonts w:ascii="Arial" w:cs="Arial" w:eastAsia="Arial" w:hAnsi="Arial"/>
                <w:b/>
                <w:bCs/>
                <w:color w:val="1F3864"/>
                <w:sz w:val="20"/>
                <w:szCs w:val="20"/>
              </w:rPr>
              <w:t xml:space="preserve">Classification</w:t>
            </w:r>
          </w:p>
        </w:tc>
        <w:tc>
          <w:tcPr>
            <w:tcW w:type="dxa" w:w="3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404040"/>
                <w:sz w:val="20"/>
                <w:szCs w:val="20"/>
              </w:rPr>
              <w:t xml:space="preserve">INTERNAL – RESTRICTED</w:t>
            </w:r>
          </w:p>
        </w:tc>
      </w:tr>
    </w:tbl>
    <w:p>
      <w:pPr>
        <w:spacing w:after="280"/>
      </w:pPr>
      <w:r>
        <w:t xml:space="preserve"/>
      </w:r>
    </w:p>
    <w:p>
      <w:pPr>
        <w:jc w:val="center"/>
      </w:pPr>
      <w:r>
        <w:rPr>
          <w:rFonts w:ascii="Arial" w:cs="Arial" w:eastAsia="Arial" w:hAnsi="Arial"/>
          <w:b/>
          <w:bCs/>
          <w:i/>
          <w:iCs/>
          <w:color w:val="C00000"/>
          <w:sz w:val="18"/>
          <w:szCs w:val="18"/>
        </w:rPr>
        <w:t xml:space="preserve">RESTRICTED – FOR INTERNAL USE ONLY  |  DO NOT DISTRIBUTE EXTERNALLY</w:t>
      </w:r>
    </w:p>
    <w:p>
      <w:r>
        <w:br w:type="page"/>
      </w:r>
    </w:p>
    <w:p>
      <w:pPr>
        <w:pStyle w:val="Heading1"/>
        <w:spacing w:before="320" w:after="200"/>
      </w:pPr>
      <w:r>
        <w:rPr>
          <w:rFonts w:ascii="Arial" w:cs="Arial" w:eastAsia="Arial" w:hAnsi="Arial"/>
          <w:b/>
          <w:bCs/>
          <w:color w:val="1F3864"/>
          <w:sz w:val="32"/>
          <w:szCs w:val="32"/>
        </w:rPr>
        <w:t xml:space="preserve">1.  Purpose and Scope</w:t>
      </w:r>
    </w:p>
    <w:p>
      <w:pPr>
        <w:pBdr>
          <w:bottom w:val="single" w:color="2E75B6" w:sz="6" w:space="1"/>
        </w:pBdr>
        <w:spacing w:after="200"/>
      </w:pPr>
      <w:r>
        <w:t xml:space="preserve"/>
      </w:r>
    </w:p>
    <w:p>
      <w:pPr>
        <w:pStyle w:val="Heading2"/>
        <w:spacing w:before="240" w:after="120"/>
      </w:pPr>
      <w:r>
        <w:rPr>
          <w:rFonts w:ascii="Arial" w:cs="Arial" w:eastAsia="Arial" w:hAnsi="Arial"/>
          <w:b/>
          <w:bCs/>
          <w:color w:val="2E75B6"/>
          <w:sz w:val="26"/>
          <w:szCs w:val="26"/>
        </w:rPr>
        <w:t xml:space="preserve">1.1  Purpose</w:t>
      </w:r>
    </w:p>
    <w:p>
      <w:pPr>
        <w:spacing w:after="120" w:line="276"/>
      </w:pPr>
      <w:r>
        <w:rPr>
          <w:rFonts w:ascii="Arial" w:cs="Arial" w:eastAsia="Arial" w:hAnsi="Arial"/>
          <w:i w:val="false"/>
          <w:iCs w:val="false"/>
          <w:color w:val="404040"/>
          <w:sz w:val="22"/>
          <w:szCs w:val="22"/>
        </w:rPr>
        <w:t xml:space="preserve">This AI Incident Response Plan ('Plan') defines the structured procedures that AInnovate Inc. follows to detect, contain, investigate, communicate, and remediate incidents involving artificial intelligence systems — with specific application to the GenStudio generative AI platform. It supplements AInnovate's existing information security incident response process and is tailored to address the unique failure modes of AI/ML systems.</w:t>
      </w:r>
    </w:p>
    <w:p>
      <w:pPr>
        <w:spacing w:after="120" w:line="276"/>
      </w:pPr>
      <w:r>
        <w:rPr>
          <w:rFonts w:ascii="Arial" w:cs="Arial" w:eastAsia="Arial" w:hAnsi="Arial"/>
          <w:i w:val="false"/>
          <w:iCs w:val="false"/>
          <w:color w:val="404040"/>
          <w:sz w:val="22"/>
          <w:szCs w:val="22"/>
        </w:rPr>
        <w:t xml:space="preserve">This Plan is a subordinate document to the AInnovate AI Governance Policy (AIN-GOV-001) and operationalises the incident response requirements defined in Section 9 of that Policy. It aligns with:</w:t>
      </w:r>
    </w:p>
    <w:p>
      <w:pPr>
        <w:pStyle w:val="ListParagraph"/>
        <w:numPr>
          <w:ilvl w:val="0"/>
          <w:numId w:val="2"/>
        </w:numPr>
        <w:spacing w:after="80" w:line="264"/>
      </w:pPr>
      <w:r>
        <w:rPr>
          <w:rFonts w:ascii="Arial" w:cs="Arial" w:eastAsia="Arial" w:hAnsi="Arial"/>
          <w:b w:val="false"/>
          <w:bCs w:val="false"/>
          <w:color w:val="404040"/>
          <w:sz w:val="22"/>
          <w:szCs w:val="22"/>
        </w:rPr>
        <w:t xml:space="preserve">NIST AI RMF 1.0 — Manage function (MG-3: AI risk response; MG-4: incident handling and monitoring)</w:t>
      </w:r>
    </w:p>
    <w:p>
      <w:pPr>
        <w:pStyle w:val="ListParagraph"/>
        <w:numPr>
          <w:ilvl w:val="0"/>
          <w:numId w:val="2"/>
        </w:numPr>
        <w:spacing w:after="80" w:line="264"/>
      </w:pPr>
      <w:r>
        <w:rPr>
          <w:rFonts w:ascii="Arial" w:cs="Arial" w:eastAsia="Arial" w:hAnsi="Arial"/>
          <w:b w:val="false"/>
          <w:bCs w:val="false"/>
          <w:color w:val="404040"/>
          <w:sz w:val="22"/>
          <w:szCs w:val="22"/>
        </w:rPr>
        <w:t xml:space="preserve">ISO/IEC 42001:2023 — Clause 10.1 (Nonconformity and corrective action) and Clause 10.2 (Continual improvement)</w:t>
      </w:r>
    </w:p>
    <w:p>
      <w:pPr>
        <w:pStyle w:val="ListParagraph"/>
        <w:numPr>
          <w:ilvl w:val="0"/>
          <w:numId w:val="2"/>
        </w:numPr>
        <w:spacing w:after="80" w:line="264"/>
      </w:pPr>
      <w:r>
        <w:rPr>
          <w:rFonts w:ascii="Arial" w:cs="Arial" w:eastAsia="Arial" w:hAnsi="Arial"/>
          <w:b w:val="false"/>
          <w:bCs w:val="false"/>
          <w:color w:val="404040"/>
          <w:sz w:val="22"/>
          <w:szCs w:val="22"/>
        </w:rPr>
        <w:t xml:space="preserve">NIST SP 800-61r2 — Computer Security Incident Handling Guide (adapted for AI context)</w:t>
      </w:r>
    </w:p>
    <w:p>
      <w:pPr>
        <w:pStyle w:val="ListParagraph"/>
        <w:numPr>
          <w:ilvl w:val="0"/>
          <w:numId w:val="2"/>
        </w:numPr>
        <w:spacing w:after="80" w:line="264"/>
      </w:pPr>
      <w:r>
        <w:rPr>
          <w:rFonts w:ascii="Arial" w:cs="Arial" w:eastAsia="Arial" w:hAnsi="Arial"/>
          <w:b w:val="false"/>
          <w:bCs w:val="false"/>
          <w:color w:val="404040"/>
          <w:sz w:val="22"/>
          <w:szCs w:val="22"/>
        </w:rPr>
        <w:t xml:space="preserve">GDPR / UK GDPR — Article 33 (72-hour breach notification to supervisory authority)</w:t>
      </w:r>
    </w:p>
    <w:p>
      <w:pPr>
        <w:pStyle w:val="ListParagraph"/>
        <w:numPr>
          <w:ilvl w:val="0"/>
          <w:numId w:val="2"/>
        </w:numPr>
        <w:spacing w:after="80" w:line="264"/>
      </w:pPr>
      <w:r>
        <w:rPr>
          <w:rFonts w:ascii="Arial" w:cs="Arial" w:eastAsia="Arial" w:hAnsi="Arial"/>
          <w:b w:val="false"/>
          <w:bCs w:val="false"/>
          <w:color w:val="404040"/>
          <w:sz w:val="22"/>
          <w:szCs w:val="22"/>
        </w:rPr>
        <w:t xml:space="preserve">EU AI Act — Article 73 (serious incident reporting obligations for providers)</w:t>
      </w:r>
    </w:p>
    <w:p>
      <w:pPr>
        <w:spacing w:after="80"/>
      </w:pPr>
      <w:r>
        <w:t xml:space="preserve"/>
      </w:r>
    </w:p>
    <w:p>
      <w:pPr>
        <w:pStyle w:val="Heading2"/>
        <w:spacing w:before="240" w:after="120"/>
      </w:pPr>
      <w:r>
        <w:rPr>
          <w:rFonts w:ascii="Arial" w:cs="Arial" w:eastAsia="Arial" w:hAnsi="Arial"/>
          <w:b/>
          <w:bCs/>
          <w:color w:val="2E75B6"/>
          <w:sz w:val="26"/>
          <w:szCs w:val="26"/>
        </w:rPr>
        <w:t xml:space="preserve">1.2  Scope</w:t>
      </w:r>
    </w:p>
    <w:p>
      <w:pPr>
        <w:spacing w:after="120" w:line="276"/>
      </w:pPr>
      <w:r>
        <w:rPr>
          <w:rFonts w:ascii="Arial" w:cs="Arial" w:eastAsia="Arial" w:hAnsi="Arial"/>
          <w:i w:val="false"/>
          <w:iCs w:val="false"/>
          <w:color w:val="404040"/>
          <w:sz w:val="22"/>
          <w:szCs w:val="22"/>
        </w:rPr>
        <w:t xml:space="preserve">This Plan applies to:</w:t>
      </w:r>
    </w:p>
    <w:p>
      <w:pPr>
        <w:pStyle w:val="ListParagraph"/>
        <w:numPr>
          <w:ilvl w:val="0"/>
          <w:numId w:val="2"/>
        </w:numPr>
        <w:spacing w:after="80" w:line="264"/>
      </w:pPr>
      <w:r>
        <w:rPr>
          <w:rFonts w:ascii="Arial" w:cs="Arial" w:eastAsia="Arial" w:hAnsi="Arial"/>
          <w:b w:val="false"/>
          <w:bCs w:val="false"/>
          <w:color w:val="404040"/>
          <w:sz w:val="22"/>
          <w:szCs w:val="22"/>
        </w:rPr>
        <w:t xml:space="preserve">All AI systems developed or operated by AInnovate, including GenStudio and any future AI products;</w:t>
      </w:r>
    </w:p>
    <w:p>
      <w:pPr>
        <w:pStyle w:val="ListParagraph"/>
        <w:numPr>
          <w:ilvl w:val="0"/>
          <w:numId w:val="2"/>
        </w:numPr>
        <w:spacing w:after="80" w:line="264"/>
      </w:pPr>
      <w:r>
        <w:rPr>
          <w:rFonts w:ascii="Arial" w:cs="Arial" w:eastAsia="Arial" w:hAnsi="Arial"/>
          <w:b w:val="false"/>
          <w:bCs w:val="false"/>
          <w:color w:val="404040"/>
          <w:sz w:val="22"/>
          <w:szCs w:val="22"/>
        </w:rPr>
        <w:t xml:space="preserve">All AInnovate employees, contractors, and third-party vendors who detect, respond to, or are involved in AI-related incidents;</w:t>
      </w:r>
    </w:p>
    <w:p>
      <w:pPr>
        <w:pStyle w:val="ListParagraph"/>
        <w:numPr>
          <w:ilvl w:val="0"/>
          <w:numId w:val="2"/>
        </w:numPr>
        <w:spacing w:after="80" w:line="264"/>
      </w:pPr>
      <w:r>
        <w:rPr>
          <w:rFonts w:ascii="Arial" w:cs="Arial" w:eastAsia="Arial" w:hAnsi="Arial"/>
          <w:b w:val="false"/>
          <w:bCs w:val="false"/>
          <w:color w:val="404040"/>
          <w:sz w:val="22"/>
          <w:szCs w:val="22"/>
        </w:rPr>
        <w:t xml:space="preserve">AI incidents originating from model failures, data issues, adversarial attacks, infrastructure failures, or misuse by end users.</w:t>
      </w:r>
    </w:p>
    <w:p>
      <w:pPr>
        <w:spacing w:after="80"/>
      </w:pPr>
      <w:r>
        <w:t xml:space="preserve"/>
      </w:r>
    </w:p>
    <w:p>
      <w:pPr>
        <w:pStyle w:val="Heading2"/>
        <w:spacing w:before="240" w:after="120"/>
      </w:pPr>
      <w:r>
        <w:rPr>
          <w:rFonts w:ascii="Arial" w:cs="Arial" w:eastAsia="Arial" w:hAnsi="Arial"/>
          <w:b/>
          <w:bCs/>
          <w:color w:val="2E75B6"/>
          <w:sz w:val="26"/>
          <w:szCs w:val="26"/>
        </w:rPr>
        <w:t xml:space="preserve">1.3  Relationship to Other Documents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3960"/>
      </w:tblGrid>
      <w:tr>
        <w:tc>
          <w:tcPr>
            <w:tcW w:type="dxa" w:w="3000"/>
            <w:tcBorders>
              <w:top w:val="single" w:color="2E75B6" w:sz="1"/>
              <w:left w:val="single" w:color="2E75B6" w:sz="1"/>
              <w:bottom w:val="single" w:color="2E75B6" w:sz="1"/>
              <w:right w:val="single" w:color="2E75B6" w:sz="1"/>
            </w:tcBorders>
            <w:shd w:fill="1F3864" w:val="clear"/>
            <w:tcMar>
              <w:top w:type="dxa" w:w="100"/>
              <w:left w:type="dxa" w:w="130"/>
              <w:bottom w:type="dxa" w:w="100"/>
              <w:right w:type="dxa" w:w="130"/>
            </w:tcMar>
            <w:vAlign w:val="center"/>
          </w:tcPr>
          <w:p>
            <w:pPr>
              <w:jc w:val="center"/>
            </w:pPr>
            <w:r>
              <w:rPr>
                <w:rFonts w:ascii="Arial" w:cs="Arial" w:eastAsia="Arial" w:hAnsi="Arial"/>
                <w:b/>
                <w:bCs/>
                <w:color w:val="FFFFFF"/>
                <w:sz w:val="20"/>
                <w:szCs w:val="20"/>
              </w:rPr>
              <w:t xml:space="preserve">Document</w:t>
            </w:r>
          </w:p>
        </w:tc>
        <w:tc>
          <w:tcPr>
            <w:tcW w:type="dxa" w:w="2400"/>
            <w:tcBorders>
              <w:top w:val="single" w:color="2E75B6" w:sz="1"/>
              <w:left w:val="single" w:color="2E75B6" w:sz="1"/>
              <w:bottom w:val="single" w:color="2E75B6" w:sz="1"/>
              <w:right w:val="single" w:color="2E75B6" w:sz="1"/>
            </w:tcBorders>
            <w:shd w:fill="1F3864" w:val="clear"/>
            <w:tcMar>
              <w:top w:type="dxa" w:w="100"/>
              <w:left w:type="dxa" w:w="130"/>
              <w:bottom w:type="dxa" w:w="100"/>
              <w:right w:type="dxa" w:w="130"/>
            </w:tcMar>
            <w:vAlign w:val="center"/>
          </w:tcPr>
          <w:p>
            <w:pPr>
              <w:jc w:val="center"/>
            </w:pPr>
            <w:r>
              <w:rPr>
                <w:rFonts w:ascii="Arial" w:cs="Arial" w:eastAsia="Arial" w:hAnsi="Arial"/>
                <w:b/>
                <w:bCs/>
                <w:color w:val="FFFFFF"/>
                <w:sz w:val="20"/>
                <w:szCs w:val="20"/>
              </w:rPr>
              <w:t xml:space="preserve">Reference</w:t>
            </w:r>
          </w:p>
        </w:tc>
        <w:tc>
          <w:tcPr>
            <w:tcW w:type="dxa" w:w="3960"/>
            <w:tcBorders>
              <w:top w:val="single" w:color="2E75B6" w:sz="1"/>
              <w:left w:val="single" w:color="2E75B6" w:sz="1"/>
              <w:bottom w:val="single" w:color="2E75B6" w:sz="1"/>
              <w:right w:val="single" w:color="2E75B6" w:sz="1"/>
            </w:tcBorders>
            <w:shd w:fill="1F3864" w:val="clear"/>
            <w:tcMar>
              <w:top w:type="dxa" w:w="100"/>
              <w:left w:type="dxa" w:w="130"/>
              <w:bottom w:type="dxa" w:w="100"/>
              <w:right w:type="dxa" w:w="130"/>
            </w:tcMar>
            <w:vAlign w:val="center"/>
          </w:tcPr>
          <w:p>
            <w:pPr>
              <w:jc w:val="center"/>
            </w:pPr>
            <w:r>
              <w:rPr>
                <w:rFonts w:ascii="Arial" w:cs="Arial" w:eastAsia="Arial" w:hAnsi="Arial"/>
                <w:b/>
                <w:bCs/>
                <w:color w:val="FFFFFF"/>
                <w:sz w:val="20"/>
                <w:szCs w:val="20"/>
              </w:rPr>
              <w:t xml:space="preserve">Relationship</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pPr>
              <w:jc w:val="left"/>
            </w:pPr>
            <w:r>
              <w:rPr>
                <w:rFonts w:ascii="Arial" w:cs="Arial" w:eastAsia="Arial" w:hAnsi="Arial"/>
                <w:b/>
                <w:bCs/>
                <w:color w:val="404040"/>
                <w:sz w:val="20"/>
                <w:szCs w:val="20"/>
              </w:rPr>
              <w:t xml:space="preserve">AI Governance Policy</w:t>
            </w:r>
          </w:p>
        </w:tc>
        <w:tc>
          <w:tcPr>
            <w:tcW w:type="dxa" w:w="24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pPr>
              <w:jc w:val="left"/>
            </w:pPr>
            <w:r>
              <w:rPr>
                <w:rFonts w:ascii="Arial" w:cs="Arial" w:eastAsia="Arial" w:hAnsi="Arial"/>
                <w:b w:val="false"/>
                <w:bCs w:val="false"/>
                <w:color w:val="404040"/>
                <w:sz w:val="20"/>
                <w:szCs w:val="20"/>
              </w:rPr>
              <w:t xml:space="preserve">AIN-GOV-001</w:t>
            </w:r>
          </w:p>
        </w:tc>
        <w:tc>
          <w:tcPr>
            <w:tcW w:type="dxa" w:w="39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pPr>
              <w:jc w:val="left"/>
            </w:pPr>
            <w:r>
              <w:rPr>
                <w:rFonts w:ascii="Arial" w:cs="Arial" w:eastAsia="Arial" w:hAnsi="Arial"/>
                <w:b w:val="false"/>
                <w:bCs w:val="false"/>
                <w:color w:val="404040"/>
                <w:sz w:val="20"/>
                <w:szCs w:val="20"/>
              </w:rPr>
              <w:t xml:space="preserve">Parent policy; incident categories in Section 9</w:t>
            </w:r>
          </w:p>
        </w:tc>
      </w:tr>
      <w:tr>
        <w:tc>
          <w:tcPr>
            <w:tcW w:type="dxa" w:w="3000"/>
            <w:tcBorders>
              <w:top w:val="single" w:color="BBBBBB" w:sz="1"/>
              <w:left w:val="single" w:color="BBBBBB" w:sz="1"/>
              <w:bottom w:val="single" w:color="BBBBBB" w:sz="1"/>
              <w:right w:val="single" w:color="BBBBBB" w:sz="1"/>
            </w:tcBorders>
            <w:shd w:fill="EEF4FB" w:val="clear"/>
            <w:tcMar>
              <w:top w:type="dxa" w:w="80"/>
              <w:left w:type="dxa" w:w="130"/>
              <w:bottom w:type="dxa" w:w="80"/>
              <w:right w:type="dxa" w:w="130"/>
            </w:tcMar>
          </w:tcPr>
          <w:p>
            <w:pPr>
              <w:jc w:val="left"/>
            </w:pPr>
            <w:r>
              <w:rPr>
                <w:rFonts w:ascii="Arial" w:cs="Arial" w:eastAsia="Arial" w:hAnsi="Arial"/>
                <w:b/>
                <w:bCs/>
                <w:color w:val="404040"/>
                <w:sz w:val="20"/>
                <w:szCs w:val="20"/>
              </w:rPr>
              <w:t xml:space="preserve">AI Risk Assessment Framework</w:t>
            </w:r>
          </w:p>
        </w:tc>
        <w:tc>
          <w:tcPr>
            <w:tcW w:type="dxa" w:w="2400"/>
            <w:tcBorders>
              <w:top w:val="single" w:color="BBBBBB" w:sz="1"/>
              <w:left w:val="single" w:color="BBBBBB" w:sz="1"/>
              <w:bottom w:val="single" w:color="BBBBBB" w:sz="1"/>
              <w:right w:val="single" w:color="BBBBBB" w:sz="1"/>
            </w:tcBorders>
            <w:shd w:fill="EEF4FB" w:val="clear"/>
            <w:tcMar>
              <w:top w:type="dxa" w:w="80"/>
              <w:left w:type="dxa" w:w="130"/>
              <w:bottom w:type="dxa" w:w="80"/>
              <w:right w:type="dxa" w:w="130"/>
            </w:tcMar>
          </w:tcPr>
          <w:p>
            <w:pPr>
              <w:jc w:val="left"/>
            </w:pPr>
            <w:r>
              <w:rPr>
                <w:rFonts w:ascii="Arial" w:cs="Arial" w:eastAsia="Arial" w:hAnsi="Arial"/>
                <w:b w:val="false"/>
                <w:bCs w:val="false"/>
                <w:color w:val="404040"/>
                <w:sz w:val="20"/>
                <w:szCs w:val="20"/>
              </w:rPr>
              <w:t xml:space="preserve">AIN-GOV-005</w:t>
            </w:r>
          </w:p>
        </w:tc>
        <w:tc>
          <w:tcPr>
            <w:tcW w:type="dxa" w:w="3960"/>
            <w:tcBorders>
              <w:top w:val="single" w:color="BBBBBB" w:sz="1"/>
              <w:left w:val="single" w:color="BBBBBB" w:sz="1"/>
              <w:bottom w:val="single" w:color="BBBBBB" w:sz="1"/>
              <w:right w:val="single" w:color="BBBBBB" w:sz="1"/>
            </w:tcBorders>
            <w:shd w:fill="EEF4FB" w:val="clear"/>
            <w:tcMar>
              <w:top w:type="dxa" w:w="80"/>
              <w:left w:type="dxa" w:w="130"/>
              <w:bottom w:type="dxa" w:w="80"/>
              <w:right w:type="dxa" w:w="130"/>
            </w:tcMar>
          </w:tcPr>
          <w:p>
            <w:pPr>
              <w:jc w:val="left"/>
            </w:pPr>
            <w:r>
              <w:rPr>
                <w:rFonts w:ascii="Arial" w:cs="Arial" w:eastAsia="Arial" w:hAnsi="Arial"/>
                <w:b w:val="false"/>
                <w:bCs w:val="false"/>
                <w:color w:val="404040"/>
                <w:sz w:val="20"/>
                <w:szCs w:val="20"/>
              </w:rPr>
              <w:t xml:space="preserve">Risk register identifies risks that may trigger this Plan</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pPr>
              <w:jc w:val="left"/>
            </w:pPr>
            <w:r>
              <w:rPr>
                <w:rFonts w:ascii="Arial" w:cs="Arial" w:eastAsia="Arial" w:hAnsi="Arial"/>
                <w:b/>
                <w:bCs/>
                <w:color w:val="404040"/>
                <w:sz w:val="20"/>
                <w:szCs w:val="20"/>
              </w:rPr>
              <w:t xml:space="preserve">Bias Assessment Methodology</w:t>
            </w:r>
          </w:p>
        </w:tc>
        <w:tc>
          <w:tcPr>
            <w:tcW w:type="dxa" w:w="24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pPr>
              <w:jc w:val="left"/>
            </w:pPr>
            <w:r>
              <w:rPr>
                <w:rFonts w:ascii="Arial" w:cs="Arial" w:eastAsia="Arial" w:hAnsi="Arial"/>
                <w:b w:val="false"/>
                <w:bCs w:val="false"/>
                <w:color w:val="404040"/>
                <w:sz w:val="20"/>
                <w:szCs w:val="20"/>
              </w:rPr>
              <w:t xml:space="preserve">AIN-GOV-002</w:t>
            </w:r>
          </w:p>
        </w:tc>
        <w:tc>
          <w:tcPr>
            <w:tcW w:type="dxa" w:w="39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pPr>
              <w:jc w:val="left"/>
            </w:pPr>
            <w:r>
              <w:rPr>
                <w:rFonts w:ascii="Arial" w:cs="Arial" w:eastAsia="Arial" w:hAnsi="Arial"/>
                <w:b w:val="false"/>
                <w:bCs w:val="false"/>
                <w:color w:val="404040"/>
                <w:sz w:val="20"/>
                <w:szCs w:val="20"/>
              </w:rPr>
              <w:t xml:space="preserve">Bias P2 incidents trigger bias re-assessment per this Plan</w:t>
            </w:r>
          </w:p>
        </w:tc>
      </w:tr>
      <w:tr>
        <w:tc>
          <w:tcPr>
            <w:tcW w:type="dxa" w:w="3000"/>
            <w:tcBorders>
              <w:top w:val="single" w:color="BBBBBB" w:sz="1"/>
              <w:left w:val="single" w:color="BBBBBB" w:sz="1"/>
              <w:bottom w:val="single" w:color="BBBBBB" w:sz="1"/>
              <w:right w:val="single" w:color="BBBBBB" w:sz="1"/>
            </w:tcBorders>
            <w:shd w:fill="EEF4FB" w:val="clear"/>
            <w:tcMar>
              <w:top w:type="dxa" w:w="80"/>
              <w:left w:type="dxa" w:w="130"/>
              <w:bottom w:type="dxa" w:w="80"/>
              <w:right w:type="dxa" w:w="130"/>
            </w:tcMar>
          </w:tcPr>
          <w:p>
            <w:pPr>
              <w:jc w:val="left"/>
            </w:pPr>
            <w:r>
              <w:rPr>
                <w:rFonts w:ascii="Arial" w:cs="Arial" w:eastAsia="Arial" w:hAnsi="Arial"/>
                <w:b/>
                <w:bCs/>
                <w:color w:val="404040"/>
                <w:sz w:val="20"/>
                <w:szCs w:val="20"/>
              </w:rPr>
              <w:t xml:space="preserve">ISO 27001 ISMS IR Procedure</w:t>
            </w:r>
          </w:p>
        </w:tc>
        <w:tc>
          <w:tcPr>
            <w:tcW w:type="dxa" w:w="2400"/>
            <w:tcBorders>
              <w:top w:val="single" w:color="BBBBBB" w:sz="1"/>
              <w:left w:val="single" w:color="BBBBBB" w:sz="1"/>
              <w:bottom w:val="single" w:color="BBBBBB" w:sz="1"/>
              <w:right w:val="single" w:color="BBBBBB" w:sz="1"/>
            </w:tcBorders>
            <w:shd w:fill="EEF4FB" w:val="clear"/>
            <w:tcMar>
              <w:top w:type="dxa" w:w="80"/>
              <w:left w:type="dxa" w:w="130"/>
              <w:bottom w:type="dxa" w:w="80"/>
              <w:right w:type="dxa" w:w="130"/>
            </w:tcMar>
          </w:tcPr>
          <w:p>
            <w:pPr>
              <w:jc w:val="left"/>
            </w:pPr>
            <w:r>
              <w:rPr>
                <w:rFonts w:ascii="Arial" w:cs="Arial" w:eastAsia="Arial" w:hAnsi="Arial"/>
                <w:b w:val="false"/>
                <w:bCs w:val="false"/>
                <w:color w:val="404040"/>
                <w:sz w:val="20"/>
                <w:szCs w:val="20"/>
              </w:rPr>
              <w:t xml:space="preserve">ISMS-INC-001</w:t>
            </w:r>
          </w:p>
        </w:tc>
        <w:tc>
          <w:tcPr>
            <w:tcW w:type="dxa" w:w="3960"/>
            <w:tcBorders>
              <w:top w:val="single" w:color="BBBBBB" w:sz="1"/>
              <w:left w:val="single" w:color="BBBBBB" w:sz="1"/>
              <w:bottom w:val="single" w:color="BBBBBB" w:sz="1"/>
              <w:right w:val="single" w:color="BBBBBB" w:sz="1"/>
            </w:tcBorders>
            <w:shd w:fill="EEF4FB" w:val="clear"/>
            <w:tcMar>
              <w:top w:type="dxa" w:w="80"/>
              <w:left w:type="dxa" w:w="130"/>
              <w:bottom w:type="dxa" w:w="80"/>
              <w:right w:type="dxa" w:w="130"/>
            </w:tcMar>
          </w:tcPr>
          <w:p>
            <w:pPr>
              <w:jc w:val="left"/>
            </w:pPr>
            <w:r>
              <w:rPr>
                <w:rFonts w:ascii="Arial" w:cs="Arial" w:eastAsia="Arial" w:hAnsi="Arial"/>
                <w:b w:val="false"/>
                <w:bCs w:val="false"/>
                <w:color w:val="404040"/>
                <w:sz w:val="20"/>
                <w:szCs w:val="20"/>
              </w:rPr>
              <w:t xml:space="preserve">Parent security IR procedure; AI incidents run in parallel</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pPr>
              <w:jc w:val="left"/>
            </w:pPr>
            <w:r>
              <w:rPr>
                <w:rFonts w:ascii="Arial" w:cs="Arial" w:eastAsia="Arial" w:hAnsi="Arial"/>
                <w:b/>
                <w:bCs/>
                <w:color w:val="404040"/>
                <w:sz w:val="20"/>
                <w:szCs w:val="20"/>
              </w:rPr>
              <w:t xml:space="preserve">AWS Security Incident Runbook</w:t>
            </w:r>
          </w:p>
        </w:tc>
        <w:tc>
          <w:tcPr>
            <w:tcW w:type="dxa" w:w="24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pPr>
              <w:jc w:val="left"/>
            </w:pPr>
            <w:r>
              <w:rPr>
                <w:rFonts w:ascii="Arial" w:cs="Arial" w:eastAsia="Arial" w:hAnsi="Arial"/>
                <w:b w:val="false"/>
                <w:bCs w:val="false"/>
                <w:color w:val="404040"/>
                <w:sz w:val="20"/>
                <w:szCs w:val="20"/>
              </w:rPr>
              <w:t xml:space="preserve">AWS-SEC-001</w:t>
            </w:r>
          </w:p>
        </w:tc>
        <w:tc>
          <w:tcPr>
            <w:tcW w:type="dxa" w:w="39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pPr>
              <w:jc w:val="left"/>
            </w:pPr>
            <w:r>
              <w:rPr>
                <w:rFonts w:ascii="Arial" w:cs="Arial" w:eastAsia="Arial" w:hAnsi="Arial"/>
                <w:b w:val="false"/>
                <w:bCs w:val="false"/>
                <w:color w:val="404040"/>
                <w:sz w:val="20"/>
                <w:szCs w:val="20"/>
              </w:rPr>
              <w:t xml:space="preserve">AWS-specific technical containment steps referenced herein</w:t>
            </w:r>
          </w:p>
        </w:tc>
      </w:tr>
    </w:tbl>
    <w:p>
      <w:r>
        <w:br w:type="page"/>
      </w:r>
    </w:p>
    <w:p>
      <w:pPr>
        <w:pStyle w:val="Heading1"/>
        <w:spacing w:before="320" w:after="200"/>
      </w:pPr>
      <w:r>
        <w:rPr>
          <w:rFonts w:ascii="Arial" w:cs="Arial" w:eastAsia="Arial" w:hAnsi="Arial"/>
          <w:b/>
          <w:bCs/>
          <w:color w:val="1F3864"/>
          <w:sz w:val="32"/>
          <w:szCs w:val="32"/>
        </w:rPr>
        <w:t xml:space="preserve">2.  AI Incident Definition and Severity Classification</w:t>
      </w:r>
    </w:p>
    <w:p>
      <w:pPr>
        <w:pBdr>
          <w:bottom w:val="single" w:color="2E75B6" w:sz="6" w:space="1"/>
        </w:pBdr>
        <w:spacing w:after="200"/>
      </w:pPr>
      <w:r>
        <w:t xml:space="preserve"/>
      </w:r>
    </w:p>
    <w:p>
      <w:pPr>
        <w:pStyle w:val="Heading2"/>
        <w:spacing w:before="240" w:after="120"/>
      </w:pPr>
      <w:r>
        <w:rPr>
          <w:rFonts w:ascii="Arial" w:cs="Arial" w:eastAsia="Arial" w:hAnsi="Arial"/>
          <w:b/>
          <w:bCs/>
          <w:color w:val="2E75B6"/>
          <w:sz w:val="26"/>
          <w:szCs w:val="26"/>
        </w:rPr>
        <w:t xml:space="preserve">2.1  Definition of an AI Incident</w:t>
      </w:r>
    </w:p>
    <w:p>
      <w:pPr>
        <w:spacing w:after="120" w:line="276"/>
      </w:pPr>
      <w:r>
        <w:rPr>
          <w:rFonts w:ascii="Arial" w:cs="Arial" w:eastAsia="Arial" w:hAnsi="Arial"/>
          <w:i w:val="false"/>
          <w:iCs w:val="false"/>
          <w:color w:val="404040"/>
          <w:sz w:val="22"/>
          <w:szCs w:val="22"/>
        </w:rPr>
        <w:t xml:space="preserve">An AI Incident is any event, or series of events, in which an AI system produces outputs, exhibits behaviours, or operates in conditions that:</w:t>
      </w:r>
    </w:p>
    <w:p>
      <w:pPr>
        <w:pStyle w:val="ListParagraph"/>
        <w:numPr>
          <w:ilvl w:val="0"/>
          <w:numId w:val="2"/>
        </w:numPr>
        <w:spacing w:after="80" w:line="264"/>
      </w:pPr>
      <w:r>
        <w:rPr>
          <w:rFonts w:ascii="Arial" w:cs="Arial" w:eastAsia="Arial" w:hAnsi="Arial"/>
          <w:b w:val="false"/>
          <w:bCs w:val="false"/>
          <w:color w:val="404040"/>
          <w:sz w:val="22"/>
          <w:szCs w:val="22"/>
        </w:rPr>
        <w:t xml:space="preserve">Cause harm or have the potential to cause harm to individuals, groups, or society;</w:t>
      </w:r>
    </w:p>
    <w:p>
      <w:pPr>
        <w:pStyle w:val="ListParagraph"/>
        <w:numPr>
          <w:ilvl w:val="0"/>
          <w:numId w:val="2"/>
        </w:numPr>
        <w:spacing w:after="80" w:line="264"/>
      </w:pPr>
      <w:r>
        <w:rPr>
          <w:rFonts w:ascii="Arial" w:cs="Arial" w:eastAsia="Arial" w:hAnsi="Arial"/>
          <w:b w:val="false"/>
          <w:bCs w:val="false"/>
          <w:color w:val="404040"/>
          <w:sz w:val="22"/>
          <w:szCs w:val="22"/>
        </w:rPr>
        <w:t xml:space="preserve">Violate AInnovate's AI Governance Policy, applicable law, or regulatory requirements;</w:t>
      </w:r>
    </w:p>
    <w:p>
      <w:pPr>
        <w:pStyle w:val="ListParagraph"/>
        <w:numPr>
          <w:ilvl w:val="0"/>
          <w:numId w:val="2"/>
        </w:numPr>
        <w:spacing w:after="80" w:line="264"/>
      </w:pPr>
      <w:r>
        <w:rPr>
          <w:rFonts w:ascii="Arial" w:cs="Arial" w:eastAsia="Arial" w:hAnsi="Arial"/>
          <w:b w:val="false"/>
          <w:bCs w:val="false"/>
          <w:color w:val="404040"/>
          <w:sz w:val="22"/>
          <w:szCs w:val="22"/>
        </w:rPr>
        <w:t xml:space="preserve">Cause significant reputational, financial, or operational damage to AInnovate or its customers;</w:t>
      </w:r>
    </w:p>
    <w:p>
      <w:pPr>
        <w:pStyle w:val="ListParagraph"/>
        <w:numPr>
          <w:ilvl w:val="0"/>
          <w:numId w:val="2"/>
        </w:numPr>
        <w:spacing w:after="80" w:line="264"/>
      </w:pPr>
      <w:r>
        <w:rPr>
          <w:rFonts w:ascii="Arial" w:cs="Arial" w:eastAsia="Arial" w:hAnsi="Arial"/>
          <w:b w:val="false"/>
          <w:bCs w:val="false"/>
          <w:color w:val="404040"/>
          <w:sz w:val="22"/>
          <w:szCs w:val="22"/>
        </w:rPr>
        <w:t xml:space="preserve">Represent a material failure of an AI safety, security, fairness, or privacy control.</w:t>
      </w:r>
    </w:p>
    <w:p>
      <w:pPr>
        <w:spacing w:after="80"/>
      </w:pPr>
      <w:r>
        <w:t xml:space="preserve"/>
      </w:r>
    </w:p>
    <w:p>
      <w:pPr>
        <w:spacing w:after="120" w:line="276"/>
      </w:pPr>
      <w:r>
        <w:rPr>
          <w:rFonts w:ascii="Arial" w:cs="Arial" w:eastAsia="Arial" w:hAnsi="Arial"/>
          <w:i w:val="false"/>
          <w:iCs w:val="false"/>
          <w:color w:val="404040"/>
          <w:sz w:val="22"/>
          <w:szCs w:val="22"/>
        </w:rPr>
        <w:t xml:space="preserve">AI Near-Misses — events where a potential incident was detected and contained before harm occurred — shall also be logged and reviewed, as they provide valuable signals for improving controls.</w:t>
      </w:r>
    </w:p>
    <w:p>
      <w:pPr>
        <w:spacing w:after="120"/>
      </w:pPr>
      <w:r>
        <w:t xml:space="preserve"/>
      </w:r>
    </w:p>
    <w:p>
      <w:pPr>
        <w:pStyle w:val="Heading2"/>
        <w:spacing w:before="240" w:after="120"/>
      </w:pPr>
      <w:r>
        <w:rPr>
          <w:rFonts w:ascii="Arial" w:cs="Arial" w:eastAsia="Arial" w:hAnsi="Arial"/>
          <w:b/>
          <w:bCs/>
          <w:color w:val="2E75B6"/>
          <w:sz w:val="26"/>
          <w:szCs w:val="26"/>
        </w:rPr>
        <w:t xml:space="preserve">2.2  Severity Classification</w:t>
      </w:r>
    </w:p>
    <w:p>
      <w:pPr>
        <w:spacing w:after="120" w:line="276"/>
      </w:pPr>
      <w:r>
        <w:rPr>
          <w:rFonts w:ascii="Arial" w:cs="Arial" w:eastAsia="Arial" w:hAnsi="Arial"/>
          <w:i w:val="false"/>
          <w:iCs w:val="false"/>
          <w:color w:val="404040"/>
          <w:sz w:val="22"/>
          <w:szCs w:val="22"/>
        </w:rPr>
        <w:t xml:space="preserve">All AI incidents are classified on a four-tier severity scale at the point of detection. The initial classification may be upgraded or downgraded as investigation progresses.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200"/>
        <w:gridCol w:w="3400"/>
        <w:gridCol w:w="2360"/>
        <w:gridCol w:w="1400"/>
      </w:tblGrid>
      <w:tr>
        <w:tc>
          <w:tcPr>
            <w:tcW w:type="dxa" w:w="1000"/>
            <w:tcBorders>
              <w:top w:val="single" w:color="2E75B6" w:sz="1"/>
              <w:left w:val="single" w:color="2E75B6" w:sz="1"/>
              <w:bottom w:val="single" w:color="2E75B6" w:sz="1"/>
              <w:right w:val="single" w:color="2E75B6" w:sz="1"/>
            </w:tcBorders>
            <w:shd w:fill="1F3864" w:val="clear"/>
            <w:tcMar>
              <w:top w:type="dxa" w:w="100"/>
              <w:left w:type="dxa" w:w="130"/>
              <w:bottom w:type="dxa" w:w="100"/>
              <w:right w:type="dxa" w:w="130"/>
            </w:tcMar>
            <w:vAlign w:val="center"/>
          </w:tcPr>
          <w:p>
            <w:pPr>
              <w:jc w:val="center"/>
            </w:pPr>
            <w:r>
              <w:rPr>
                <w:rFonts w:ascii="Arial" w:cs="Arial" w:eastAsia="Arial" w:hAnsi="Arial"/>
                <w:b/>
                <w:bCs/>
                <w:color w:val="FFFFFF"/>
                <w:sz w:val="20"/>
                <w:szCs w:val="20"/>
              </w:rPr>
              <w:t xml:space="preserve">Severity</w:t>
            </w:r>
          </w:p>
        </w:tc>
        <w:tc>
          <w:tcPr>
            <w:tcW w:type="dxa" w:w="1200"/>
            <w:tcBorders>
              <w:top w:val="single" w:color="2E75B6" w:sz="1"/>
              <w:left w:val="single" w:color="2E75B6" w:sz="1"/>
              <w:bottom w:val="single" w:color="2E75B6" w:sz="1"/>
              <w:right w:val="single" w:color="2E75B6" w:sz="1"/>
            </w:tcBorders>
            <w:shd w:fill="1F3864" w:val="clear"/>
            <w:tcMar>
              <w:top w:type="dxa" w:w="100"/>
              <w:left w:type="dxa" w:w="130"/>
              <w:bottom w:type="dxa" w:w="100"/>
              <w:right w:type="dxa" w:w="130"/>
            </w:tcMar>
            <w:vAlign w:val="center"/>
          </w:tcPr>
          <w:p>
            <w:pPr>
              <w:jc w:val="center"/>
            </w:pPr>
            <w:r>
              <w:rPr>
                <w:rFonts w:ascii="Arial" w:cs="Arial" w:eastAsia="Arial" w:hAnsi="Arial"/>
                <w:b/>
                <w:bCs/>
                <w:color w:val="FFFFFF"/>
                <w:sz w:val="20"/>
                <w:szCs w:val="20"/>
              </w:rPr>
              <w:t xml:space="preserve">Rating</w:t>
            </w:r>
          </w:p>
        </w:tc>
        <w:tc>
          <w:tcPr>
            <w:tcW w:type="dxa" w:w="3400"/>
            <w:tcBorders>
              <w:top w:val="single" w:color="2E75B6" w:sz="1"/>
              <w:left w:val="single" w:color="2E75B6" w:sz="1"/>
              <w:bottom w:val="single" w:color="2E75B6" w:sz="1"/>
              <w:right w:val="single" w:color="2E75B6" w:sz="1"/>
            </w:tcBorders>
            <w:shd w:fill="1F3864" w:val="clear"/>
            <w:tcMar>
              <w:top w:type="dxa" w:w="100"/>
              <w:left w:type="dxa" w:w="130"/>
              <w:bottom w:type="dxa" w:w="100"/>
              <w:right w:type="dxa" w:w="130"/>
            </w:tcMar>
            <w:vAlign w:val="center"/>
          </w:tcPr>
          <w:p>
            <w:pPr>
              <w:jc w:val="center"/>
            </w:pPr>
            <w:r>
              <w:rPr>
                <w:rFonts w:ascii="Arial" w:cs="Arial" w:eastAsia="Arial" w:hAnsi="Arial"/>
                <w:b/>
                <w:bCs/>
                <w:color w:val="FFFFFF"/>
                <w:sz w:val="20"/>
                <w:szCs w:val="20"/>
              </w:rPr>
              <w:t xml:space="preserve">Criteria</w:t>
            </w:r>
          </w:p>
        </w:tc>
        <w:tc>
          <w:tcPr>
            <w:tcW w:type="dxa" w:w="2360"/>
            <w:tcBorders>
              <w:top w:val="single" w:color="2E75B6" w:sz="1"/>
              <w:left w:val="single" w:color="2E75B6" w:sz="1"/>
              <w:bottom w:val="single" w:color="2E75B6" w:sz="1"/>
              <w:right w:val="single" w:color="2E75B6" w:sz="1"/>
            </w:tcBorders>
            <w:shd w:fill="1F3864" w:val="clear"/>
            <w:tcMar>
              <w:top w:type="dxa" w:w="100"/>
              <w:left w:type="dxa" w:w="130"/>
              <w:bottom w:type="dxa" w:w="100"/>
              <w:right w:type="dxa" w:w="130"/>
            </w:tcMar>
            <w:vAlign w:val="center"/>
          </w:tcPr>
          <w:p>
            <w:pPr>
              <w:jc w:val="center"/>
            </w:pPr>
            <w:r>
              <w:rPr>
                <w:rFonts w:ascii="Arial" w:cs="Arial" w:eastAsia="Arial" w:hAnsi="Arial"/>
                <w:b/>
                <w:bCs/>
                <w:color w:val="FFFFFF"/>
                <w:sz w:val="20"/>
                <w:szCs w:val="20"/>
              </w:rPr>
              <w:t xml:space="preserve">Example Incidents</w:t>
            </w:r>
          </w:p>
        </w:tc>
        <w:tc>
          <w:tcPr>
            <w:tcW w:type="dxa" w:w="1400"/>
            <w:tcBorders>
              <w:top w:val="single" w:color="2E75B6" w:sz="1"/>
              <w:left w:val="single" w:color="2E75B6" w:sz="1"/>
              <w:bottom w:val="single" w:color="2E75B6" w:sz="1"/>
              <w:right w:val="single" w:color="2E75B6" w:sz="1"/>
            </w:tcBorders>
            <w:shd w:fill="1F3864" w:val="clear"/>
            <w:tcMar>
              <w:top w:type="dxa" w:w="100"/>
              <w:left w:type="dxa" w:w="130"/>
              <w:bottom w:type="dxa" w:w="100"/>
              <w:right w:type="dxa" w:w="130"/>
            </w:tcMar>
            <w:vAlign w:val="center"/>
          </w:tcPr>
          <w:p>
            <w:pPr>
              <w:jc w:val="center"/>
            </w:pPr>
            <w:r>
              <w:rPr>
                <w:rFonts w:ascii="Arial" w:cs="Arial" w:eastAsia="Arial" w:hAnsi="Arial"/>
                <w:b/>
                <w:bCs/>
                <w:color w:val="FFFFFF"/>
                <w:sz w:val="20"/>
                <w:szCs w:val="20"/>
              </w:rPr>
              <w:t xml:space="preserve">Initial Response</w:t>
            </w:r>
          </w:p>
        </w:tc>
      </w:tr>
      <w:tr>
        <w:tc>
          <w:tcPr>
            <w:tcW w:type="dxa" w:w="1000"/>
            <w:tcBorders>
              <w:top w:val="single" w:color="BBBBBB" w:sz="1"/>
              <w:left w:val="single" w:color="BBBBBB" w:sz="1"/>
              <w:bottom w:val="single" w:color="BBBBBB" w:sz="1"/>
              <w:right w:val="single" w:color="BBBBBB" w:sz="1"/>
            </w:tcBorders>
            <w:shd w:fill="FFD7D7" w:val="clear"/>
            <w:tcMar>
              <w:top w:type="dxa" w:w="80"/>
              <w:left w:type="dxa" w:w="130"/>
              <w:bottom w:type="dxa" w:w="80"/>
              <w:right w:type="dxa" w:w="130"/>
            </w:tcMar>
          </w:tcPr>
          <w:p>
            <w:pPr>
              <w:jc w:val="center"/>
            </w:pPr>
            <w:r>
              <w:rPr>
                <w:rFonts w:ascii="Arial" w:cs="Arial" w:eastAsia="Arial" w:hAnsi="Arial"/>
                <w:b/>
                <w:bCs/>
                <w:color w:val="C00000"/>
                <w:sz w:val="20"/>
                <w:szCs w:val="20"/>
              </w:rPr>
              <w:t xml:space="preserve">P1</w:t>
            </w:r>
          </w:p>
        </w:tc>
        <w:tc>
          <w:tcPr>
            <w:tcW w:type="dxa" w:w="1200"/>
            <w:tcBorders>
              <w:top w:val="single" w:color="BBBBBB" w:sz="1"/>
              <w:left w:val="single" w:color="BBBBBB" w:sz="1"/>
              <w:bottom w:val="single" w:color="BBBBBB" w:sz="1"/>
              <w:right w:val="single" w:color="BBBBBB" w:sz="1"/>
            </w:tcBorders>
            <w:shd w:fill="FFD7D7" w:val="clear"/>
            <w:tcMar>
              <w:top w:type="dxa" w:w="80"/>
              <w:left w:type="dxa" w:w="130"/>
              <w:bottom w:type="dxa" w:w="80"/>
              <w:right w:type="dxa" w:w="130"/>
            </w:tcMar>
          </w:tcPr>
          <w:p>
            <w:pPr>
              <w:jc w:val="center"/>
            </w:pPr>
            <w:r>
              <w:rPr>
                <w:rFonts w:ascii="Arial" w:cs="Arial" w:eastAsia="Arial" w:hAnsi="Arial"/>
                <w:b/>
                <w:bCs/>
                <w:color w:val="C00000"/>
                <w:sz w:val="20"/>
                <w:szCs w:val="20"/>
              </w:rPr>
              <w:t xml:space="preserve">CRITICAL</w:t>
            </w:r>
          </w:p>
        </w:tc>
        <w:tc>
          <w:tcPr>
            <w:tcW w:type="dxa" w:w="34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pPr>
              <w:jc w:val="left"/>
            </w:pPr>
            <w:r>
              <w:rPr>
                <w:rFonts w:ascii="Arial" w:cs="Arial" w:eastAsia="Arial" w:hAnsi="Arial"/>
                <w:b w:val="false"/>
                <w:bCs w:val="false"/>
                <w:color w:val="404040"/>
                <w:sz w:val="20"/>
                <w:szCs w:val="20"/>
              </w:rPr>
              <w:t xml:space="preserve">Actual or highly probable harm to individuals; confirmed data breach; illegal content generated; regulatory breach with mandatory notification timeline.</w:t>
            </w:r>
          </w:p>
        </w:tc>
        <w:tc>
          <w:tcPr>
            <w:tcW w:type="dxa" w:w="23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pPr>
              <w:jc w:val="left"/>
            </w:pPr>
            <w:r>
              <w:rPr>
                <w:rFonts w:ascii="Arial" w:cs="Arial" w:eastAsia="Arial" w:hAnsi="Arial"/>
                <w:b w:val="false"/>
                <w:bCs w:val="false"/>
                <w:color w:val="404040"/>
                <w:sz w:val="20"/>
                <w:szCs w:val="20"/>
              </w:rPr>
              <w:t xml:space="preserve">Confirmed PII exfiltration from inference logs; genStudio generates CSAM or instructions for illegal acts; hate speech output published to live campaign.</w:t>
            </w:r>
          </w:p>
        </w:tc>
        <w:tc>
          <w:tcPr>
            <w:tcW w:type="dxa" w:w="1400"/>
            <w:tcBorders>
              <w:top w:val="single" w:color="BBBBBB" w:sz="1"/>
              <w:left w:val="single" w:color="BBBBBB" w:sz="1"/>
              <w:bottom w:val="single" w:color="BBBBBB" w:sz="1"/>
              <w:right w:val="single" w:color="BBBBBB" w:sz="1"/>
            </w:tcBorders>
            <w:shd w:fill="FFD7D7" w:val="clear"/>
            <w:tcMar>
              <w:top w:type="dxa" w:w="80"/>
              <w:left w:type="dxa" w:w="130"/>
              <w:bottom w:type="dxa" w:w="80"/>
              <w:right w:type="dxa" w:w="130"/>
            </w:tcMar>
          </w:tcPr>
          <w:p>
            <w:pPr>
              <w:jc w:val="center"/>
            </w:pPr>
            <w:r>
              <w:rPr>
                <w:rFonts w:ascii="Arial" w:cs="Arial" w:eastAsia="Arial" w:hAnsi="Arial"/>
                <w:b/>
                <w:bCs/>
                <w:color w:val="C00000"/>
                <w:sz w:val="20"/>
                <w:szCs w:val="20"/>
              </w:rPr>
              <w:t xml:space="preserve">1 hour</w:t>
            </w:r>
          </w:p>
        </w:tc>
      </w:tr>
      <w:tr>
        <w:tc>
          <w:tcPr>
            <w:tcW w:type="dxa" w:w="1000"/>
            <w:tcBorders>
              <w:top w:val="single" w:color="BBBBBB" w:sz="1"/>
              <w:left w:val="single" w:color="BBBBBB" w:sz="1"/>
              <w:bottom w:val="single" w:color="BBBBBB" w:sz="1"/>
              <w:right w:val="single" w:color="BBBBBB" w:sz="1"/>
            </w:tcBorders>
            <w:shd w:fill="FCE4D6" w:val="clear"/>
            <w:tcMar>
              <w:top w:type="dxa" w:w="80"/>
              <w:left w:type="dxa" w:w="130"/>
              <w:bottom w:type="dxa" w:w="80"/>
              <w:right w:type="dxa" w:w="130"/>
            </w:tcMar>
          </w:tcPr>
          <w:p>
            <w:pPr>
              <w:jc w:val="center"/>
            </w:pPr>
            <w:r>
              <w:rPr>
                <w:rFonts w:ascii="Arial" w:cs="Arial" w:eastAsia="Arial" w:hAnsi="Arial"/>
                <w:b/>
                <w:bCs/>
                <w:color w:val="843C0C"/>
                <w:sz w:val="20"/>
                <w:szCs w:val="20"/>
              </w:rPr>
              <w:t xml:space="preserve">P2</w:t>
            </w:r>
          </w:p>
        </w:tc>
        <w:tc>
          <w:tcPr>
            <w:tcW w:type="dxa" w:w="1200"/>
            <w:tcBorders>
              <w:top w:val="single" w:color="BBBBBB" w:sz="1"/>
              <w:left w:val="single" w:color="BBBBBB" w:sz="1"/>
              <w:bottom w:val="single" w:color="BBBBBB" w:sz="1"/>
              <w:right w:val="single" w:color="BBBBBB" w:sz="1"/>
            </w:tcBorders>
            <w:shd w:fill="FCE4D6" w:val="clear"/>
            <w:tcMar>
              <w:top w:type="dxa" w:w="80"/>
              <w:left w:type="dxa" w:w="130"/>
              <w:bottom w:type="dxa" w:w="80"/>
              <w:right w:type="dxa" w:w="130"/>
            </w:tcMar>
          </w:tcPr>
          <w:p>
            <w:pPr>
              <w:jc w:val="center"/>
            </w:pPr>
            <w:r>
              <w:rPr>
                <w:rFonts w:ascii="Arial" w:cs="Arial" w:eastAsia="Arial" w:hAnsi="Arial"/>
                <w:b/>
                <w:bCs/>
                <w:color w:val="843C0C"/>
                <w:sz w:val="20"/>
                <w:szCs w:val="20"/>
              </w:rPr>
              <w:t xml:space="preserve">HIGH</w:t>
            </w:r>
          </w:p>
        </w:tc>
        <w:tc>
          <w:tcPr>
            <w:tcW w:type="dxa" w:w="3400"/>
            <w:tcBorders>
              <w:top w:val="single" w:color="BBBBBB" w:sz="1"/>
              <w:left w:val="single" w:color="BBBBBB" w:sz="1"/>
              <w:bottom w:val="single" w:color="BBBBBB" w:sz="1"/>
              <w:right w:val="single" w:color="BBBBBB" w:sz="1"/>
            </w:tcBorders>
            <w:shd w:fill="EEF4FB" w:val="clear"/>
            <w:tcMar>
              <w:top w:type="dxa" w:w="80"/>
              <w:left w:type="dxa" w:w="130"/>
              <w:bottom w:type="dxa" w:w="80"/>
              <w:right w:type="dxa" w:w="130"/>
            </w:tcMar>
          </w:tcPr>
          <w:p>
            <w:pPr>
              <w:jc w:val="left"/>
            </w:pPr>
            <w:r>
              <w:rPr>
                <w:rFonts w:ascii="Arial" w:cs="Arial" w:eastAsia="Arial" w:hAnsi="Arial"/>
                <w:b w:val="false"/>
                <w:bCs w:val="false"/>
                <w:color w:val="404040"/>
                <w:sz w:val="20"/>
                <w:szCs w:val="20"/>
              </w:rPr>
              <w:t xml:space="preserve">Significant bias detected in production outputs; harmful content generated but contained before publication; systematic performance failure affecting multiple customers.</w:t>
            </w:r>
          </w:p>
        </w:tc>
        <w:tc>
          <w:tcPr>
            <w:tcW w:type="dxa" w:w="2360"/>
            <w:tcBorders>
              <w:top w:val="single" w:color="BBBBBB" w:sz="1"/>
              <w:left w:val="single" w:color="BBBBBB" w:sz="1"/>
              <w:bottom w:val="single" w:color="BBBBBB" w:sz="1"/>
              <w:right w:val="single" w:color="BBBBBB" w:sz="1"/>
            </w:tcBorders>
            <w:shd w:fill="EEF4FB" w:val="clear"/>
            <w:tcMar>
              <w:top w:type="dxa" w:w="80"/>
              <w:left w:type="dxa" w:w="130"/>
              <w:bottom w:type="dxa" w:w="80"/>
              <w:right w:type="dxa" w:w="130"/>
            </w:tcMar>
          </w:tcPr>
          <w:p>
            <w:pPr>
              <w:jc w:val="left"/>
            </w:pPr>
            <w:r>
              <w:rPr>
                <w:rFonts w:ascii="Arial" w:cs="Arial" w:eastAsia="Arial" w:hAnsi="Arial"/>
                <w:b w:val="false"/>
                <w:bCs w:val="false"/>
                <w:color w:val="404040"/>
                <w:sz w:val="20"/>
                <w:szCs w:val="20"/>
              </w:rPr>
              <w:t xml:space="preserve">Demographic bias threshold exceeded in production model; prompt injection attack partially bypassed filters; copyright-infringing content generated at scale.</w:t>
            </w:r>
          </w:p>
        </w:tc>
        <w:tc>
          <w:tcPr>
            <w:tcW w:type="dxa" w:w="1400"/>
            <w:tcBorders>
              <w:top w:val="single" w:color="BBBBBB" w:sz="1"/>
              <w:left w:val="single" w:color="BBBBBB" w:sz="1"/>
              <w:bottom w:val="single" w:color="BBBBBB" w:sz="1"/>
              <w:right w:val="single" w:color="BBBBBB" w:sz="1"/>
            </w:tcBorders>
            <w:shd w:fill="FCE4D6" w:val="clear"/>
            <w:tcMar>
              <w:top w:type="dxa" w:w="80"/>
              <w:left w:type="dxa" w:w="130"/>
              <w:bottom w:type="dxa" w:w="80"/>
              <w:right w:type="dxa" w:w="130"/>
            </w:tcMar>
          </w:tcPr>
          <w:p>
            <w:pPr>
              <w:jc w:val="center"/>
            </w:pPr>
            <w:r>
              <w:rPr>
                <w:rFonts w:ascii="Arial" w:cs="Arial" w:eastAsia="Arial" w:hAnsi="Arial"/>
                <w:b/>
                <w:bCs/>
                <w:color w:val="843C0C"/>
                <w:sz w:val="20"/>
                <w:szCs w:val="20"/>
              </w:rPr>
              <w:t xml:space="preserve">4 hours</w:t>
            </w:r>
          </w:p>
        </w:tc>
      </w:tr>
      <w:tr>
        <w:tc>
          <w:tcPr>
            <w:tcW w:type="dxa" w:w="1000"/>
            <w:tcBorders>
              <w:top w:val="single" w:color="BBBBBB" w:sz="1"/>
              <w:left w:val="single" w:color="BBBBBB" w:sz="1"/>
              <w:bottom w:val="single" w:color="BBBBBB" w:sz="1"/>
              <w:right w:val="single" w:color="BBBBBB" w:sz="1"/>
            </w:tcBorders>
            <w:shd w:fill="FFF2CC" w:val="clear"/>
            <w:tcMar>
              <w:top w:type="dxa" w:w="80"/>
              <w:left w:type="dxa" w:w="130"/>
              <w:bottom w:type="dxa" w:w="80"/>
              <w:right w:type="dxa" w:w="130"/>
            </w:tcMar>
          </w:tcPr>
          <w:p>
            <w:pPr>
              <w:jc w:val="center"/>
            </w:pPr>
            <w:r>
              <w:rPr>
                <w:rFonts w:ascii="Arial" w:cs="Arial" w:eastAsia="Arial" w:hAnsi="Arial"/>
                <w:b/>
                <w:bCs/>
                <w:color w:val="7F4F00"/>
                <w:sz w:val="20"/>
                <w:szCs w:val="20"/>
              </w:rPr>
              <w:t xml:space="preserve">P3</w:t>
            </w:r>
          </w:p>
        </w:tc>
        <w:tc>
          <w:tcPr>
            <w:tcW w:type="dxa" w:w="1200"/>
            <w:tcBorders>
              <w:top w:val="single" w:color="BBBBBB" w:sz="1"/>
              <w:left w:val="single" w:color="BBBBBB" w:sz="1"/>
              <w:bottom w:val="single" w:color="BBBBBB" w:sz="1"/>
              <w:right w:val="single" w:color="BBBBBB" w:sz="1"/>
            </w:tcBorders>
            <w:shd w:fill="FFF2CC" w:val="clear"/>
            <w:tcMar>
              <w:top w:type="dxa" w:w="80"/>
              <w:left w:type="dxa" w:w="130"/>
              <w:bottom w:type="dxa" w:w="80"/>
              <w:right w:type="dxa" w:w="130"/>
            </w:tcMar>
          </w:tcPr>
          <w:p>
            <w:pPr>
              <w:jc w:val="center"/>
            </w:pPr>
            <w:r>
              <w:rPr>
                <w:rFonts w:ascii="Arial" w:cs="Arial" w:eastAsia="Arial" w:hAnsi="Arial"/>
                <w:b/>
                <w:bCs/>
                <w:color w:val="7F4F00"/>
                <w:sz w:val="20"/>
                <w:szCs w:val="20"/>
              </w:rPr>
              <w:t xml:space="preserve">MEDIUM</w:t>
            </w:r>
          </w:p>
        </w:tc>
        <w:tc>
          <w:tcPr>
            <w:tcW w:type="dxa" w:w="34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pPr>
              <w:jc w:val="left"/>
            </w:pPr>
            <w:r>
              <w:rPr>
                <w:rFonts w:ascii="Arial" w:cs="Arial" w:eastAsia="Arial" w:hAnsi="Arial"/>
                <w:b w:val="false"/>
                <w:bCs w:val="false"/>
                <w:color w:val="404040"/>
                <w:sz w:val="20"/>
                <w:szCs w:val="20"/>
              </w:rPr>
              <w:t xml:space="preserve">Degraded model performance beyond SLA threshold; isolated harmful content; minor data handling violation; failed red-team finding not previously identified.</w:t>
            </w:r>
          </w:p>
        </w:tc>
        <w:tc>
          <w:tcPr>
            <w:tcW w:type="dxa" w:w="23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pPr>
              <w:jc w:val="left"/>
            </w:pPr>
            <w:r>
              <w:rPr>
                <w:rFonts w:ascii="Arial" w:cs="Arial" w:eastAsia="Arial" w:hAnsi="Arial"/>
                <w:b w:val="false"/>
                <w:bCs w:val="false"/>
                <w:color w:val="404040"/>
                <w:sz w:val="20"/>
                <w:szCs w:val="20"/>
              </w:rPr>
              <w:t xml:space="preserve">Model drift causing &gt;10% quality degradation; single instance of stereotype-amplifying output; content safety filter false positive rate spikes.</w:t>
            </w:r>
          </w:p>
        </w:tc>
        <w:tc>
          <w:tcPr>
            <w:tcW w:type="dxa" w:w="1400"/>
            <w:tcBorders>
              <w:top w:val="single" w:color="BBBBBB" w:sz="1"/>
              <w:left w:val="single" w:color="BBBBBB" w:sz="1"/>
              <w:bottom w:val="single" w:color="BBBBBB" w:sz="1"/>
              <w:right w:val="single" w:color="BBBBBB" w:sz="1"/>
            </w:tcBorders>
            <w:shd w:fill="FFF2CC" w:val="clear"/>
            <w:tcMar>
              <w:top w:type="dxa" w:w="80"/>
              <w:left w:type="dxa" w:w="130"/>
              <w:bottom w:type="dxa" w:w="80"/>
              <w:right w:type="dxa" w:w="130"/>
            </w:tcMar>
          </w:tcPr>
          <w:p>
            <w:pPr>
              <w:jc w:val="center"/>
            </w:pPr>
            <w:r>
              <w:rPr>
                <w:rFonts w:ascii="Arial" w:cs="Arial" w:eastAsia="Arial" w:hAnsi="Arial"/>
                <w:b/>
                <w:bCs/>
                <w:color w:val="7F4F00"/>
                <w:sz w:val="20"/>
                <w:szCs w:val="20"/>
              </w:rPr>
              <w:t xml:space="preserve">24 hours</w:t>
            </w:r>
          </w:p>
        </w:tc>
      </w:tr>
      <w:tr>
        <w:tc>
          <w:tcPr>
            <w:tcW w:type="dxa" w:w="1000"/>
            <w:tcBorders>
              <w:top w:val="single" w:color="BBBBBB" w:sz="1"/>
              <w:left w:val="single" w:color="BBBBBB" w:sz="1"/>
              <w:bottom w:val="single" w:color="BBBBBB" w:sz="1"/>
              <w:right w:val="single" w:color="BBBBBB" w:sz="1"/>
            </w:tcBorders>
            <w:shd w:fill="E2EFDA" w:val="clear"/>
            <w:tcMar>
              <w:top w:type="dxa" w:w="80"/>
              <w:left w:type="dxa" w:w="130"/>
              <w:bottom w:type="dxa" w:w="80"/>
              <w:right w:type="dxa" w:w="130"/>
            </w:tcMar>
          </w:tcPr>
          <w:p>
            <w:pPr>
              <w:jc w:val="center"/>
            </w:pPr>
            <w:r>
              <w:rPr>
                <w:rFonts w:ascii="Arial" w:cs="Arial" w:eastAsia="Arial" w:hAnsi="Arial"/>
                <w:b/>
                <w:bCs/>
                <w:color w:val="375623"/>
                <w:sz w:val="20"/>
                <w:szCs w:val="20"/>
              </w:rPr>
              <w:t xml:space="preserve">P4</w:t>
            </w:r>
          </w:p>
        </w:tc>
        <w:tc>
          <w:tcPr>
            <w:tcW w:type="dxa" w:w="1200"/>
            <w:tcBorders>
              <w:top w:val="single" w:color="BBBBBB" w:sz="1"/>
              <w:left w:val="single" w:color="BBBBBB" w:sz="1"/>
              <w:bottom w:val="single" w:color="BBBBBB" w:sz="1"/>
              <w:right w:val="single" w:color="BBBBBB" w:sz="1"/>
            </w:tcBorders>
            <w:shd w:fill="E2EFDA" w:val="clear"/>
            <w:tcMar>
              <w:top w:type="dxa" w:w="80"/>
              <w:left w:type="dxa" w:w="130"/>
              <w:bottom w:type="dxa" w:w="80"/>
              <w:right w:type="dxa" w:w="130"/>
            </w:tcMar>
          </w:tcPr>
          <w:p>
            <w:pPr>
              <w:jc w:val="center"/>
            </w:pPr>
            <w:r>
              <w:rPr>
                <w:rFonts w:ascii="Arial" w:cs="Arial" w:eastAsia="Arial" w:hAnsi="Arial"/>
                <w:b/>
                <w:bCs/>
                <w:color w:val="375623"/>
                <w:sz w:val="20"/>
                <w:szCs w:val="20"/>
              </w:rPr>
              <w:t xml:space="preserve">LOW</w:t>
            </w:r>
          </w:p>
        </w:tc>
        <w:tc>
          <w:tcPr>
            <w:tcW w:type="dxa" w:w="3400"/>
            <w:tcBorders>
              <w:top w:val="single" w:color="BBBBBB" w:sz="1"/>
              <w:left w:val="single" w:color="BBBBBB" w:sz="1"/>
              <w:bottom w:val="single" w:color="BBBBBB" w:sz="1"/>
              <w:right w:val="single" w:color="BBBBBB" w:sz="1"/>
            </w:tcBorders>
            <w:shd w:fill="EEF4FB" w:val="clear"/>
            <w:tcMar>
              <w:top w:type="dxa" w:w="80"/>
              <w:left w:type="dxa" w:w="130"/>
              <w:bottom w:type="dxa" w:w="80"/>
              <w:right w:type="dxa" w:w="130"/>
            </w:tcMar>
          </w:tcPr>
          <w:p>
            <w:pPr>
              <w:jc w:val="left"/>
            </w:pPr>
            <w:r>
              <w:rPr>
                <w:rFonts w:ascii="Arial" w:cs="Arial" w:eastAsia="Arial" w:hAnsi="Arial"/>
                <w:b w:val="false"/>
                <w:bCs w:val="false"/>
                <w:color w:val="404040"/>
                <w:sz w:val="20"/>
                <w:szCs w:val="20"/>
              </w:rPr>
              <w:t xml:space="preserve">Isolated quality issue; user complaint about output relevance; near-miss with no harm; minor policy clarification required.</w:t>
            </w:r>
          </w:p>
        </w:tc>
        <w:tc>
          <w:tcPr>
            <w:tcW w:type="dxa" w:w="2360"/>
            <w:tcBorders>
              <w:top w:val="single" w:color="BBBBBB" w:sz="1"/>
              <w:left w:val="single" w:color="BBBBBB" w:sz="1"/>
              <w:bottom w:val="single" w:color="BBBBBB" w:sz="1"/>
              <w:right w:val="single" w:color="BBBBBB" w:sz="1"/>
            </w:tcBorders>
            <w:shd w:fill="EEF4FB" w:val="clear"/>
            <w:tcMar>
              <w:top w:type="dxa" w:w="80"/>
              <w:left w:type="dxa" w:w="130"/>
              <w:bottom w:type="dxa" w:w="80"/>
              <w:right w:type="dxa" w:w="130"/>
            </w:tcMar>
          </w:tcPr>
          <w:p>
            <w:pPr>
              <w:jc w:val="left"/>
            </w:pPr>
            <w:r>
              <w:rPr>
                <w:rFonts w:ascii="Arial" w:cs="Arial" w:eastAsia="Arial" w:hAnsi="Arial"/>
                <w:b w:val="false"/>
                <w:bCs w:val="false"/>
                <w:color w:val="404040"/>
                <w:sz w:val="20"/>
                <w:szCs w:val="20"/>
              </w:rPr>
              <w:t xml:space="preserve">Single user reports irrelevant ad copy; prompt structure producing unexpectedly short outputs; minor system prompt inconsistency detected.</w:t>
            </w:r>
          </w:p>
        </w:tc>
        <w:tc>
          <w:tcPr>
            <w:tcW w:type="dxa" w:w="1400"/>
            <w:tcBorders>
              <w:top w:val="single" w:color="BBBBBB" w:sz="1"/>
              <w:left w:val="single" w:color="BBBBBB" w:sz="1"/>
              <w:bottom w:val="single" w:color="BBBBBB" w:sz="1"/>
              <w:right w:val="single" w:color="BBBBBB" w:sz="1"/>
            </w:tcBorders>
            <w:shd w:fill="E2EFDA" w:val="clear"/>
            <w:tcMar>
              <w:top w:type="dxa" w:w="80"/>
              <w:left w:type="dxa" w:w="130"/>
              <w:bottom w:type="dxa" w:w="80"/>
              <w:right w:type="dxa" w:w="130"/>
            </w:tcMar>
          </w:tcPr>
          <w:p>
            <w:pPr>
              <w:jc w:val="center"/>
            </w:pPr>
            <w:r>
              <w:rPr>
                <w:rFonts w:ascii="Arial" w:cs="Arial" w:eastAsia="Arial" w:hAnsi="Arial"/>
                <w:b/>
                <w:bCs/>
                <w:color w:val="375623"/>
                <w:sz w:val="20"/>
                <w:szCs w:val="20"/>
              </w:rPr>
              <w:t xml:space="preserve">72 hours</w:t>
            </w:r>
          </w:p>
        </w:tc>
      </w:tr>
    </w:tbl>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thick" w:color="2E75B6" w:sz="14"/>
              <w:bottom w:val="single" w:color="2E75B6" w:sz="2"/>
              <w:right w:val="single" w:color="2E75B6" w:sz="1"/>
            </w:tcBorders>
            <w:shd w:fill="D6E4F0" w:val="clear"/>
            <w:tcMar>
              <w:top w:type="dxa" w:w="120"/>
              <w:left w:type="dxa" w:w="220"/>
              <w:bottom w:type="dxa" w:w="120"/>
              <w:right w:type="dxa" w:w="160"/>
            </w:tcMar>
          </w:tcPr>
          <w:p>
            <w:pPr>
              <w:spacing w:after="60"/>
            </w:pPr>
            <w:r>
              <w:rPr>
                <w:rFonts w:ascii="Arial" w:cs="Arial" w:eastAsia="Arial" w:hAnsi="Arial"/>
                <w:b/>
                <w:bCs/>
                <w:color w:val="2E75B6"/>
                <w:sz w:val="20"/>
                <w:szCs w:val="20"/>
              </w:rPr>
              <w:t xml:space="preserve">SEVERITY ESCALATION</w:t>
            </w:r>
          </w:p>
          <w:p>
            <w:r>
              <w:rPr>
                <w:rFonts w:ascii="Arial" w:cs="Arial" w:eastAsia="Arial" w:hAnsi="Arial"/>
                <w:color w:val="404040"/>
                <w:sz w:val="20"/>
                <w:szCs w:val="20"/>
              </w:rPr>
              <w:t xml:space="preserve">Any incident may be escalated to a higher severity tier at any time by the Incident Commander, Model Owner, or any member of the AIGC if new information suggests greater impact than initially assessed. Downgrade from P1 or P2 requires written agreement from both the AI Governance Lead and the CPO.</w:t>
            </w:r>
          </w:p>
        </w:tc>
      </w:tr>
    </w:tbl>
    <w:p>
      <w:r>
        <w:br w:type="page"/>
      </w:r>
    </w:p>
    <w:p>
      <w:pPr>
        <w:pStyle w:val="Heading1"/>
        <w:spacing w:before="320" w:after="200"/>
      </w:pPr>
      <w:r>
        <w:rPr>
          <w:rFonts w:ascii="Arial" w:cs="Arial" w:eastAsia="Arial" w:hAnsi="Arial"/>
          <w:b/>
          <w:bCs/>
          <w:color w:val="1F3864"/>
          <w:sz w:val="32"/>
          <w:szCs w:val="32"/>
        </w:rPr>
        <w:t xml:space="preserve">3.  Incident Response Roles and Responsibilities</w:t>
      </w:r>
    </w:p>
    <w:p>
      <w:pPr>
        <w:pBdr>
          <w:bottom w:val="single" w:color="2E75B6" w:sz="6" w:space="1"/>
        </w:pBd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c>
          <w:tcPr>
            <w:tcW w:type="dxa" w:w="2200"/>
            <w:tcBorders>
              <w:top w:val="single" w:color="2E75B6" w:sz="1"/>
              <w:left w:val="single" w:color="2E75B6" w:sz="1"/>
              <w:bottom w:val="single" w:color="2E75B6" w:sz="1"/>
              <w:right w:val="single" w:color="2E75B6" w:sz="1"/>
            </w:tcBorders>
            <w:shd w:fill="1F3864" w:val="clear"/>
            <w:tcMar>
              <w:top w:type="dxa" w:w="100"/>
              <w:left w:type="dxa" w:w="130"/>
              <w:bottom w:type="dxa" w:w="100"/>
              <w:right w:type="dxa" w:w="130"/>
            </w:tcMar>
            <w:vAlign w:val="center"/>
          </w:tcPr>
          <w:p>
            <w:pPr>
              <w:jc w:val="center"/>
            </w:pPr>
            <w:r>
              <w:rPr>
                <w:rFonts w:ascii="Arial" w:cs="Arial" w:eastAsia="Arial" w:hAnsi="Arial"/>
                <w:b/>
                <w:bCs/>
                <w:color w:val="FFFFFF"/>
                <w:sz w:val="20"/>
                <w:szCs w:val="20"/>
              </w:rPr>
              <w:t xml:space="preserve">Role</w:t>
            </w:r>
          </w:p>
        </w:tc>
        <w:tc>
          <w:tcPr>
            <w:tcW w:type="dxa" w:w="2400"/>
            <w:tcBorders>
              <w:top w:val="single" w:color="2E75B6" w:sz="1"/>
              <w:left w:val="single" w:color="2E75B6" w:sz="1"/>
              <w:bottom w:val="single" w:color="2E75B6" w:sz="1"/>
              <w:right w:val="single" w:color="2E75B6" w:sz="1"/>
            </w:tcBorders>
            <w:shd w:fill="1F3864" w:val="clear"/>
            <w:tcMar>
              <w:top w:type="dxa" w:w="100"/>
              <w:left w:type="dxa" w:w="130"/>
              <w:bottom w:type="dxa" w:w="100"/>
              <w:right w:type="dxa" w:w="130"/>
            </w:tcMar>
            <w:vAlign w:val="center"/>
          </w:tcPr>
          <w:p>
            <w:pPr>
              <w:jc w:val="center"/>
            </w:pPr>
            <w:r>
              <w:rPr>
                <w:rFonts w:ascii="Arial" w:cs="Arial" w:eastAsia="Arial" w:hAnsi="Arial"/>
                <w:b/>
                <w:bCs/>
                <w:color w:val="FFFFFF"/>
                <w:sz w:val="20"/>
                <w:szCs w:val="20"/>
              </w:rPr>
              <w:t xml:space="preserve">Typically Held By</w:t>
            </w:r>
          </w:p>
        </w:tc>
        <w:tc>
          <w:tcPr>
            <w:tcW w:type="dxa" w:w="4760"/>
            <w:tcBorders>
              <w:top w:val="single" w:color="2E75B6" w:sz="1"/>
              <w:left w:val="single" w:color="2E75B6" w:sz="1"/>
              <w:bottom w:val="single" w:color="2E75B6" w:sz="1"/>
              <w:right w:val="single" w:color="2E75B6" w:sz="1"/>
            </w:tcBorders>
            <w:shd w:fill="1F3864" w:val="clear"/>
            <w:tcMar>
              <w:top w:type="dxa" w:w="100"/>
              <w:left w:type="dxa" w:w="130"/>
              <w:bottom w:type="dxa" w:w="100"/>
              <w:right w:type="dxa" w:w="130"/>
            </w:tcMar>
            <w:vAlign w:val="center"/>
          </w:tcPr>
          <w:p>
            <w:pPr>
              <w:jc w:val="center"/>
            </w:pPr>
            <w:r>
              <w:rPr>
                <w:rFonts w:ascii="Arial" w:cs="Arial" w:eastAsia="Arial" w:hAnsi="Arial"/>
                <w:b/>
                <w:bCs/>
                <w:color w:val="FFFFFF"/>
                <w:sz w:val="20"/>
                <w:szCs w:val="20"/>
              </w:rPr>
              <w:t xml:space="preserve">Responsibilities During Incident</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pPr>
              <w:jc w:val="left"/>
            </w:pPr>
            <w:r>
              <w:rPr>
                <w:rFonts w:ascii="Arial" w:cs="Arial" w:eastAsia="Arial" w:hAnsi="Arial"/>
                <w:b/>
                <w:bCs/>
                <w:color w:val="404040"/>
                <w:sz w:val="20"/>
                <w:szCs w:val="20"/>
              </w:rPr>
              <w:t xml:space="preserve">Incident Commander (IC)</w:t>
            </w:r>
          </w:p>
        </w:tc>
        <w:tc>
          <w:tcPr>
            <w:tcW w:type="dxa" w:w="24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pPr>
              <w:jc w:val="left"/>
            </w:pPr>
            <w:r>
              <w:rPr>
                <w:rFonts w:ascii="Arial" w:cs="Arial" w:eastAsia="Arial" w:hAnsi="Arial"/>
                <w:b w:val="false"/>
                <w:bCs w:val="false"/>
                <w:color w:val="404040"/>
                <w:sz w:val="20"/>
                <w:szCs w:val="20"/>
              </w:rPr>
              <w:t xml:space="preserve">AI Governance Lead (Mihir Trivedi); escalates to CPO for P1</w:t>
            </w:r>
          </w:p>
        </w:tc>
        <w:tc>
          <w:tcPr>
            <w:tcW w:type="dxa" w:w="47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pPr>
              <w:jc w:val="left"/>
            </w:pPr>
            <w:r>
              <w:rPr>
                <w:rFonts w:ascii="Arial" w:cs="Arial" w:eastAsia="Arial" w:hAnsi="Arial"/>
                <w:b w:val="false"/>
                <w:bCs w:val="false"/>
                <w:color w:val="404040"/>
                <w:sz w:val="20"/>
                <w:szCs w:val="20"/>
              </w:rPr>
              <w:t xml:space="preserve">Declares and classifies the incident; activates the response team; coordinates all workstreams; owns communications; makes containment and remediation decisions; issues post-incident reports.</w:t>
            </w:r>
          </w:p>
        </w:tc>
      </w:tr>
      <w:tr>
        <w:tc>
          <w:tcPr>
            <w:tcW w:type="dxa" w:w="2200"/>
            <w:tcBorders>
              <w:top w:val="single" w:color="BBBBBB" w:sz="1"/>
              <w:left w:val="single" w:color="BBBBBB" w:sz="1"/>
              <w:bottom w:val="single" w:color="BBBBBB" w:sz="1"/>
              <w:right w:val="single" w:color="BBBBBB" w:sz="1"/>
            </w:tcBorders>
            <w:shd w:fill="EEF4FB" w:val="clear"/>
            <w:tcMar>
              <w:top w:type="dxa" w:w="80"/>
              <w:left w:type="dxa" w:w="130"/>
              <w:bottom w:type="dxa" w:w="80"/>
              <w:right w:type="dxa" w:w="130"/>
            </w:tcMar>
          </w:tcPr>
          <w:p>
            <w:pPr>
              <w:jc w:val="left"/>
            </w:pPr>
            <w:r>
              <w:rPr>
                <w:rFonts w:ascii="Arial" w:cs="Arial" w:eastAsia="Arial" w:hAnsi="Arial"/>
                <w:b/>
                <w:bCs/>
                <w:color w:val="404040"/>
                <w:sz w:val="20"/>
                <w:szCs w:val="20"/>
              </w:rPr>
              <w:t xml:space="preserve">Technical Lead</w:t>
            </w:r>
          </w:p>
        </w:tc>
        <w:tc>
          <w:tcPr>
            <w:tcW w:type="dxa" w:w="2400"/>
            <w:tcBorders>
              <w:top w:val="single" w:color="BBBBBB" w:sz="1"/>
              <w:left w:val="single" w:color="BBBBBB" w:sz="1"/>
              <w:bottom w:val="single" w:color="BBBBBB" w:sz="1"/>
              <w:right w:val="single" w:color="BBBBBB" w:sz="1"/>
            </w:tcBorders>
            <w:shd w:fill="EEF4FB" w:val="clear"/>
            <w:tcMar>
              <w:top w:type="dxa" w:w="80"/>
              <w:left w:type="dxa" w:w="130"/>
              <w:bottom w:type="dxa" w:w="80"/>
              <w:right w:type="dxa" w:w="130"/>
            </w:tcMar>
          </w:tcPr>
          <w:p>
            <w:pPr>
              <w:jc w:val="left"/>
            </w:pPr>
            <w:r>
              <w:rPr>
                <w:rFonts w:ascii="Arial" w:cs="Arial" w:eastAsia="Arial" w:hAnsi="Arial"/>
                <w:b w:val="false"/>
                <w:bCs w:val="false"/>
                <w:color w:val="404040"/>
                <w:sz w:val="20"/>
                <w:szCs w:val="20"/>
              </w:rPr>
              <w:t xml:space="preserve">Model Owner (Senior ML Engineer)</w:t>
            </w:r>
          </w:p>
        </w:tc>
        <w:tc>
          <w:tcPr>
            <w:tcW w:type="dxa" w:w="4760"/>
            <w:tcBorders>
              <w:top w:val="single" w:color="BBBBBB" w:sz="1"/>
              <w:left w:val="single" w:color="BBBBBB" w:sz="1"/>
              <w:bottom w:val="single" w:color="BBBBBB" w:sz="1"/>
              <w:right w:val="single" w:color="BBBBBB" w:sz="1"/>
            </w:tcBorders>
            <w:shd w:fill="EEF4FB" w:val="clear"/>
            <w:tcMar>
              <w:top w:type="dxa" w:w="80"/>
              <w:left w:type="dxa" w:w="130"/>
              <w:bottom w:type="dxa" w:w="80"/>
              <w:right w:type="dxa" w:w="130"/>
            </w:tcMar>
          </w:tcPr>
          <w:p>
            <w:pPr>
              <w:jc w:val="left"/>
            </w:pPr>
            <w:r>
              <w:rPr>
                <w:rFonts w:ascii="Arial" w:cs="Arial" w:eastAsia="Arial" w:hAnsi="Arial"/>
                <w:b w:val="false"/>
                <w:bCs w:val="false"/>
                <w:color w:val="404040"/>
                <w:sz w:val="20"/>
                <w:szCs w:val="20"/>
              </w:rPr>
              <w:t xml:space="preserve">Leads technical investigation and root cause analysis; executes model containment actions (rollback, suspension, filter updates); validates remediation effectiveness.</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pPr>
              <w:jc w:val="left"/>
            </w:pPr>
            <w:r>
              <w:rPr>
                <w:rFonts w:ascii="Arial" w:cs="Arial" w:eastAsia="Arial" w:hAnsi="Arial"/>
                <w:b/>
                <w:bCs/>
                <w:color w:val="404040"/>
                <w:sz w:val="20"/>
                <w:szCs w:val="20"/>
              </w:rPr>
              <w:t xml:space="preserve">Security Lead</w:t>
            </w:r>
          </w:p>
        </w:tc>
        <w:tc>
          <w:tcPr>
            <w:tcW w:type="dxa" w:w="24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pPr>
              <w:jc w:val="left"/>
            </w:pPr>
            <w:r>
              <w:rPr>
                <w:rFonts w:ascii="Arial" w:cs="Arial" w:eastAsia="Arial" w:hAnsi="Arial"/>
                <w:b w:val="false"/>
                <w:bCs w:val="false"/>
                <w:color w:val="404040"/>
                <w:sz w:val="20"/>
                <w:szCs w:val="20"/>
              </w:rPr>
              <w:t xml:space="preserve">Security Engineer (CTO org)</w:t>
            </w:r>
          </w:p>
        </w:tc>
        <w:tc>
          <w:tcPr>
            <w:tcW w:type="dxa" w:w="47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pPr>
              <w:jc w:val="left"/>
            </w:pPr>
            <w:r>
              <w:rPr>
                <w:rFonts w:ascii="Arial" w:cs="Arial" w:eastAsia="Arial" w:hAnsi="Arial"/>
                <w:b w:val="false"/>
                <w:bCs w:val="false"/>
                <w:color w:val="404040"/>
                <w:sz w:val="20"/>
                <w:szCs w:val="20"/>
              </w:rPr>
              <w:t xml:space="preserve">Manages security-related aspects: infrastructure forensics, AWS log analysis, access revocation, data breach assessment; liaises with AWS support if required.</w:t>
            </w:r>
          </w:p>
        </w:tc>
      </w:tr>
      <w:tr>
        <w:tc>
          <w:tcPr>
            <w:tcW w:type="dxa" w:w="2200"/>
            <w:tcBorders>
              <w:top w:val="single" w:color="BBBBBB" w:sz="1"/>
              <w:left w:val="single" w:color="BBBBBB" w:sz="1"/>
              <w:bottom w:val="single" w:color="BBBBBB" w:sz="1"/>
              <w:right w:val="single" w:color="BBBBBB" w:sz="1"/>
            </w:tcBorders>
            <w:shd w:fill="EEF4FB" w:val="clear"/>
            <w:tcMar>
              <w:top w:type="dxa" w:w="80"/>
              <w:left w:type="dxa" w:w="130"/>
              <w:bottom w:type="dxa" w:w="80"/>
              <w:right w:type="dxa" w:w="130"/>
            </w:tcMar>
          </w:tcPr>
          <w:p>
            <w:pPr>
              <w:jc w:val="left"/>
            </w:pPr>
            <w:r>
              <w:rPr>
                <w:rFonts w:ascii="Arial" w:cs="Arial" w:eastAsia="Arial" w:hAnsi="Arial"/>
                <w:b/>
                <w:bCs/>
                <w:color w:val="404040"/>
                <w:sz w:val="20"/>
                <w:szCs w:val="20"/>
              </w:rPr>
              <w:t xml:space="preserve">Data Privacy Lead</w:t>
            </w:r>
          </w:p>
        </w:tc>
        <w:tc>
          <w:tcPr>
            <w:tcW w:type="dxa" w:w="2400"/>
            <w:tcBorders>
              <w:top w:val="single" w:color="BBBBBB" w:sz="1"/>
              <w:left w:val="single" w:color="BBBBBB" w:sz="1"/>
              <w:bottom w:val="single" w:color="BBBBBB" w:sz="1"/>
              <w:right w:val="single" w:color="BBBBBB" w:sz="1"/>
            </w:tcBorders>
            <w:shd w:fill="EEF4FB" w:val="clear"/>
            <w:tcMar>
              <w:top w:type="dxa" w:w="80"/>
              <w:left w:type="dxa" w:w="130"/>
              <w:bottom w:type="dxa" w:w="80"/>
              <w:right w:type="dxa" w:w="130"/>
            </w:tcMar>
          </w:tcPr>
          <w:p>
            <w:pPr>
              <w:jc w:val="left"/>
            </w:pPr>
            <w:r>
              <w:rPr>
                <w:rFonts w:ascii="Arial" w:cs="Arial" w:eastAsia="Arial" w:hAnsi="Arial"/>
                <w:b w:val="false"/>
                <w:bCs w:val="false"/>
                <w:color w:val="404040"/>
                <w:sz w:val="20"/>
                <w:szCs w:val="20"/>
              </w:rPr>
              <w:t xml:space="preserve">Data Steward / CDO delegate</w:t>
            </w:r>
          </w:p>
        </w:tc>
        <w:tc>
          <w:tcPr>
            <w:tcW w:type="dxa" w:w="4760"/>
            <w:tcBorders>
              <w:top w:val="single" w:color="BBBBBB" w:sz="1"/>
              <w:left w:val="single" w:color="BBBBBB" w:sz="1"/>
              <w:bottom w:val="single" w:color="BBBBBB" w:sz="1"/>
              <w:right w:val="single" w:color="BBBBBB" w:sz="1"/>
            </w:tcBorders>
            <w:shd w:fill="EEF4FB" w:val="clear"/>
            <w:tcMar>
              <w:top w:type="dxa" w:w="80"/>
              <w:left w:type="dxa" w:w="130"/>
              <w:bottom w:type="dxa" w:w="80"/>
              <w:right w:type="dxa" w:w="130"/>
            </w:tcMar>
          </w:tcPr>
          <w:p>
            <w:pPr>
              <w:jc w:val="left"/>
            </w:pPr>
            <w:r>
              <w:rPr>
                <w:rFonts w:ascii="Arial" w:cs="Arial" w:eastAsia="Arial" w:hAnsi="Arial"/>
                <w:b w:val="false"/>
                <w:bCs w:val="false"/>
                <w:color w:val="404040"/>
                <w:sz w:val="20"/>
                <w:szCs w:val="20"/>
              </w:rPr>
              <w:t xml:space="preserve">Assesses personal data impact; determines GDPR notification obligations; liaises with ICO if required; manages data subject rights queries arising from the incident.</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pPr>
              <w:jc w:val="left"/>
            </w:pPr>
            <w:r>
              <w:rPr>
                <w:rFonts w:ascii="Arial" w:cs="Arial" w:eastAsia="Arial" w:hAnsi="Arial"/>
                <w:b/>
                <w:bCs/>
                <w:color w:val="404040"/>
                <w:sz w:val="20"/>
                <w:szCs w:val="20"/>
              </w:rPr>
              <w:t xml:space="preserve">Legal Counsel</w:t>
            </w:r>
          </w:p>
        </w:tc>
        <w:tc>
          <w:tcPr>
            <w:tcW w:type="dxa" w:w="24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pPr>
              <w:jc w:val="left"/>
            </w:pPr>
            <w:r>
              <w:rPr>
                <w:rFonts w:ascii="Arial" w:cs="Arial" w:eastAsia="Arial" w:hAnsi="Arial"/>
                <w:b w:val="false"/>
                <w:bCs w:val="false"/>
                <w:color w:val="404040"/>
                <w:sz w:val="20"/>
                <w:szCs w:val="20"/>
              </w:rPr>
              <w:t xml:space="preserve">CLO / Legal Team</w:t>
            </w:r>
          </w:p>
        </w:tc>
        <w:tc>
          <w:tcPr>
            <w:tcW w:type="dxa" w:w="47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pPr>
              <w:jc w:val="left"/>
            </w:pPr>
            <w:r>
              <w:rPr>
                <w:rFonts w:ascii="Arial" w:cs="Arial" w:eastAsia="Arial" w:hAnsi="Arial"/>
                <w:b w:val="false"/>
                <w:bCs w:val="false"/>
                <w:color w:val="404040"/>
                <w:sz w:val="20"/>
                <w:szCs w:val="20"/>
              </w:rPr>
              <w:t xml:space="preserve">Advises on regulatory notification obligations (GDPR Art. 33, EU AI Act Art. 73); manages third-party legal exposure; reviews external communications.</w:t>
            </w:r>
          </w:p>
        </w:tc>
      </w:tr>
      <w:tr>
        <w:tc>
          <w:tcPr>
            <w:tcW w:type="dxa" w:w="2200"/>
            <w:tcBorders>
              <w:top w:val="single" w:color="BBBBBB" w:sz="1"/>
              <w:left w:val="single" w:color="BBBBBB" w:sz="1"/>
              <w:bottom w:val="single" w:color="BBBBBB" w:sz="1"/>
              <w:right w:val="single" w:color="BBBBBB" w:sz="1"/>
            </w:tcBorders>
            <w:shd w:fill="EEF4FB" w:val="clear"/>
            <w:tcMar>
              <w:top w:type="dxa" w:w="80"/>
              <w:left w:type="dxa" w:w="130"/>
              <w:bottom w:type="dxa" w:w="80"/>
              <w:right w:type="dxa" w:w="130"/>
            </w:tcMar>
          </w:tcPr>
          <w:p>
            <w:pPr>
              <w:jc w:val="left"/>
            </w:pPr>
            <w:r>
              <w:rPr>
                <w:rFonts w:ascii="Arial" w:cs="Arial" w:eastAsia="Arial" w:hAnsi="Arial"/>
                <w:b/>
                <w:bCs/>
                <w:color w:val="404040"/>
                <w:sz w:val="20"/>
                <w:szCs w:val="20"/>
              </w:rPr>
              <w:t xml:space="preserve">Communications Lead</w:t>
            </w:r>
          </w:p>
        </w:tc>
        <w:tc>
          <w:tcPr>
            <w:tcW w:type="dxa" w:w="2400"/>
            <w:tcBorders>
              <w:top w:val="single" w:color="BBBBBB" w:sz="1"/>
              <w:left w:val="single" w:color="BBBBBB" w:sz="1"/>
              <w:bottom w:val="single" w:color="BBBBBB" w:sz="1"/>
              <w:right w:val="single" w:color="BBBBBB" w:sz="1"/>
            </w:tcBorders>
            <w:shd w:fill="EEF4FB" w:val="clear"/>
            <w:tcMar>
              <w:top w:type="dxa" w:w="80"/>
              <w:left w:type="dxa" w:w="130"/>
              <w:bottom w:type="dxa" w:w="80"/>
              <w:right w:type="dxa" w:w="130"/>
            </w:tcMar>
          </w:tcPr>
          <w:p>
            <w:pPr>
              <w:jc w:val="left"/>
            </w:pPr>
            <w:r>
              <w:rPr>
                <w:rFonts w:ascii="Arial" w:cs="Arial" w:eastAsia="Arial" w:hAnsi="Arial"/>
                <w:b w:val="false"/>
                <w:bCs w:val="false"/>
                <w:color w:val="404040"/>
                <w:sz w:val="20"/>
                <w:szCs w:val="20"/>
              </w:rPr>
              <w:t xml:space="preserve">CPO / Product Manager</w:t>
            </w:r>
          </w:p>
        </w:tc>
        <w:tc>
          <w:tcPr>
            <w:tcW w:type="dxa" w:w="4760"/>
            <w:tcBorders>
              <w:top w:val="single" w:color="BBBBBB" w:sz="1"/>
              <w:left w:val="single" w:color="BBBBBB" w:sz="1"/>
              <w:bottom w:val="single" w:color="BBBBBB" w:sz="1"/>
              <w:right w:val="single" w:color="BBBBBB" w:sz="1"/>
            </w:tcBorders>
            <w:shd w:fill="EEF4FB" w:val="clear"/>
            <w:tcMar>
              <w:top w:type="dxa" w:w="80"/>
              <w:left w:type="dxa" w:w="130"/>
              <w:bottom w:type="dxa" w:w="80"/>
              <w:right w:type="dxa" w:w="130"/>
            </w:tcMar>
          </w:tcPr>
          <w:p>
            <w:pPr>
              <w:jc w:val="left"/>
            </w:pPr>
            <w:r>
              <w:rPr>
                <w:rFonts w:ascii="Arial" w:cs="Arial" w:eastAsia="Arial" w:hAnsi="Arial"/>
                <w:b w:val="false"/>
                <w:bCs w:val="false"/>
                <w:color w:val="404040"/>
                <w:sz w:val="20"/>
                <w:szCs w:val="20"/>
              </w:rPr>
              <w:t xml:space="preserve">Manages all customer and external communications; drafts public statements; handles media queries; coordinates with Customer Success on affected customer outreach.</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pPr>
              <w:jc w:val="left"/>
            </w:pPr>
            <w:r>
              <w:rPr>
                <w:rFonts w:ascii="Arial" w:cs="Arial" w:eastAsia="Arial" w:hAnsi="Arial"/>
                <w:b/>
                <w:bCs/>
                <w:color w:val="404040"/>
                <w:sz w:val="20"/>
                <w:szCs w:val="20"/>
              </w:rPr>
              <w:t xml:space="preserve">AIGC (Oversight)</w:t>
            </w:r>
          </w:p>
        </w:tc>
        <w:tc>
          <w:tcPr>
            <w:tcW w:type="dxa" w:w="24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pPr>
              <w:jc w:val="left"/>
            </w:pPr>
            <w:r>
              <w:rPr>
                <w:rFonts w:ascii="Arial" w:cs="Arial" w:eastAsia="Arial" w:hAnsi="Arial"/>
                <w:b w:val="false"/>
                <w:bCs w:val="false"/>
                <w:color w:val="404040"/>
                <w:sz w:val="20"/>
                <w:szCs w:val="20"/>
              </w:rPr>
              <w:t xml:space="preserve">All AIGC Members</w:t>
            </w:r>
          </w:p>
        </w:tc>
        <w:tc>
          <w:tcPr>
            <w:tcW w:type="dxa" w:w="47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pPr>
              <w:jc w:val="left"/>
            </w:pPr>
            <w:r>
              <w:rPr>
                <w:rFonts w:ascii="Arial" w:cs="Arial" w:eastAsia="Arial" w:hAnsi="Arial"/>
                <w:b w:val="false"/>
                <w:bCs w:val="false"/>
                <w:color w:val="404040"/>
                <w:sz w:val="20"/>
                <w:szCs w:val="20"/>
              </w:rPr>
              <w:t xml:space="preserve">Receives P1/P2 notifications; provides governance oversight; approves major containment decisions (e.g., product suspension); reviews post-incident reports.</w:t>
            </w:r>
          </w:p>
        </w:tc>
      </w:tr>
      <w:tr>
        <w:tc>
          <w:tcPr>
            <w:tcW w:type="dxa" w:w="2200"/>
            <w:tcBorders>
              <w:top w:val="single" w:color="BBBBBB" w:sz="1"/>
              <w:left w:val="single" w:color="BBBBBB" w:sz="1"/>
              <w:bottom w:val="single" w:color="BBBBBB" w:sz="1"/>
              <w:right w:val="single" w:color="BBBBBB" w:sz="1"/>
            </w:tcBorders>
            <w:shd w:fill="EEF4FB" w:val="clear"/>
            <w:tcMar>
              <w:top w:type="dxa" w:w="80"/>
              <w:left w:type="dxa" w:w="130"/>
              <w:bottom w:type="dxa" w:w="80"/>
              <w:right w:type="dxa" w:w="130"/>
            </w:tcMar>
          </w:tcPr>
          <w:p>
            <w:pPr>
              <w:jc w:val="left"/>
            </w:pPr>
            <w:r>
              <w:rPr>
                <w:rFonts w:ascii="Arial" w:cs="Arial" w:eastAsia="Arial" w:hAnsi="Arial"/>
                <w:b/>
                <w:bCs/>
                <w:color w:val="404040"/>
                <w:sz w:val="20"/>
                <w:szCs w:val="20"/>
              </w:rPr>
              <w:t xml:space="preserve">First Responder</w:t>
            </w:r>
          </w:p>
        </w:tc>
        <w:tc>
          <w:tcPr>
            <w:tcW w:type="dxa" w:w="2400"/>
            <w:tcBorders>
              <w:top w:val="single" w:color="BBBBBB" w:sz="1"/>
              <w:left w:val="single" w:color="BBBBBB" w:sz="1"/>
              <w:bottom w:val="single" w:color="BBBBBB" w:sz="1"/>
              <w:right w:val="single" w:color="BBBBBB" w:sz="1"/>
            </w:tcBorders>
            <w:shd w:fill="EEF4FB" w:val="clear"/>
            <w:tcMar>
              <w:top w:type="dxa" w:w="80"/>
              <w:left w:type="dxa" w:w="130"/>
              <w:bottom w:type="dxa" w:w="80"/>
              <w:right w:type="dxa" w:w="130"/>
            </w:tcMar>
          </w:tcPr>
          <w:p>
            <w:pPr>
              <w:jc w:val="left"/>
            </w:pPr>
            <w:r>
              <w:rPr>
                <w:rFonts w:ascii="Arial" w:cs="Arial" w:eastAsia="Arial" w:hAnsi="Arial"/>
                <w:b w:val="false"/>
                <w:bCs w:val="false"/>
                <w:color w:val="404040"/>
                <w:sz w:val="20"/>
                <w:szCs w:val="20"/>
              </w:rPr>
              <w:t xml:space="preserve">Any AInnovate employee who detects an incident</w:t>
            </w:r>
          </w:p>
        </w:tc>
        <w:tc>
          <w:tcPr>
            <w:tcW w:type="dxa" w:w="4760"/>
            <w:tcBorders>
              <w:top w:val="single" w:color="BBBBBB" w:sz="1"/>
              <w:left w:val="single" w:color="BBBBBB" w:sz="1"/>
              <w:bottom w:val="single" w:color="BBBBBB" w:sz="1"/>
              <w:right w:val="single" w:color="BBBBBB" w:sz="1"/>
            </w:tcBorders>
            <w:shd w:fill="EEF4FB" w:val="clear"/>
            <w:tcMar>
              <w:top w:type="dxa" w:w="80"/>
              <w:left w:type="dxa" w:w="130"/>
              <w:bottom w:type="dxa" w:w="80"/>
              <w:right w:type="dxa" w:w="130"/>
            </w:tcMar>
          </w:tcPr>
          <w:p>
            <w:pPr>
              <w:jc w:val="left"/>
            </w:pPr>
            <w:r>
              <w:rPr>
                <w:rFonts w:ascii="Arial" w:cs="Arial" w:eastAsia="Arial" w:hAnsi="Arial"/>
                <w:b w:val="false"/>
                <w:bCs w:val="false"/>
                <w:color w:val="404040"/>
                <w:sz w:val="20"/>
                <w:szCs w:val="20"/>
              </w:rPr>
              <w:t xml:space="preserve">Reports the incident via the designated reporting channel within 30 minutes of detection; preserves evidence; does not attempt independent remediation.</w:t>
            </w:r>
          </w:p>
        </w:tc>
      </w:tr>
    </w:tbl>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thick" w:color="2E75B6" w:sz="14"/>
              <w:bottom w:val="single" w:color="2E75B6" w:sz="2"/>
              <w:right w:val="single" w:color="2E75B6" w:sz="1"/>
            </w:tcBorders>
            <w:shd w:fill="D6E4F0" w:val="clear"/>
            <w:tcMar>
              <w:top w:type="dxa" w:w="120"/>
              <w:left w:type="dxa" w:w="220"/>
              <w:bottom w:type="dxa" w:w="120"/>
              <w:right w:type="dxa" w:w="160"/>
            </w:tcMar>
          </w:tcPr>
          <w:p>
            <w:pPr>
              <w:spacing w:after="60"/>
            </w:pPr>
            <w:r>
              <w:rPr>
                <w:rFonts w:ascii="Arial" w:cs="Arial" w:eastAsia="Arial" w:hAnsi="Arial"/>
                <w:b/>
                <w:bCs/>
                <w:color w:val="2E75B6"/>
                <w:sz w:val="20"/>
                <w:szCs w:val="20"/>
              </w:rPr>
              <w:t xml:space="preserve">CONTACT DIRECTORY</w:t>
            </w:r>
          </w:p>
          <w:p>
            <w:r>
              <w:rPr>
                <w:rFonts w:ascii="Arial" w:cs="Arial" w:eastAsia="Arial" w:hAnsi="Arial"/>
                <w:color w:val="404040"/>
                <w:sz w:val="20"/>
                <w:szCs w:val="20"/>
              </w:rPr>
              <w:t xml:space="preserve">The AI Incident Response contact list (including personal mobile numbers for P1 out-of-hours escalation) is maintained in the AInnovate Incident Response Contact Register (ISMS-INC-002), updated quarterly by the AI Governance Lead. All responders must ensure their contact details are current.</w:t>
            </w:r>
          </w:p>
        </w:tc>
      </w:tr>
    </w:tbl>
    <w:p>
      <w:r>
        <w:br w:type="page"/>
      </w:r>
    </w:p>
    <w:p>
      <w:pPr>
        <w:pStyle w:val="Heading1"/>
        <w:spacing w:before="320" w:after="200"/>
      </w:pPr>
      <w:r>
        <w:rPr>
          <w:rFonts w:ascii="Arial" w:cs="Arial" w:eastAsia="Arial" w:hAnsi="Arial"/>
          <w:b/>
          <w:bCs/>
          <w:color w:val="1F3864"/>
          <w:sz w:val="32"/>
          <w:szCs w:val="32"/>
        </w:rPr>
        <w:t xml:space="preserve">4.  Incident Response Lifecycle</w:t>
      </w:r>
    </w:p>
    <w:p>
      <w:pPr>
        <w:pBdr>
          <w:bottom w:val="single" w:color="2E75B6" w:sz="6" w:space="1"/>
        </w:pBdr>
        <w:spacing w:after="200"/>
      </w:pPr>
      <w:r>
        <w:t xml:space="preserve"/>
      </w:r>
    </w:p>
    <w:p>
      <w:pPr>
        <w:spacing w:after="120" w:line="276"/>
      </w:pPr>
      <w:r>
        <w:rPr>
          <w:rFonts w:ascii="Arial" w:cs="Arial" w:eastAsia="Arial" w:hAnsi="Arial"/>
          <w:i w:val="false"/>
          <w:iCs w:val="false"/>
          <w:color w:val="404040"/>
          <w:sz w:val="22"/>
          <w:szCs w:val="22"/>
        </w:rPr>
        <w:t xml:space="preserve">The AI Incident Response lifecycle comprises six phases. All phases are documented in the AI Incident Log (maintained by the AI Governance Lead in the Company's incident management system).</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2E75B6" w:sz="1"/>
              <w:left w:val="single" w:color="2E75B6" w:sz="1"/>
              <w:bottom w:val="single" w:color="2E75B6" w:sz="1"/>
              <w:right w:val="single" w:color="2E75B6" w:sz="1"/>
            </w:tcBorders>
            <w:shd w:fill="1F3864" w:val="clear"/>
            <w:tcMar>
              <w:top w:type="dxa" w:w="100"/>
              <w:left w:type="dxa" w:w="80"/>
              <w:bottom w:type="dxa" w:w="100"/>
              <w:right w:type="dxa" w:w="80"/>
            </w:tcMar>
          </w:tcPr>
          <w:p>
            <w:pPr>
              <w:jc w:val="center"/>
            </w:pPr>
            <w:r>
              <w:rPr>
                <w:rFonts w:ascii="Arial" w:cs="Arial" w:eastAsia="Arial" w:hAnsi="Arial"/>
                <w:b/>
                <w:bCs/>
                <w:color w:val="FFFFFF"/>
                <w:sz w:val="20"/>
                <w:szCs w:val="20"/>
              </w:rPr>
              <w:t xml:space="preserve">1
DETECT</w:t>
            </w:r>
          </w:p>
        </w:tc>
        <w:tc>
          <w:tcPr>
            <w:tcW w:type="dxa" w:w="1560"/>
            <w:tcBorders>
              <w:top w:val="single" w:color="2E75B6" w:sz="1"/>
              <w:left w:val="single" w:color="2E75B6" w:sz="1"/>
              <w:bottom w:val="single" w:color="2E75B6" w:sz="1"/>
              <w:right w:val="single" w:color="2E75B6" w:sz="1"/>
            </w:tcBorders>
            <w:shd w:fill="2E75B6" w:val="clear"/>
            <w:tcMar>
              <w:top w:type="dxa" w:w="100"/>
              <w:left w:type="dxa" w:w="80"/>
              <w:bottom w:type="dxa" w:w="100"/>
              <w:right w:type="dxa" w:w="80"/>
            </w:tcMar>
          </w:tcPr>
          <w:p>
            <w:pPr>
              <w:jc w:val="center"/>
            </w:pPr>
            <w:r>
              <w:rPr>
                <w:rFonts w:ascii="Arial" w:cs="Arial" w:eastAsia="Arial" w:hAnsi="Arial"/>
                <w:b/>
                <w:bCs/>
                <w:color w:val="FFFFFF"/>
                <w:sz w:val="20"/>
                <w:szCs w:val="20"/>
              </w:rPr>
              <w:t xml:space="preserve">2
CONTAIN</w:t>
            </w:r>
          </w:p>
        </w:tc>
        <w:tc>
          <w:tcPr>
            <w:tcW w:type="dxa" w:w="1560"/>
            <w:tcBorders>
              <w:top w:val="single" w:color="2E75B6" w:sz="1"/>
              <w:left w:val="single" w:color="2E75B6" w:sz="1"/>
              <w:bottom w:val="single" w:color="2E75B6" w:sz="1"/>
              <w:right w:val="single" w:color="2E75B6" w:sz="1"/>
            </w:tcBorders>
            <w:shd w:fill="1F3864" w:val="clear"/>
            <w:tcMar>
              <w:top w:type="dxa" w:w="100"/>
              <w:left w:type="dxa" w:w="80"/>
              <w:bottom w:type="dxa" w:w="100"/>
              <w:right w:type="dxa" w:w="80"/>
            </w:tcMar>
          </w:tcPr>
          <w:p>
            <w:pPr>
              <w:jc w:val="center"/>
            </w:pPr>
            <w:r>
              <w:rPr>
                <w:rFonts w:ascii="Arial" w:cs="Arial" w:eastAsia="Arial" w:hAnsi="Arial"/>
                <w:b/>
                <w:bCs/>
                <w:color w:val="FFFFFF"/>
                <w:sz w:val="20"/>
                <w:szCs w:val="20"/>
              </w:rPr>
              <w:t xml:space="preserve">3
INVESTIGATE</w:t>
            </w:r>
          </w:p>
        </w:tc>
        <w:tc>
          <w:tcPr>
            <w:tcW w:type="dxa" w:w="1560"/>
            <w:tcBorders>
              <w:top w:val="single" w:color="2E75B6" w:sz="1"/>
              <w:left w:val="single" w:color="2E75B6" w:sz="1"/>
              <w:bottom w:val="single" w:color="2E75B6" w:sz="1"/>
              <w:right w:val="single" w:color="2E75B6" w:sz="1"/>
            </w:tcBorders>
            <w:shd w:fill="2E75B6" w:val="clear"/>
            <w:tcMar>
              <w:top w:type="dxa" w:w="100"/>
              <w:left w:type="dxa" w:w="80"/>
              <w:bottom w:type="dxa" w:w="100"/>
              <w:right w:type="dxa" w:w="80"/>
            </w:tcMar>
          </w:tcPr>
          <w:p>
            <w:pPr>
              <w:jc w:val="center"/>
            </w:pPr>
            <w:r>
              <w:rPr>
                <w:rFonts w:ascii="Arial" w:cs="Arial" w:eastAsia="Arial" w:hAnsi="Arial"/>
                <w:b/>
                <w:bCs/>
                <w:color w:val="FFFFFF"/>
                <w:sz w:val="20"/>
                <w:szCs w:val="20"/>
              </w:rPr>
              <w:t xml:space="preserve">4
COMMUNICATE</w:t>
            </w:r>
          </w:p>
        </w:tc>
        <w:tc>
          <w:tcPr>
            <w:tcW w:type="dxa" w:w="1560"/>
            <w:tcBorders>
              <w:top w:val="single" w:color="2E75B6" w:sz="1"/>
              <w:left w:val="single" w:color="2E75B6" w:sz="1"/>
              <w:bottom w:val="single" w:color="2E75B6" w:sz="1"/>
              <w:right w:val="single" w:color="2E75B6" w:sz="1"/>
            </w:tcBorders>
            <w:shd w:fill="1F3864" w:val="clear"/>
            <w:tcMar>
              <w:top w:type="dxa" w:w="100"/>
              <w:left w:type="dxa" w:w="80"/>
              <w:bottom w:type="dxa" w:w="100"/>
              <w:right w:type="dxa" w:w="80"/>
            </w:tcMar>
          </w:tcPr>
          <w:p>
            <w:pPr>
              <w:jc w:val="center"/>
            </w:pPr>
            <w:r>
              <w:rPr>
                <w:rFonts w:ascii="Arial" w:cs="Arial" w:eastAsia="Arial" w:hAnsi="Arial"/>
                <w:b/>
                <w:bCs/>
                <w:color w:val="FFFFFF"/>
                <w:sz w:val="20"/>
                <w:szCs w:val="20"/>
              </w:rPr>
              <w:t xml:space="preserve">5
REMEDIATE</w:t>
            </w:r>
          </w:p>
        </w:tc>
        <w:tc>
          <w:tcPr>
            <w:tcW w:type="dxa" w:w="1560"/>
            <w:tcBorders>
              <w:top w:val="single" w:color="2E75B6" w:sz="1"/>
              <w:left w:val="single" w:color="2E75B6" w:sz="1"/>
              <w:bottom w:val="single" w:color="2E75B6" w:sz="1"/>
              <w:right w:val="single" w:color="2E75B6" w:sz="1"/>
            </w:tcBorders>
            <w:shd w:fill="2E75B6" w:val="clear"/>
            <w:tcMar>
              <w:top w:type="dxa" w:w="100"/>
              <w:left w:type="dxa" w:w="80"/>
              <w:bottom w:type="dxa" w:w="100"/>
              <w:right w:type="dxa" w:w="80"/>
            </w:tcMar>
          </w:tcPr>
          <w:p>
            <w:pPr>
              <w:jc w:val="center"/>
            </w:pPr>
            <w:r>
              <w:rPr>
                <w:rFonts w:ascii="Arial" w:cs="Arial" w:eastAsia="Arial" w:hAnsi="Arial"/>
                <w:b/>
                <w:bCs/>
                <w:color w:val="FFFFFF"/>
                <w:sz w:val="20"/>
                <w:szCs w:val="20"/>
              </w:rPr>
              <w:t xml:space="preserve">6
REVIEW</w:t>
            </w:r>
          </w:p>
        </w:tc>
      </w:tr>
    </w:tbl>
    <w:p>
      <w:pPr>
        <w:spacing w:after="200"/>
      </w:pPr>
      <w:r>
        <w:t xml:space="preserve"/>
      </w:r>
    </w:p>
    <w:p>
      <w:pPr>
        <w:pStyle w:val="Heading2"/>
        <w:spacing w:before="240" w:after="120"/>
      </w:pPr>
      <w:r>
        <w:rPr>
          <w:rFonts w:ascii="Arial" w:cs="Arial" w:eastAsia="Arial" w:hAnsi="Arial"/>
          <w:b/>
          <w:bCs/>
          <w:color w:val="2E75B6"/>
          <w:sz w:val="26"/>
          <w:szCs w:val="26"/>
        </w:rPr>
        <w:t xml:space="preserve">4.1  Phase 1 – Detection and Reporting</w:t>
      </w:r>
    </w:p>
    <w:p>
      <w:pPr>
        <w:spacing w:after="120" w:line="276"/>
      </w:pPr>
      <w:r>
        <w:rPr>
          <w:rFonts w:ascii="Arial" w:cs="Arial" w:eastAsia="Arial" w:hAnsi="Arial"/>
          <w:i w:val="false"/>
          <w:iCs w:val="false"/>
          <w:color w:val="404040"/>
          <w:sz w:val="22"/>
          <w:szCs w:val="22"/>
        </w:rPr>
        <w:t xml:space="preserve">An AI incident may be detected through any of the following channels:</w:t>
      </w:r>
    </w:p>
    <w:p>
      <w:pPr>
        <w:pStyle w:val="ListParagraph"/>
        <w:numPr>
          <w:ilvl w:val="0"/>
          <w:numId w:val="2"/>
        </w:numPr>
        <w:spacing w:after="80" w:line="264"/>
      </w:pPr>
      <w:r>
        <w:rPr>
          <w:rFonts w:ascii="Arial" w:cs="Arial" w:eastAsia="Arial" w:hAnsi="Arial"/>
          <w:b w:val="false"/>
          <w:bCs w:val="false"/>
          <w:color w:val="404040"/>
          <w:sz w:val="22"/>
          <w:szCs w:val="22"/>
        </w:rPr>
        <w:t xml:space="preserve">Automated monitoring alerts (AWS CloudWatch, model drift dashboards, content safety filter anomaly alerts)</w:t>
      </w:r>
    </w:p>
    <w:p>
      <w:pPr>
        <w:pStyle w:val="ListParagraph"/>
        <w:numPr>
          <w:ilvl w:val="0"/>
          <w:numId w:val="2"/>
        </w:numPr>
        <w:spacing w:after="80" w:line="264"/>
      </w:pPr>
      <w:r>
        <w:rPr>
          <w:rFonts w:ascii="Arial" w:cs="Arial" w:eastAsia="Arial" w:hAnsi="Arial"/>
          <w:b w:val="false"/>
          <w:bCs w:val="false"/>
          <w:color w:val="404040"/>
          <w:sz w:val="22"/>
          <w:szCs w:val="22"/>
        </w:rPr>
        <w:t xml:space="preserve">User-reported feedback via GenStudio's in-product 'Report an Issue' mechanism</w:t>
      </w:r>
    </w:p>
    <w:p>
      <w:pPr>
        <w:pStyle w:val="ListParagraph"/>
        <w:numPr>
          <w:ilvl w:val="0"/>
          <w:numId w:val="2"/>
        </w:numPr>
        <w:spacing w:after="80" w:line="264"/>
      </w:pPr>
      <w:r>
        <w:rPr>
          <w:rFonts w:ascii="Arial" w:cs="Arial" w:eastAsia="Arial" w:hAnsi="Arial"/>
          <w:b w:val="false"/>
          <w:bCs w:val="false"/>
          <w:color w:val="404040"/>
          <w:sz w:val="22"/>
          <w:szCs w:val="22"/>
        </w:rPr>
        <w:t xml:space="preserve">Internal employee observation during product testing, red-teaming, or routine use</w:t>
      </w:r>
    </w:p>
    <w:p>
      <w:pPr>
        <w:pStyle w:val="ListParagraph"/>
        <w:numPr>
          <w:ilvl w:val="0"/>
          <w:numId w:val="2"/>
        </w:numPr>
        <w:spacing w:after="80" w:line="264"/>
      </w:pPr>
      <w:r>
        <w:rPr>
          <w:rFonts w:ascii="Arial" w:cs="Arial" w:eastAsia="Arial" w:hAnsi="Arial"/>
          <w:b w:val="false"/>
          <w:bCs w:val="false"/>
          <w:color w:val="404040"/>
          <w:sz w:val="22"/>
          <w:szCs w:val="22"/>
        </w:rPr>
        <w:t xml:space="preserve">External report from a customer, partner, regulator, or security researcher</w:t>
      </w:r>
    </w:p>
    <w:p>
      <w:pPr>
        <w:pStyle w:val="ListParagraph"/>
        <w:numPr>
          <w:ilvl w:val="0"/>
          <w:numId w:val="2"/>
        </w:numPr>
        <w:spacing w:after="80" w:line="264"/>
      </w:pPr>
      <w:r>
        <w:rPr>
          <w:rFonts w:ascii="Arial" w:cs="Arial" w:eastAsia="Arial" w:hAnsi="Arial"/>
          <w:b w:val="false"/>
          <w:bCs w:val="false"/>
          <w:color w:val="404040"/>
          <w:sz w:val="22"/>
          <w:szCs w:val="22"/>
        </w:rPr>
        <w:t xml:space="preserve">Media or social media monitoring identifying problematic AI-generated content</w:t>
      </w:r>
    </w:p>
    <w:p>
      <w:pPr>
        <w:spacing w:after="80"/>
      </w:pPr>
      <w:r>
        <w:t xml:space="preserve"/>
      </w:r>
    </w:p>
    <w:p>
      <w:pPr>
        <w:spacing w:after="120" w:line="276"/>
      </w:pPr>
      <w:r>
        <w:rPr>
          <w:rFonts w:ascii="Arial" w:cs="Arial" w:eastAsia="Arial" w:hAnsi="Arial"/>
          <w:i w:val="false"/>
          <w:iCs w:val="false"/>
          <w:color w:val="404040"/>
          <w:sz w:val="22"/>
          <w:szCs w:val="22"/>
        </w:rPr>
        <w:t xml:space="preserve">Upon detection, the First Responder must:</w:t>
      </w:r>
    </w:p>
    <w:p>
      <w:pPr>
        <w:pStyle w:val="ListParagraph"/>
        <w:numPr>
          <w:ilvl w:val="0"/>
          <w:numId w:val="3"/>
        </w:numPr>
        <w:spacing w:after="80" w:line="264"/>
      </w:pPr>
      <w:r>
        <w:rPr>
          <w:rFonts w:ascii="Arial" w:cs="Arial" w:eastAsia="Arial" w:hAnsi="Arial"/>
          <w:b w:val="false"/>
          <w:bCs w:val="false"/>
          <w:color w:val="404040"/>
          <w:sz w:val="22"/>
          <w:szCs w:val="22"/>
        </w:rPr>
        <w:t xml:space="preserve">Record the date, time, source, and nature of the detected issue;</w:t>
      </w:r>
    </w:p>
    <w:p>
      <w:pPr>
        <w:pStyle w:val="ListParagraph"/>
        <w:numPr>
          <w:ilvl w:val="0"/>
          <w:numId w:val="3"/>
        </w:numPr>
        <w:spacing w:after="80" w:line="264"/>
      </w:pPr>
      <w:r>
        <w:rPr>
          <w:rFonts w:ascii="Arial" w:cs="Arial" w:eastAsia="Arial" w:hAnsi="Arial"/>
          <w:b w:val="false"/>
          <w:bCs w:val="false"/>
          <w:color w:val="404040"/>
          <w:sz w:val="22"/>
          <w:szCs w:val="22"/>
        </w:rPr>
        <w:t xml:space="preserve">Preserve evidence (screenshots, API request/response logs, output samples) without modifying or deleting any system state;</w:t>
      </w:r>
    </w:p>
    <w:p>
      <w:pPr>
        <w:pStyle w:val="ListParagraph"/>
        <w:numPr>
          <w:ilvl w:val="0"/>
          <w:numId w:val="3"/>
        </w:numPr>
        <w:spacing w:after="80" w:line="264"/>
      </w:pPr>
      <w:r>
        <w:rPr>
          <w:rFonts w:ascii="Arial" w:cs="Arial" w:eastAsia="Arial" w:hAnsi="Arial"/>
          <w:b w:val="false"/>
          <w:bCs w:val="false"/>
          <w:color w:val="404040"/>
          <w:sz w:val="22"/>
          <w:szCs w:val="22"/>
        </w:rPr>
        <w:t xml:space="preserve">Submit an incident report via the designated channel (Jira Service Management 'AI Incident' ticket type) within 30 minutes of detection;</w:t>
      </w:r>
    </w:p>
    <w:p>
      <w:pPr>
        <w:pStyle w:val="ListParagraph"/>
        <w:numPr>
          <w:ilvl w:val="0"/>
          <w:numId w:val="3"/>
        </w:numPr>
        <w:spacing w:after="80" w:line="264"/>
      </w:pPr>
      <w:r>
        <w:rPr>
          <w:rFonts w:ascii="Arial" w:cs="Arial" w:eastAsia="Arial" w:hAnsi="Arial"/>
          <w:b w:val="false"/>
          <w:bCs w:val="false"/>
          <w:color w:val="404040"/>
          <w:sz w:val="22"/>
          <w:szCs w:val="22"/>
        </w:rPr>
        <w:t xml:space="preserve">Contact the AI Governance Lead directly (phone/Slack) if the suspected severity is P1 or P2 — do not wait for ticket acknowledgement.</w:t>
      </w:r>
    </w:p>
    <w:p>
      <w:pPr>
        <w:spacing w:after="120"/>
      </w:pPr>
      <w:r>
        <w:t xml:space="preserve"/>
      </w:r>
    </w:p>
    <w:p>
      <w:pPr>
        <w:pStyle w:val="Heading2"/>
        <w:spacing w:before="240" w:after="120"/>
      </w:pPr>
      <w:r>
        <w:rPr>
          <w:rFonts w:ascii="Arial" w:cs="Arial" w:eastAsia="Arial" w:hAnsi="Arial"/>
          <w:b/>
          <w:bCs/>
          <w:color w:val="2E75B6"/>
          <w:sz w:val="26"/>
          <w:szCs w:val="26"/>
        </w:rPr>
        <w:t xml:space="preserve">4.2  Phase 2 – Triage and Classification</w:t>
      </w:r>
    </w:p>
    <w:p>
      <w:pPr>
        <w:spacing w:after="120" w:line="276"/>
      </w:pPr>
      <w:r>
        <w:rPr>
          <w:rFonts w:ascii="Arial" w:cs="Arial" w:eastAsia="Arial" w:hAnsi="Arial"/>
          <w:i w:val="false"/>
          <w:iCs w:val="false"/>
          <w:color w:val="404040"/>
          <w:sz w:val="22"/>
          <w:szCs w:val="22"/>
        </w:rPr>
        <w:t xml:space="preserve">Upon receiving an incident report, the Incident Commander (AI Governance Lead) shall within the initial response window:</w:t>
      </w:r>
    </w:p>
    <w:p>
      <w:pPr>
        <w:pStyle w:val="ListParagraph"/>
        <w:numPr>
          <w:ilvl w:val="0"/>
          <w:numId w:val="3"/>
        </w:numPr>
        <w:spacing w:after="80" w:line="264"/>
      </w:pPr>
      <w:r>
        <w:rPr>
          <w:rFonts w:ascii="Arial" w:cs="Arial" w:eastAsia="Arial" w:hAnsi="Arial"/>
          <w:b w:val="false"/>
          <w:bCs w:val="false"/>
          <w:color w:val="404040"/>
          <w:sz w:val="22"/>
          <w:szCs w:val="22"/>
        </w:rPr>
        <w:t xml:space="preserve">Acknowledge the incident report and assign an Incident ID (format: AI-INC-YYYY-NNN);</w:t>
      </w:r>
    </w:p>
    <w:p>
      <w:pPr>
        <w:pStyle w:val="ListParagraph"/>
        <w:numPr>
          <w:ilvl w:val="0"/>
          <w:numId w:val="3"/>
        </w:numPr>
        <w:spacing w:after="80" w:line="264"/>
      </w:pPr>
      <w:r>
        <w:rPr>
          <w:rFonts w:ascii="Arial" w:cs="Arial" w:eastAsia="Arial" w:hAnsi="Arial"/>
          <w:b w:val="false"/>
          <w:bCs w:val="false"/>
          <w:color w:val="404040"/>
          <w:sz w:val="22"/>
          <w:szCs w:val="22"/>
        </w:rPr>
        <w:t xml:space="preserve">Make an initial severity classification using the criteria in Section 2.2;</w:t>
      </w:r>
    </w:p>
    <w:p>
      <w:pPr>
        <w:pStyle w:val="ListParagraph"/>
        <w:numPr>
          <w:ilvl w:val="0"/>
          <w:numId w:val="3"/>
        </w:numPr>
        <w:spacing w:after="80" w:line="264"/>
      </w:pPr>
      <w:r>
        <w:rPr>
          <w:rFonts w:ascii="Arial" w:cs="Arial" w:eastAsia="Arial" w:hAnsi="Arial"/>
          <w:b w:val="false"/>
          <w:bCs w:val="false"/>
          <w:color w:val="404040"/>
          <w:sz w:val="22"/>
          <w:szCs w:val="22"/>
        </w:rPr>
        <w:t xml:space="preserve">Activate the appropriate response team (see RACI table in Section 3);</w:t>
      </w:r>
    </w:p>
    <w:p>
      <w:pPr>
        <w:pStyle w:val="ListParagraph"/>
        <w:numPr>
          <w:ilvl w:val="0"/>
          <w:numId w:val="3"/>
        </w:numPr>
        <w:spacing w:after="80" w:line="264"/>
      </w:pPr>
      <w:r>
        <w:rPr>
          <w:rFonts w:ascii="Arial" w:cs="Arial" w:eastAsia="Arial" w:hAnsi="Arial"/>
          <w:b w:val="false"/>
          <w:bCs w:val="false"/>
          <w:color w:val="404040"/>
          <w:sz w:val="22"/>
          <w:szCs w:val="22"/>
        </w:rPr>
        <w:t xml:space="preserve">Open the Incident War Room channel (dedicated Slack channel: #ai-incident-[ID]);</w:t>
      </w:r>
    </w:p>
    <w:p>
      <w:pPr>
        <w:pStyle w:val="ListParagraph"/>
        <w:numPr>
          <w:ilvl w:val="0"/>
          <w:numId w:val="3"/>
        </w:numPr>
        <w:spacing w:after="80" w:line="264"/>
      </w:pPr>
      <w:r>
        <w:rPr>
          <w:rFonts w:ascii="Arial" w:cs="Arial" w:eastAsia="Arial" w:hAnsi="Arial"/>
          <w:b w:val="false"/>
          <w:bCs w:val="false"/>
          <w:color w:val="404040"/>
          <w:sz w:val="22"/>
          <w:szCs w:val="22"/>
        </w:rPr>
        <w:t xml:space="preserve">Notify the AIGC for P1 and P2 incidents; notify the Model Owner for all severities.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2"/>
              <w:left w:val="thick" w:color="C00000" w:sz="14"/>
              <w:bottom w:val="single" w:color="C00000" w:sz="2"/>
              <w:right w:val="single" w:color="C00000" w:sz="1"/>
            </w:tcBorders>
            <w:shd w:fill="FFD7D7" w:val="clear"/>
            <w:tcMar>
              <w:top w:type="dxa" w:w="120"/>
              <w:left w:type="dxa" w:w="220"/>
              <w:bottom w:type="dxa" w:w="120"/>
              <w:right w:type="dxa" w:w="160"/>
            </w:tcMar>
          </w:tcPr>
          <w:p>
            <w:pPr>
              <w:spacing w:after="60"/>
            </w:pPr>
            <w:r>
              <w:rPr>
                <w:rFonts w:ascii="Arial" w:cs="Arial" w:eastAsia="Arial" w:hAnsi="Arial"/>
                <w:b/>
                <w:bCs/>
                <w:color w:val="C00000"/>
                <w:sz w:val="20"/>
                <w:szCs w:val="20"/>
              </w:rPr>
              <w:t xml:space="preserve">P1 ESCALATION — 1-HOUR CLOCK STARTS</w:t>
            </w:r>
          </w:p>
          <w:p>
            <w:r>
              <w:rPr>
                <w:rFonts w:ascii="Arial" w:cs="Arial" w:eastAsia="Arial" w:hAnsi="Arial"/>
                <w:color w:val="404040"/>
                <w:sz w:val="20"/>
                <w:szCs w:val="20"/>
              </w:rPr>
              <w:t xml:space="preserve">For P1 (Critical) incidents: the Incident Commander must notify the CPO, CTO, CLO, and CDO within 1 hour of detection, regardless of time of day. The CPO assumes executive sponsorship of the response. The 72-hour GDPR notification clock starts from the point AInnovate becomes 'aware' of a potential personal data breach — this must be tracked from first detection, not from formal classification.</w:t>
            </w:r>
          </w:p>
        </w:tc>
      </w:tr>
    </w:tbl>
    <w:p>
      <w:pPr>
        <w:spacing w:after="160"/>
      </w:pPr>
      <w:r>
        <w:t xml:space="preserve"/>
      </w:r>
    </w:p>
    <w:p>
      <w:pPr>
        <w:pStyle w:val="Heading2"/>
        <w:spacing w:before="240" w:after="120"/>
      </w:pPr>
      <w:r>
        <w:rPr>
          <w:rFonts w:ascii="Arial" w:cs="Arial" w:eastAsia="Arial" w:hAnsi="Arial"/>
          <w:b/>
          <w:bCs/>
          <w:color w:val="2E75B6"/>
          <w:sz w:val="26"/>
          <w:szCs w:val="26"/>
        </w:rPr>
        <w:t xml:space="preserve">4.3  Phase 3 – Containment</w:t>
      </w:r>
    </w:p>
    <w:p>
      <w:pPr>
        <w:spacing w:after="120" w:line="276"/>
      </w:pPr>
      <w:r>
        <w:rPr>
          <w:rFonts w:ascii="Arial" w:cs="Arial" w:eastAsia="Arial" w:hAnsi="Arial"/>
          <w:i w:val="false"/>
          <w:iCs w:val="false"/>
          <w:color w:val="404040"/>
          <w:sz w:val="22"/>
          <w:szCs w:val="22"/>
        </w:rPr>
        <w:t xml:space="preserve">Containment actions are categorised as short-term (immediate stabilisation) and long-term (sustained control until full remediation).</w:t>
      </w:r>
    </w:p>
    <w:p>
      <w:pPr>
        <w:spacing w:after="80"/>
      </w:pPr>
      <w:r>
        <w:t xml:space="preserve"/>
      </w:r>
    </w:p>
    <w:p>
      <w:pPr>
        <w:pStyle w:val="Heading3"/>
        <w:spacing w:before="180" w:after="100"/>
      </w:pPr>
      <w:r>
        <w:rPr>
          <w:rFonts w:ascii="Arial" w:cs="Arial" w:eastAsia="Arial" w:hAnsi="Arial"/>
          <w:b/>
          <w:bCs/>
          <w:color w:val="2E75B6"/>
          <w:sz w:val="23"/>
          <w:szCs w:val="23"/>
        </w:rPr>
        <w:t xml:space="preserve">4.3.1  Short-Term Containment 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360"/>
        <w:gridCol w:w="1400"/>
        <w:gridCol w:w="1400"/>
      </w:tblGrid>
      <w:tr>
        <w:tc>
          <w:tcPr>
            <w:tcW w:type="dxa" w:w="2200"/>
            <w:tcBorders>
              <w:top w:val="single" w:color="2E75B6" w:sz="1"/>
              <w:left w:val="single" w:color="2E75B6" w:sz="1"/>
              <w:bottom w:val="single" w:color="2E75B6" w:sz="1"/>
              <w:right w:val="single" w:color="2E75B6" w:sz="1"/>
            </w:tcBorders>
            <w:shd w:fill="1F3864" w:val="clear"/>
            <w:tcMar>
              <w:top w:type="dxa" w:w="100"/>
              <w:left w:type="dxa" w:w="130"/>
              <w:bottom w:type="dxa" w:w="100"/>
              <w:right w:type="dxa" w:w="130"/>
            </w:tcMar>
            <w:vAlign w:val="center"/>
          </w:tcPr>
          <w:p>
            <w:pPr>
              <w:jc w:val="center"/>
            </w:pPr>
            <w:r>
              <w:rPr>
                <w:rFonts w:ascii="Arial" w:cs="Arial" w:eastAsia="Arial" w:hAnsi="Arial"/>
                <w:b/>
                <w:bCs/>
                <w:color w:val="FFFFFF"/>
                <w:sz w:val="20"/>
                <w:szCs w:val="20"/>
              </w:rPr>
              <w:t xml:space="preserve">Action</w:t>
            </w:r>
          </w:p>
        </w:tc>
        <w:tc>
          <w:tcPr>
            <w:tcW w:type="dxa" w:w="4360"/>
            <w:tcBorders>
              <w:top w:val="single" w:color="2E75B6" w:sz="1"/>
              <w:left w:val="single" w:color="2E75B6" w:sz="1"/>
              <w:bottom w:val="single" w:color="2E75B6" w:sz="1"/>
              <w:right w:val="single" w:color="2E75B6" w:sz="1"/>
            </w:tcBorders>
            <w:shd w:fill="1F3864" w:val="clear"/>
            <w:tcMar>
              <w:top w:type="dxa" w:w="100"/>
              <w:left w:type="dxa" w:w="130"/>
              <w:bottom w:type="dxa" w:w="100"/>
              <w:right w:type="dxa" w:w="130"/>
            </w:tcMar>
            <w:vAlign w:val="center"/>
          </w:tcPr>
          <w:p>
            <w:pPr>
              <w:jc w:val="center"/>
            </w:pPr>
            <w:r>
              <w:rPr>
                <w:rFonts w:ascii="Arial" w:cs="Arial" w:eastAsia="Arial" w:hAnsi="Arial"/>
                <w:b/>
                <w:bCs/>
                <w:color w:val="FFFFFF"/>
                <w:sz w:val="20"/>
                <w:szCs w:val="20"/>
              </w:rPr>
              <w:t xml:space="preserve">Description</w:t>
            </w:r>
          </w:p>
        </w:tc>
        <w:tc>
          <w:tcPr>
            <w:tcW w:type="dxa" w:w="1400"/>
            <w:tcBorders>
              <w:top w:val="single" w:color="2E75B6" w:sz="1"/>
              <w:left w:val="single" w:color="2E75B6" w:sz="1"/>
              <w:bottom w:val="single" w:color="2E75B6" w:sz="1"/>
              <w:right w:val="single" w:color="2E75B6" w:sz="1"/>
            </w:tcBorders>
            <w:shd w:fill="1F3864" w:val="clear"/>
            <w:tcMar>
              <w:top w:type="dxa" w:w="100"/>
              <w:left w:type="dxa" w:w="130"/>
              <w:bottom w:type="dxa" w:w="100"/>
              <w:right w:type="dxa" w:w="130"/>
            </w:tcMar>
            <w:vAlign w:val="center"/>
          </w:tcPr>
          <w:p>
            <w:pPr>
              <w:jc w:val="center"/>
            </w:pPr>
            <w:r>
              <w:rPr>
                <w:rFonts w:ascii="Arial" w:cs="Arial" w:eastAsia="Arial" w:hAnsi="Arial"/>
                <w:b/>
                <w:bCs/>
                <w:color w:val="FFFFFF"/>
                <w:sz w:val="20"/>
                <w:szCs w:val="20"/>
              </w:rPr>
              <w:t xml:space="preserve">Applies To</w:t>
            </w:r>
          </w:p>
        </w:tc>
        <w:tc>
          <w:tcPr>
            <w:tcW w:type="dxa" w:w="1400"/>
            <w:tcBorders>
              <w:top w:val="single" w:color="2E75B6" w:sz="1"/>
              <w:left w:val="single" w:color="2E75B6" w:sz="1"/>
              <w:bottom w:val="single" w:color="2E75B6" w:sz="1"/>
              <w:right w:val="single" w:color="2E75B6" w:sz="1"/>
            </w:tcBorders>
            <w:shd w:fill="1F3864" w:val="clear"/>
            <w:tcMar>
              <w:top w:type="dxa" w:w="100"/>
              <w:left w:type="dxa" w:w="130"/>
              <w:bottom w:type="dxa" w:w="100"/>
              <w:right w:type="dxa" w:w="130"/>
            </w:tcMar>
            <w:vAlign w:val="center"/>
          </w:tcPr>
          <w:p>
            <w:pPr>
              <w:jc w:val="center"/>
            </w:pPr>
            <w:r>
              <w:rPr>
                <w:rFonts w:ascii="Arial" w:cs="Arial" w:eastAsia="Arial" w:hAnsi="Arial"/>
                <w:b/>
                <w:bCs/>
                <w:color w:val="FFFFFF"/>
                <w:sz w:val="20"/>
                <w:szCs w:val="20"/>
              </w:rPr>
              <w:t xml:space="preserve">Authorised By</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pPr>
              <w:jc w:val="left"/>
            </w:pPr>
            <w:r>
              <w:rPr>
                <w:rFonts w:ascii="Arial" w:cs="Arial" w:eastAsia="Arial" w:hAnsi="Arial"/>
                <w:b/>
                <w:bCs/>
                <w:color w:val="404040"/>
                <w:sz w:val="20"/>
                <w:szCs w:val="20"/>
              </w:rPr>
              <w:t xml:space="preserve">Output Quarantine</w:t>
            </w:r>
          </w:p>
        </w:tc>
        <w:tc>
          <w:tcPr>
            <w:tcW w:type="dxa" w:w="43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pPr>
              <w:jc w:val="left"/>
            </w:pPr>
            <w:r>
              <w:rPr>
                <w:rFonts w:ascii="Arial" w:cs="Arial" w:eastAsia="Arial" w:hAnsi="Arial"/>
                <w:b w:val="false"/>
                <w:bCs w:val="false"/>
                <w:color w:val="404040"/>
                <w:sz w:val="20"/>
                <w:szCs w:val="20"/>
              </w:rPr>
              <w:t xml:space="preserve">Flag and withhold affected output types from user delivery; route to human review queue pending investigation.</w:t>
            </w:r>
          </w:p>
        </w:tc>
        <w:tc>
          <w:tcPr>
            <w:tcW w:type="dxa" w:w="14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pPr>
              <w:jc w:val="center"/>
            </w:pPr>
            <w:r>
              <w:rPr>
                <w:rFonts w:ascii="Arial" w:cs="Arial" w:eastAsia="Arial" w:hAnsi="Arial"/>
                <w:b w:val="false"/>
                <w:bCs w:val="false"/>
                <w:color w:val="404040"/>
                <w:sz w:val="20"/>
                <w:szCs w:val="20"/>
              </w:rPr>
              <w:t xml:space="preserve">All</w:t>
            </w:r>
          </w:p>
        </w:tc>
        <w:tc>
          <w:tcPr>
            <w:tcW w:type="dxa" w:w="14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pPr>
              <w:jc w:val="left"/>
            </w:pPr>
            <w:r>
              <w:rPr>
                <w:rFonts w:ascii="Arial" w:cs="Arial" w:eastAsia="Arial" w:hAnsi="Arial"/>
                <w:b w:val="false"/>
                <w:bCs w:val="false"/>
                <w:color w:val="404040"/>
                <w:sz w:val="20"/>
                <w:szCs w:val="20"/>
              </w:rPr>
              <w:t xml:space="preserve">Technical Lead</w:t>
            </w:r>
          </w:p>
        </w:tc>
      </w:tr>
      <w:tr>
        <w:tc>
          <w:tcPr>
            <w:tcW w:type="dxa" w:w="2200"/>
            <w:tcBorders>
              <w:top w:val="single" w:color="BBBBBB" w:sz="1"/>
              <w:left w:val="single" w:color="BBBBBB" w:sz="1"/>
              <w:bottom w:val="single" w:color="BBBBBB" w:sz="1"/>
              <w:right w:val="single" w:color="BBBBBB" w:sz="1"/>
            </w:tcBorders>
            <w:shd w:fill="EEF4FB" w:val="clear"/>
            <w:tcMar>
              <w:top w:type="dxa" w:w="80"/>
              <w:left w:type="dxa" w:w="130"/>
              <w:bottom w:type="dxa" w:w="80"/>
              <w:right w:type="dxa" w:w="130"/>
            </w:tcMar>
          </w:tcPr>
          <w:p>
            <w:pPr>
              <w:jc w:val="left"/>
            </w:pPr>
            <w:r>
              <w:rPr>
                <w:rFonts w:ascii="Arial" w:cs="Arial" w:eastAsia="Arial" w:hAnsi="Arial"/>
                <w:b/>
                <w:bCs/>
                <w:color w:val="404040"/>
                <w:sz w:val="20"/>
                <w:szCs w:val="20"/>
              </w:rPr>
              <w:t xml:space="preserve">Content Filter Update</w:t>
            </w:r>
          </w:p>
        </w:tc>
        <w:tc>
          <w:tcPr>
            <w:tcW w:type="dxa" w:w="4360"/>
            <w:tcBorders>
              <w:top w:val="single" w:color="BBBBBB" w:sz="1"/>
              <w:left w:val="single" w:color="BBBBBB" w:sz="1"/>
              <w:bottom w:val="single" w:color="BBBBBB" w:sz="1"/>
              <w:right w:val="single" w:color="BBBBBB" w:sz="1"/>
            </w:tcBorders>
            <w:shd w:fill="EEF4FB" w:val="clear"/>
            <w:tcMar>
              <w:top w:type="dxa" w:w="80"/>
              <w:left w:type="dxa" w:w="130"/>
              <w:bottom w:type="dxa" w:w="80"/>
              <w:right w:type="dxa" w:w="130"/>
            </w:tcMar>
          </w:tcPr>
          <w:p>
            <w:pPr>
              <w:jc w:val="left"/>
            </w:pPr>
            <w:r>
              <w:rPr>
                <w:rFonts w:ascii="Arial" w:cs="Arial" w:eastAsia="Arial" w:hAnsi="Arial"/>
                <w:b w:val="false"/>
                <w:bCs w:val="false"/>
                <w:color w:val="404040"/>
                <w:sz w:val="20"/>
                <w:szCs w:val="20"/>
              </w:rPr>
              <w:t xml:space="preserve">Deploy emergency content safety filter rule to block identified harmful output pattern. Deployed via AWS Lambda configuration update.</w:t>
            </w:r>
          </w:p>
        </w:tc>
        <w:tc>
          <w:tcPr>
            <w:tcW w:type="dxa" w:w="1400"/>
            <w:tcBorders>
              <w:top w:val="single" w:color="BBBBBB" w:sz="1"/>
              <w:left w:val="single" w:color="BBBBBB" w:sz="1"/>
              <w:bottom w:val="single" w:color="BBBBBB" w:sz="1"/>
              <w:right w:val="single" w:color="BBBBBB" w:sz="1"/>
            </w:tcBorders>
            <w:shd w:fill="EEF4FB" w:val="clear"/>
            <w:tcMar>
              <w:top w:type="dxa" w:w="80"/>
              <w:left w:type="dxa" w:w="130"/>
              <w:bottom w:type="dxa" w:w="80"/>
              <w:right w:type="dxa" w:w="130"/>
            </w:tcMar>
          </w:tcPr>
          <w:p>
            <w:pPr>
              <w:jc w:val="center"/>
            </w:pPr>
            <w:r>
              <w:rPr>
                <w:rFonts w:ascii="Arial" w:cs="Arial" w:eastAsia="Arial" w:hAnsi="Arial"/>
                <w:b w:val="false"/>
                <w:bCs w:val="false"/>
                <w:color w:val="404040"/>
                <w:sz w:val="20"/>
                <w:szCs w:val="20"/>
              </w:rPr>
              <w:t xml:space="preserve">P1, P2</w:t>
            </w:r>
          </w:p>
        </w:tc>
        <w:tc>
          <w:tcPr>
            <w:tcW w:type="dxa" w:w="1400"/>
            <w:tcBorders>
              <w:top w:val="single" w:color="BBBBBB" w:sz="1"/>
              <w:left w:val="single" w:color="BBBBBB" w:sz="1"/>
              <w:bottom w:val="single" w:color="BBBBBB" w:sz="1"/>
              <w:right w:val="single" w:color="BBBBBB" w:sz="1"/>
            </w:tcBorders>
            <w:shd w:fill="EEF4FB" w:val="clear"/>
            <w:tcMar>
              <w:top w:type="dxa" w:w="80"/>
              <w:left w:type="dxa" w:w="130"/>
              <w:bottom w:type="dxa" w:w="80"/>
              <w:right w:type="dxa" w:w="130"/>
            </w:tcMar>
          </w:tcPr>
          <w:p>
            <w:pPr>
              <w:jc w:val="left"/>
            </w:pPr>
            <w:r>
              <w:rPr>
                <w:rFonts w:ascii="Arial" w:cs="Arial" w:eastAsia="Arial" w:hAnsi="Arial"/>
                <w:b w:val="false"/>
                <w:bCs w:val="false"/>
                <w:color w:val="404040"/>
                <w:sz w:val="20"/>
                <w:szCs w:val="20"/>
              </w:rPr>
              <w:t xml:space="preserve">Technical Lead + Security Lead</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pPr>
              <w:jc w:val="left"/>
            </w:pPr>
            <w:r>
              <w:rPr>
                <w:rFonts w:ascii="Arial" w:cs="Arial" w:eastAsia="Arial" w:hAnsi="Arial"/>
                <w:b/>
                <w:bCs/>
                <w:color w:val="404040"/>
                <w:sz w:val="20"/>
                <w:szCs w:val="20"/>
              </w:rPr>
              <w:t xml:space="preserve">Model Endpoint Suspension</w:t>
            </w:r>
          </w:p>
        </w:tc>
        <w:tc>
          <w:tcPr>
            <w:tcW w:type="dxa" w:w="43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pPr>
              <w:jc w:val="left"/>
            </w:pPr>
            <w:r>
              <w:rPr>
                <w:rFonts w:ascii="Arial" w:cs="Arial" w:eastAsia="Arial" w:hAnsi="Arial"/>
                <w:b w:val="false"/>
                <w:bCs w:val="false"/>
                <w:color w:val="404040"/>
                <w:sz w:val="20"/>
                <w:szCs w:val="20"/>
              </w:rPr>
              <w:t xml:space="preserve">Suspend the GenStudio API endpoint, returning a service-unavailable response. Activates the graceful degradation mode (cached suggestions).</w:t>
            </w:r>
          </w:p>
        </w:tc>
        <w:tc>
          <w:tcPr>
            <w:tcW w:type="dxa" w:w="14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pPr>
              <w:jc w:val="center"/>
            </w:pPr>
            <w:r>
              <w:rPr>
                <w:rFonts w:ascii="Arial" w:cs="Arial" w:eastAsia="Arial" w:hAnsi="Arial"/>
                <w:b w:val="false"/>
                <w:bCs w:val="false"/>
                <w:color w:val="404040"/>
                <w:sz w:val="20"/>
                <w:szCs w:val="20"/>
              </w:rPr>
              <w:t xml:space="preserve">P1, P2</w:t>
            </w:r>
          </w:p>
        </w:tc>
        <w:tc>
          <w:tcPr>
            <w:tcW w:type="dxa" w:w="14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pPr>
              <w:jc w:val="left"/>
            </w:pPr>
            <w:r>
              <w:rPr>
                <w:rFonts w:ascii="Arial" w:cs="Arial" w:eastAsia="Arial" w:hAnsi="Arial"/>
                <w:b w:val="false"/>
                <w:bCs w:val="false"/>
                <w:color w:val="404040"/>
                <w:sz w:val="20"/>
                <w:szCs w:val="20"/>
              </w:rPr>
              <w:t xml:space="preserve">IC + CPO</w:t>
            </w:r>
          </w:p>
        </w:tc>
      </w:tr>
      <w:tr>
        <w:tc>
          <w:tcPr>
            <w:tcW w:type="dxa" w:w="2200"/>
            <w:tcBorders>
              <w:top w:val="single" w:color="BBBBBB" w:sz="1"/>
              <w:left w:val="single" w:color="BBBBBB" w:sz="1"/>
              <w:bottom w:val="single" w:color="BBBBBB" w:sz="1"/>
              <w:right w:val="single" w:color="BBBBBB" w:sz="1"/>
            </w:tcBorders>
            <w:shd w:fill="EEF4FB" w:val="clear"/>
            <w:tcMar>
              <w:top w:type="dxa" w:w="80"/>
              <w:left w:type="dxa" w:w="130"/>
              <w:bottom w:type="dxa" w:w="80"/>
              <w:right w:type="dxa" w:w="130"/>
            </w:tcMar>
          </w:tcPr>
          <w:p>
            <w:pPr>
              <w:jc w:val="left"/>
            </w:pPr>
            <w:r>
              <w:rPr>
                <w:rFonts w:ascii="Arial" w:cs="Arial" w:eastAsia="Arial" w:hAnsi="Arial"/>
                <w:b/>
                <w:bCs/>
                <w:color w:val="404040"/>
                <w:sz w:val="20"/>
                <w:szCs w:val="20"/>
              </w:rPr>
              <w:t xml:space="preserve">Model Version Rollback</w:t>
            </w:r>
          </w:p>
        </w:tc>
        <w:tc>
          <w:tcPr>
            <w:tcW w:type="dxa" w:w="4360"/>
            <w:tcBorders>
              <w:top w:val="single" w:color="BBBBBB" w:sz="1"/>
              <w:left w:val="single" w:color="BBBBBB" w:sz="1"/>
              <w:bottom w:val="single" w:color="BBBBBB" w:sz="1"/>
              <w:right w:val="single" w:color="BBBBBB" w:sz="1"/>
            </w:tcBorders>
            <w:shd w:fill="EEF4FB" w:val="clear"/>
            <w:tcMar>
              <w:top w:type="dxa" w:w="80"/>
              <w:left w:type="dxa" w:w="130"/>
              <w:bottom w:type="dxa" w:w="80"/>
              <w:right w:type="dxa" w:w="130"/>
            </w:tcMar>
          </w:tcPr>
          <w:p>
            <w:pPr>
              <w:jc w:val="left"/>
            </w:pPr>
            <w:r>
              <w:rPr>
                <w:rFonts w:ascii="Arial" w:cs="Arial" w:eastAsia="Arial" w:hAnsi="Arial"/>
                <w:b w:val="false"/>
                <w:bCs w:val="false"/>
                <w:color w:val="404040"/>
                <w:sz w:val="20"/>
                <w:szCs w:val="20"/>
              </w:rPr>
              <w:t xml:space="preserve">Roll back the production model to the last known-good checkpoint via AWS SageMaker model registry. Requires re-validation of rollback target.</w:t>
            </w:r>
          </w:p>
        </w:tc>
        <w:tc>
          <w:tcPr>
            <w:tcW w:type="dxa" w:w="1400"/>
            <w:tcBorders>
              <w:top w:val="single" w:color="BBBBBB" w:sz="1"/>
              <w:left w:val="single" w:color="BBBBBB" w:sz="1"/>
              <w:bottom w:val="single" w:color="BBBBBB" w:sz="1"/>
              <w:right w:val="single" w:color="BBBBBB" w:sz="1"/>
            </w:tcBorders>
            <w:shd w:fill="EEF4FB" w:val="clear"/>
            <w:tcMar>
              <w:top w:type="dxa" w:w="80"/>
              <w:left w:type="dxa" w:w="130"/>
              <w:bottom w:type="dxa" w:w="80"/>
              <w:right w:type="dxa" w:w="130"/>
            </w:tcMar>
          </w:tcPr>
          <w:p>
            <w:pPr>
              <w:jc w:val="center"/>
            </w:pPr>
            <w:r>
              <w:rPr>
                <w:rFonts w:ascii="Arial" w:cs="Arial" w:eastAsia="Arial" w:hAnsi="Arial"/>
                <w:b w:val="false"/>
                <w:bCs w:val="false"/>
                <w:color w:val="404040"/>
                <w:sz w:val="20"/>
                <w:szCs w:val="20"/>
              </w:rPr>
              <w:t xml:space="preserve">P1, P2, P3</w:t>
            </w:r>
          </w:p>
        </w:tc>
        <w:tc>
          <w:tcPr>
            <w:tcW w:type="dxa" w:w="1400"/>
            <w:tcBorders>
              <w:top w:val="single" w:color="BBBBBB" w:sz="1"/>
              <w:left w:val="single" w:color="BBBBBB" w:sz="1"/>
              <w:bottom w:val="single" w:color="BBBBBB" w:sz="1"/>
              <w:right w:val="single" w:color="BBBBBB" w:sz="1"/>
            </w:tcBorders>
            <w:shd w:fill="EEF4FB" w:val="clear"/>
            <w:tcMar>
              <w:top w:type="dxa" w:w="80"/>
              <w:left w:type="dxa" w:w="130"/>
              <w:bottom w:type="dxa" w:w="80"/>
              <w:right w:type="dxa" w:w="130"/>
            </w:tcMar>
          </w:tcPr>
          <w:p>
            <w:pPr>
              <w:jc w:val="left"/>
            </w:pPr>
            <w:r>
              <w:rPr>
                <w:rFonts w:ascii="Arial" w:cs="Arial" w:eastAsia="Arial" w:hAnsi="Arial"/>
                <w:b w:val="false"/>
                <w:bCs w:val="false"/>
                <w:color w:val="404040"/>
                <w:sz w:val="20"/>
                <w:szCs w:val="20"/>
              </w:rPr>
              <w:t xml:space="preserve">Technical Lead + IC</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pPr>
              <w:jc w:val="left"/>
            </w:pPr>
            <w:r>
              <w:rPr>
                <w:rFonts w:ascii="Arial" w:cs="Arial" w:eastAsia="Arial" w:hAnsi="Arial"/>
                <w:b/>
                <w:bCs/>
                <w:color w:val="404040"/>
                <w:sz w:val="20"/>
                <w:szCs w:val="20"/>
              </w:rPr>
              <w:t xml:space="preserve">Access Revocation</w:t>
            </w:r>
          </w:p>
        </w:tc>
        <w:tc>
          <w:tcPr>
            <w:tcW w:type="dxa" w:w="43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pPr>
              <w:jc w:val="left"/>
            </w:pPr>
            <w:r>
              <w:rPr>
                <w:rFonts w:ascii="Arial" w:cs="Arial" w:eastAsia="Arial" w:hAnsi="Arial"/>
                <w:b w:val="false"/>
                <w:bCs w:val="false"/>
                <w:color w:val="404040"/>
                <w:sz w:val="20"/>
                <w:szCs w:val="20"/>
              </w:rPr>
              <w:t xml:space="preserve">Revoke API keys or user access for accounts suspected of malicious use or involved in data breach.</w:t>
            </w:r>
          </w:p>
        </w:tc>
        <w:tc>
          <w:tcPr>
            <w:tcW w:type="dxa" w:w="14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pPr>
              <w:jc w:val="center"/>
            </w:pPr>
            <w:r>
              <w:rPr>
                <w:rFonts w:ascii="Arial" w:cs="Arial" w:eastAsia="Arial" w:hAnsi="Arial"/>
                <w:b w:val="false"/>
                <w:bCs w:val="false"/>
                <w:color w:val="404040"/>
                <w:sz w:val="20"/>
                <w:szCs w:val="20"/>
              </w:rPr>
              <w:t xml:space="preserve">P1, P2</w:t>
            </w:r>
          </w:p>
        </w:tc>
        <w:tc>
          <w:tcPr>
            <w:tcW w:type="dxa" w:w="14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pPr>
              <w:jc w:val="left"/>
            </w:pPr>
            <w:r>
              <w:rPr>
                <w:rFonts w:ascii="Arial" w:cs="Arial" w:eastAsia="Arial" w:hAnsi="Arial"/>
                <w:b w:val="false"/>
                <w:bCs w:val="false"/>
                <w:color w:val="404040"/>
                <w:sz w:val="20"/>
                <w:szCs w:val="20"/>
              </w:rPr>
              <w:t xml:space="preserve">Security Lead</w:t>
            </w:r>
          </w:p>
        </w:tc>
      </w:tr>
      <w:tr>
        <w:tc>
          <w:tcPr>
            <w:tcW w:type="dxa" w:w="2200"/>
            <w:tcBorders>
              <w:top w:val="single" w:color="BBBBBB" w:sz="1"/>
              <w:left w:val="single" w:color="BBBBBB" w:sz="1"/>
              <w:bottom w:val="single" w:color="BBBBBB" w:sz="1"/>
              <w:right w:val="single" w:color="BBBBBB" w:sz="1"/>
            </w:tcBorders>
            <w:shd w:fill="EEF4FB" w:val="clear"/>
            <w:tcMar>
              <w:top w:type="dxa" w:w="80"/>
              <w:left w:type="dxa" w:w="130"/>
              <w:bottom w:type="dxa" w:w="80"/>
              <w:right w:type="dxa" w:w="130"/>
            </w:tcMar>
          </w:tcPr>
          <w:p>
            <w:pPr>
              <w:jc w:val="left"/>
            </w:pPr>
            <w:r>
              <w:rPr>
                <w:rFonts w:ascii="Arial" w:cs="Arial" w:eastAsia="Arial" w:hAnsi="Arial"/>
                <w:b/>
                <w:bCs/>
                <w:color w:val="404040"/>
                <w:sz w:val="20"/>
                <w:szCs w:val="20"/>
              </w:rPr>
              <w:t xml:space="preserve">AWS Network Isolation</w:t>
            </w:r>
          </w:p>
        </w:tc>
        <w:tc>
          <w:tcPr>
            <w:tcW w:type="dxa" w:w="4360"/>
            <w:tcBorders>
              <w:top w:val="single" w:color="BBBBBB" w:sz="1"/>
              <w:left w:val="single" w:color="BBBBBB" w:sz="1"/>
              <w:bottom w:val="single" w:color="BBBBBB" w:sz="1"/>
              <w:right w:val="single" w:color="BBBBBB" w:sz="1"/>
            </w:tcBorders>
            <w:shd w:fill="EEF4FB" w:val="clear"/>
            <w:tcMar>
              <w:top w:type="dxa" w:w="80"/>
              <w:left w:type="dxa" w:w="130"/>
              <w:bottom w:type="dxa" w:w="80"/>
              <w:right w:type="dxa" w:w="130"/>
            </w:tcMar>
          </w:tcPr>
          <w:p>
            <w:pPr>
              <w:jc w:val="left"/>
            </w:pPr>
            <w:r>
              <w:rPr>
                <w:rFonts w:ascii="Arial" w:cs="Arial" w:eastAsia="Arial" w:hAnsi="Arial"/>
                <w:b w:val="false"/>
                <w:bCs w:val="false"/>
                <w:color w:val="404040"/>
                <w:sz w:val="20"/>
                <w:szCs w:val="20"/>
              </w:rPr>
              <w:t xml:space="preserve">Isolate compromised AWS resources using Security Group updates or AWS WAF rules to prevent data exfiltration.</w:t>
            </w:r>
          </w:p>
        </w:tc>
        <w:tc>
          <w:tcPr>
            <w:tcW w:type="dxa" w:w="1400"/>
            <w:tcBorders>
              <w:top w:val="single" w:color="BBBBBB" w:sz="1"/>
              <w:left w:val="single" w:color="BBBBBB" w:sz="1"/>
              <w:bottom w:val="single" w:color="BBBBBB" w:sz="1"/>
              <w:right w:val="single" w:color="BBBBBB" w:sz="1"/>
            </w:tcBorders>
            <w:shd w:fill="EEF4FB" w:val="clear"/>
            <w:tcMar>
              <w:top w:type="dxa" w:w="80"/>
              <w:left w:type="dxa" w:w="130"/>
              <w:bottom w:type="dxa" w:w="80"/>
              <w:right w:type="dxa" w:w="130"/>
            </w:tcMar>
          </w:tcPr>
          <w:p>
            <w:pPr>
              <w:jc w:val="center"/>
            </w:pPr>
            <w:r>
              <w:rPr>
                <w:rFonts w:ascii="Arial" w:cs="Arial" w:eastAsia="Arial" w:hAnsi="Arial"/>
                <w:b w:val="false"/>
                <w:bCs w:val="false"/>
                <w:color w:val="404040"/>
                <w:sz w:val="20"/>
                <w:szCs w:val="20"/>
              </w:rPr>
              <w:t xml:space="preserve">P1 (data breach)</w:t>
            </w:r>
          </w:p>
        </w:tc>
        <w:tc>
          <w:tcPr>
            <w:tcW w:type="dxa" w:w="1400"/>
            <w:tcBorders>
              <w:top w:val="single" w:color="BBBBBB" w:sz="1"/>
              <w:left w:val="single" w:color="BBBBBB" w:sz="1"/>
              <w:bottom w:val="single" w:color="BBBBBB" w:sz="1"/>
              <w:right w:val="single" w:color="BBBBBB" w:sz="1"/>
            </w:tcBorders>
            <w:shd w:fill="EEF4FB" w:val="clear"/>
            <w:tcMar>
              <w:top w:type="dxa" w:w="80"/>
              <w:left w:type="dxa" w:w="130"/>
              <w:bottom w:type="dxa" w:w="80"/>
              <w:right w:type="dxa" w:w="130"/>
            </w:tcMar>
          </w:tcPr>
          <w:p>
            <w:pPr>
              <w:jc w:val="left"/>
            </w:pPr>
            <w:r>
              <w:rPr>
                <w:rFonts w:ascii="Arial" w:cs="Arial" w:eastAsia="Arial" w:hAnsi="Arial"/>
                <w:b w:val="false"/>
                <w:bCs w:val="false"/>
                <w:color w:val="404040"/>
                <w:sz w:val="20"/>
                <w:szCs w:val="20"/>
              </w:rPr>
              <w:t xml:space="preserve">Security Lead</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pPr>
              <w:jc w:val="left"/>
            </w:pPr>
            <w:r>
              <w:rPr>
                <w:rFonts w:ascii="Arial" w:cs="Arial" w:eastAsia="Arial" w:hAnsi="Arial"/>
                <w:b/>
                <w:bCs/>
                <w:color w:val="404040"/>
                <w:sz w:val="20"/>
                <w:szCs w:val="20"/>
              </w:rPr>
              <w:t xml:space="preserve">Inference Log Preservation</w:t>
            </w:r>
          </w:p>
        </w:tc>
        <w:tc>
          <w:tcPr>
            <w:tcW w:type="dxa" w:w="43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pPr>
              <w:jc w:val="left"/>
            </w:pPr>
            <w:r>
              <w:rPr>
                <w:rFonts w:ascii="Arial" w:cs="Arial" w:eastAsia="Arial" w:hAnsi="Arial"/>
                <w:b w:val="false"/>
                <w:bCs w:val="false"/>
                <w:color w:val="404040"/>
                <w:sz w:val="20"/>
                <w:szCs w:val="20"/>
              </w:rPr>
              <w:t xml:space="preserve">Enable extended log retention and snapshot current logs to a secure S3 bucket for forensic analysis.</w:t>
            </w:r>
          </w:p>
        </w:tc>
        <w:tc>
          <w:tcPr>
            <w:tcW w:type="dxa" w:w="14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pPr>
              <w:jc w:val="center"/>
            </w:pPr>
            <w:r>
              <w:rPr>
                <w:rFonts w:ascii="Arial" w:cs="Arial" w:eastAsia="Arial" w:hAnsi="Arial"/>
                <w:b w:val="false"/>
                <w:bCs w:val="false"/>
                <w:color w:val="404040"/>
                <w:sz w:val="20"/>
                <w:szCs w:val="20"/>
              </w:rPr>
              <w:t xml:space="preserve">All</w:t>
            </w:r>
          </w:p>
        </w:tc>
        <w:tc>
          <w:tcPr>
            <w:tcW w:type="dxa" w:w="14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pPr>
              <w:jc w:val="left"/>
            </w:pPr>
            <w:r>
              <w:rPr>
                <w:rFonts w:ascii="Arial" w:cs="Arial" w:eastAsia="Arial" w:hAnsi="Arial"/>
                <w:b w:val="false"/>
                <w:bCs w:val="false"/>
                <w:color w:val="404040"/>
                <w:sz w:val="20"/>
                <w:szCs w:val="20"/>
              </w:rPr>
              <w:t xml:space="preserve">Security Lead</w:t>
            </w:r>
          </w:p>
        </w:tc>
      </w:tr>
    </w:tbl>
    <w:p>
      <w:pPr>
        <w:spacing w:after="160"/>
      </w:pPr>
      <w:r>
        <w:t xml:space="preserve"/>
      </w:r>
    </w:p>
    <w:p>
      <w:pPr>
        <w:pStyle w:val="Heading3"/>
        <w:spacing w:before="180" w:after="100"/>
      </w:pPr>
      <w:r>
        <w:rPr>
          <w:rFonts w:ascii="Arial" w:cs="Arial" w:eastAsia="Arial" w:hAnsi="Arial"/>
          <w:b/>
          <w:bCs/>
          <w:color w:val="2E75B6"/>
          <w:sz w:val="23"/>
          <w:szCs w:val="23"/>
        </w:rPr>
        <w:t xml:space="preserve">4.3.2  Long-Term Containment</w:t>
      </w:r>
    </w:p>
    <w:p>
      <w:pPr>
        <w:spacing w:after="120" w:line="276"/>
      </w:pPr>
      <w:r>
        <w:rPr>
          <w:rFonts w:ascii="Arial" w:cs="Arial" w:eastAsia="Arial" w:hAnsi="Arial"/>
          <w:i w:val="false"/>
          <w:iCs w:val="false"/>
          <w:color w:val="404040"/>
          <w:sz w:val="22"/>
          <w:szCs w:val="22"/>
        </w:rPr>
        <w:t xml:space="preserve">Long-term containment bridges the gap between initial stabilisation and full remediation. Actions may include:</w:t>
      </w:r>
    </w:p>
    <w:p>
      <w:pPr>
        <w:pStyle w:val="ListParagraph"/>
        <w:numPr>
          <w:ilvl w:val="0"/>
          <w:numId w:val="2"/>
        </w:numPr>
        <w:spacing w:after="80" w:line="264"/>
      </w:pPr>
      <w:r>
        <w:rPr>
          <w:rFonts w:ascii="Arial" w:cs="Arial" w:eastAsia="Arial" w:hAnsi="Arial"/>
          <w:b w:val="false"/>
          <w:bCs w:val="false"/>
          <w:color w:val="404040"/>
          <w:sz w:val="22"/>
          <w:szCs w:val="22"/>
        </w:rPr>
        <w:t xml:space="preserve">Deploying a hardened system prompt with explicit restrictions on the identified failure mode;</w:t>
      </w:r>
    </w:p>
    <w:p>
      <w:pPr>
        <w:pStyle w:val="ListParagraph"/>
        <w:numPr>
          <w:ilvl w:val="0"/>
          <w:numId w:val="2"/>
        </w:numPr>
        <w:spacing w:after="80" w:line="264"/>
      </w:pPr>
      <w:r>
        <w:rPr>
          <w:rFonts w:ascii="Arial" w:cs="Arial" w:eastAsia="Arial" w:hAnsi="Arial"/>
          <w:b w:val="false"/>
          <w:bCs w:val="false"/>
          <w:color w:val="404040"/>
          <w:sz w:val="22"/>
          <w:szCs w:val="22"/>
        </w:rPr>
        <w:t xml:space="preserve">Implementing additional human review checkpoints for output categories associated with the incident;</w:t>
      </w:r>
    </w:p>
    <w:p>
      <w:pPr>
        <w:pStyle w:val="ListParagraph"/>
        <w:numPr>
          <w:ilvl w:val="0"/>
          <w:numId w:val="2"/>
        </w:numPr>
        <w:spacing w:after="80" w:line="264"/>
      </w:pPr>
      <w:r>
        <w:rPr>
          <w:rFonts w:ascii="Arial" w:cs="Arial" w:eastAsia="Arial" w:hAnsi="Arial"/>
          <w:b w:val="false"/>
          <w:bCs w:val="false"/>
          <w:color w:val="404040"/>
          <w:sz w:val="22"/>
          <w:szCs w:val="22"/>
        </w:rPr>
        <w:t xml:space="preserve">Temporarily restricting the features or prompt types associated with the incident pending root cause analysis;</w:t>
      </w:r>
    </w:p>
    <w:p>
      <w:pPr>
        <w:pStyle w:val="ListParagraph"/>
        <w:numPr>
          <w:ilvl w:val="0"/>
          <w:numId w:val="2"/>
        </w:numPr>
        <w:spacing w:after="80" w:line="264"/>
      </w:pPr>
      <w:r>
        <w:rPr>
          <w:rFonts w:ascii="Arial" w:cs="Arial" w:eastAsia="Arial" w:hAnsi="Arial"/>
          <w:b w:val="false"/>
          <w:bCs w:val="false"/>
          <w:color w:val="404040"/>
          <w:sz w:val="22"/>
          <w:szCs w:val="22"/>
        </w:rPr>
        <w:t xml:space="preserve">Increasing monitoring frequency and alert sensitivity in the affected area.</w:t>
      </w:r>
    </w:p>
    <w:p>
      <w:r>
        <w:br w:type="page"/>
      </w:r>
    </w:p>
    <w:p>
      <w:pPr>
        <w:pStyle w:val="Heading2"/>
        <w:spacing w:before="240" w:after="120"/>
      </w:pPr>
      <w:r>
        <w:rPr>
          <w:rFonts w:ascii="Arial" w:cs="Arial" w:eastAsia="Arial" w:hAnsi="Arial"/>
          <w:b/>
          <w:bCs/>
          <w:color w:val="2E75B6"/>
          <w:sz w:val="26"/>
          <w:szCs w:val="26"/>
        </w:rPr>
        <w:t xml:space="preserve">4.4  Phase 4 – Investigation and Root Cause Analysis</w:t>
      </w:r>
    </w:p>
    <w:p>
      <w:pPr>
        <w:spacing w:after="120" w:line="276"/>
      </w:pPr>
      <w:r>
        <w:rPr>
          <w:rFonts w:ascii="Arial" w:cs="Arial" w:eastAsia="Arial" w:hAnsi="Arial"/>
          <w:i w:val="false"/>
          <w:iCs w:val="false"/>
          <w:color w:val="404040"/>
          <w:sz w:val="22"/>
          <w:szCs w:val="22"/>
        </w:rPr>
        <w:t xml:space="preserve">The Technical Lead conducts a structured root cause analysis (RCA) for all P1, P2, and P3 incidents. The RCA shall be completed within the timeframes specified in Section 5 and documented in the Incident Report (template in Appendix A).</w:t>
      </w:r>
    </w:p>
    <w:p>
      <w:pPr>
        <w:spacing w:after="80"/>
      </w:pPr>
      <w:r>
        <w:t xml:space="preserve"/>
      </w:r>
    </w:p>
    <w:p>
      <w:pPr>
        <w:pStyle w:val="Heading3"/>
        <w:spacing w:before="180" w:after="100"/>
      </w:pPr>
      <w:r>
        <w:rPr>
          <w:rFonts w:ascii="Arial" w:cs="Arial" w:eastAsia="Arial" w:hAnsi="Arial"/>
          <w:b/>
          <w:bCs/>
          <w:color w:val="2E75B6"/>
          <w:sz w:val="23"/>
          <w:szCs w:val="23"/>
        </w:rPr>
        <w:t xml:space="preserve">4.4.1  Investigation Workstreams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360"/>
        <w:gridCol w:w="3000"/>
      </w:tblGrid>
      <w:tr>
        <w:tc>
          <w:tcPr>
            <w:tcW w:type="dxa" w:w="2000"/>
            <w:tcBorders>
              <w:top w:val="single" w:color="2E75B6" w:sz="1"/>
              <w:left w:val="single" w:color="2E75B6" w:sz="1"/>
              <w:bottom w:val="single" w:color="2E75B6" w:sz="1"/>
              <w:right w:val="single" w:color="2E75B6" w:sz="1"/>
            </w:tcBorders>
            <w:shd w:fill="1F3864" w:val="clear"/>
            <w:tcMar>
              <w:top w:type="dxa" w:w="100"/>
              <w:left w:type="dxa" w:w="130"/>
              <w:bottom w:type="dxa" w:w="100"/>
              <w:right w:type="dxa" w:w="130"/>
            </w:tcMar>
            <w:vAlign w:val="center"/>
          </w:tcPr>
          <w:p>
            <w:pPr>
              <w:jc w:val="center"/>
            </w:pPr>
            <w:r>
              <w:rPr>
                <w:rFonts w:ascii="Arial" w:cs="Arial" w:eastAsia="Arial" w:hAnsi="Arial"/>
                <w:b/>
                <w:bCs/>
                <w:color w:val="FFFFFF"/>
                <w:sz w:val="20"/>
                <w:szCs w:val="20"/>
              </w:rPr>
              <w:t xml:space="preserve">Workstream</w:t>
            </w:r>
          </w:p>
        </w:tc>
        <w:tc>
          <w:tcPr>
            <w:tcW w:type="dxa" w:w="4360"/>
            <w:tcBorders>
              <w:top w:val="single" w:color="2E75B6" w:sz="1"/>
              <w:left w:val="single" w:color="2E75B6" w:sz="1"/>
              <w:bottom w:val="single" w:color="2E75B6" w:sz="1"/>
              <w:right w:val="single" w:color="2E75B6" w:sz="1"/>
            </w:tcBorders>
            <w:shd w:fill="1F3864" w:val="clear"/>
            <w:tcMar>
              <w:top w:type="dxa" w:w="100"/>
              <w:left w:type="dxa" w:w="130"/>
              <w:bottom w:type="dxa" w:w="100"/>
              <w:right w:type="dxa" w:w="130"/>
            </w:tcMar>
            <w:vAlign w:val="center"/>
          </w:tcPr>
          <w:p>
            <w:pPr>
              <w:jc w:val="center"/>
            </w:pPr>
            <w:r>
              <w:rPr>
                <w:rFonts w:ascii="Arial" w:cs="Arial" w:eastAsia="Arial" w:hAnsi="Arial"/>
                <w:b/>
                <w:bCs/>
                <w:color w:val="FFFFFF"/>
                <w:sz w:val="20"/>
                <w:szCs w:val="20"/>
              </w:rPr>
              <w:t xml:space="preserve">Activities</w:t>
            </w:r>
          </w:p>
        </w:tc>
        <w:tc>
          <w:tcPr>
            <w:tcW w:type="dxa" w:w="3000"/>
            <w:tcBorders>
              <w:top w:val="single" w:color="2E75B6" w:sz="1"/>
              <w:left w:val="single" w:color="2E75B6" w:sz="1"/>
              <w:bottom w:val="single" w:color="2E75B6" w:sz="1"/>
              <w:right w:val="single" w:color="2E75B6" w:sz="1"/>
            </w:tcBorders>
            <w:shd w:fill="1F3864" w:val="clear"/>
            <w:tcMar>
              <w:top w:type="dxa" w:w="100"/>
              <w:left w:type="dxa" w:w="130"/>
              <w:bottom w:type="dxa" w:w="100"/>
              <w:right w:type="dxa" w:w="130"/>
            </w:tcMar>
            <w:vAlign w:val="center"/>
          </w:tcPr>
          <w:p>
            <w:pPr>
              <w:jc w:val="center"/>
            </w:pPr>
            <w:r>
              <w:rPr>
                <w:rFonts w:ascii="Arial" w:cs="Arial" w:eastAsia="Arial" w:hAnsi="Arial"/>
                <w:b/>
                <w:bCs/>
                <w:color w:val="FFFFFF"/>
                <w:sz w:val="20"/>
                <w:szCs w:val="20"/>
              </w:rPr>
              <w:t xml:space="preserve">Lead</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pPr>
              <w:jc w:val="left"/>
            </w:pPr>
            <w:r>
              <w:rPr>
                <w:rFonts w:ascii="Arial" w:cs="Arial" w:eastAsia="Arial" w:hAnsi="Arial"/>
                <w:b/>
                <w:bCs/>
                <w:color w:val="404040"/>
                <w:sz w:val="20"/>
                <w:szCs w:val="20"/>
              </w:rPr>
              <w:t xml:space="preserve">Model Behaviour Analysis</w:t>
            </w:r>
          </w:p>
        </w:tc>
        <w:tc>
          <w:tcPr>
            <w:tcW w:type="dxa" w:w="43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pPr>
              <w:jc w:val="left"/>
            </w:pPr>
            <w:r>
              <w:rPr>
                <w:rFonts w:ascii="Arial" w:cs="Arial" w:eastAsia="Arial" w:hAnsi="Arial"/>
                <w:b w:val="false"/>
                <w:bCs w:val="false"/>
                <w:color w:val="404040"/>
                <w:sz w:val="20"/>
                <w:szCs w:val="20"/>
              </w:rPr>
              <w:t xml:space="preserve">Review inference logs for the incident timeframe; reproduce the failure in a sandboxed environment; identify the specific input conditions that triggered the failure; assess whether the failure is reproducible and systematic.</w:t>
            </w:r>
          </w:p>
        </w:tc>
        <w:tc>
          <w:tcPr>
            <w:tcW w:type="dxa" w:w="30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pPr>
              <w:jc w:val="left"/>
            </w:pPr>
            <w:r>
              <w:rPr>
                <w:rFonts w:ascii="Arial" w:cs="Arial" w:eastAsia="Arial" w:hAnsi="Arial"/>
                <w:b w:val="false"/>
                <w:bCs w:val="false"/>
                <w:color w:val="404040"/>
                <w:sz w:val="20"/>
                <w:szCs w:val="20"/>
              </w:rPr>
              <w:t xml:space="preserve">Technical Lead (Model Owner)</w:t>
            </w:r>
          </w:p>
        </w:tc>
      </w:tr>
      <w:tr>
        <w:tc>
          <w:tcPr>
            <w:tcW w:type="dxa" w:w="2000"/>
            <w:tcBorders>
              <w:top w:val="single" w:color="BBBBBB" w:sz="1"/>
              <w:left w:val="single" w:color="BBBBBB" w:sz="1"/>
              <w:bottom w:val="single" w:color="BBBBBB" w:sz="1"/>
              <w:right w:val="single" w:color="BBBBBB" w:sz="1"/>
            </w:tcBorders>
            <w:shd w:fill="EEF4FB" w:val="clear"/>
            <w:tcMar>
              <w:top w:type="dxa" w:w="80"/>
              <w:left w:type="dxa" w:w="130"/>
              <w:bottom w:type="dxa" w:w="80"/>
              <w:right w:type="dxa" w:w="130"/>
            </w:tcMar>
          </w:tcPr>
          <w:p>
            <w:pPr>
              <w:jc w:val="left"/>
            </w:pPr>
            <w:r>
              <w:rPr>
                <w:rFonts w:ascii="Arial" w:cs="Arial" w:eastAsia="Arial" w:hAnsi="Arial"/>
                <w:b/>
                <w:bCs/>
                <w:color w:val="404040"/>
                <w:sz w:val="20"/>
                <w:szCs w:val="20"/>
              </w:rPr>
              <w:t xml:space="preserve">Data Investigation</w:t>
            </w:r>
          </w:p>
        </w:tc>
        <w:tc>
          <w:tcPr>
            <w:tcW w:type="dxa" w:w="4360"/>
            <w:tcBorders>
              <w:top w:val="single" w:color="BBBBBB" w:sz="1"/>
              <w:left w:val="single" w:color="BBBBBB" w:sz="1"/>
              <w:bottom w:val="single" w:color="BBBBBB" w:sz="1"/>
              <w:right w:val="single" w:color="BBBBBB" w:sz="1"/>
            </w:tcBorders>
            <w:shd w:fill="EEF4FB" w:val="clear"/>
            <w:tcMar>
              <w:top w:type="dxa" w:w="80"/>
              <w:left w:type="dxa" w:w="130"/>
              <w:bottom w:type="dxa" w:w="80"/>
              <w:right w:type="dxa" w:w="130"/>
            </w:tcMar>
          </w:tcPr>
          <w:p>
            <w:pPr>
              <w:jc w:val="left"/>
            </w:pPr>
            <w:r>
              <w:rPr>
                <w:rFonts w:ascii="Arial" w:cs="Arial" w:eastAsia="Arial" w:hAnsi="Arial"/>
                <w:b w:val="false"/>
                <w:bCs w:val="false"/>
                <w:color w:val="404040"/>
                <w:sz w:val="20"/>
                <w:szCs w:val="20"/>
              </w:rPr>
              <w:t xml:space="preserve">Examine training data and fine-tuning data for patterns that may have contributed to the failure; review system prompt versions in production at incident time; assess whether data drift contributed.</w:t>
            </w:r>
          </w:p>
        </w:tc>
        <w:tc>
          <w:tcPr>
            <w:tcW w:type="dxa" w:w="3000"/>
            <w:tcBorders>
              <w:top w:val="single" w:color="BBBBBB" w:sz="1"/>
              <w:left w:val="single" w:color="BBBBBB" w:sz="1"/>
              <w:bottom w:val="single" w:color="BBBBBB" w:sz="1"/>
              <w:right w:val="single" w:color="BBBBBB" w:sz="1"/>
            </w:tcBorders>
            <w:shd w:fill="EEF4FB" w:val="clear"/>
            <w:tcMar>
              <w:top w:type="dxa" w:w="80"/>
              <w:left w:type="dxa" w:w="130"/>
              <w:bottom w:type="dxa" w:w="80"/>
              <w:right w:type="dxa" w:w="130"/>
            </w:tcMar>
          </w:tcPr>
          <w:p>
            <w:pPr>
              <w:jc w:val="left"/>
            </w:pPr>
            <w:r>
              <w:rPr>
                <w:rFonts w:ascii="Arial" w:cs="Arial" w:eastAsia="Arial" w:hAnsi="Arial"/>
                <w:b w:val="false"/>
                <w:bCs w:val="false"/>
                <w:color w:val="404040"/>
                <w:sz w:val="20"/>
                <w:szCs w:val="20"/>
              </w:rPr>
              <w:t xml:space="preserve">Data Steward</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pPr>
              <w:jc w:val="left"/>
            </w:pPr>
            <w:r>
              <w:rPr>
                <w:rFonts w:ascii="Arial" w:cs="Arial" w:eastAsia="Arial" w:hAnsi="Arial"/>
                <w:b/>
                <w:bCs/>
                <w:color w:val="404040"/>
                <w:sz w:val="20"/>
                <w:szCs w:val="20"/>
              </w:rPr>
              <w:t xml:space="preserve">Security Forensics</w:t>
            </w:r>
          </w:p>
        </w:tc>
        <w:tc>
          <w:tcPr>
            <w:tcW w:type="dxa" w:w="43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pPr>
              <w:jc w:val="left"/>
            </w:pPr>
            <w:r>
              <w:rPr>
                <w:rFonts w:ascii="Arial" w:cs="Arial" w:eastAsia="Arial" w:hAnsi="Arial"/>
                <w:b w:val="false"/>
                <w:bCs w:val="false"/>
                <w:color w:val="404040"/>
                <w:sz w:val="20"/>
                <w:szCs w:val="20"/>
              </w:rPr>
              <w:t xml:space="preserve">Review AWS CloudTrail logs; identify source IPs and API keys involved; assess whether the incident was the result of an adversarial attack or internal misuse; determine data exposure scope.</w:t>
            </w:r>
          </w:p>
        </w:tc>
        <w:tc>
          <w:tcPr>
            <w:tcW w:type="dxa" w:w="30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pPr>
              <w:jc w:val="left"/>
            </w:pPr>
            <w:r>
              <w:rPr>
                <w:rFonts w:ascii="Arial" w:cs="Arial" w:eastAsia="Arial" w:hAnsi="Arial"/>
                <w:b w:val="false"/>
                <w:bCs w:val="false"/>
                <w:color w:val="404040"/>
                <w:sz w:val="20"/>
                <w:szCs w:val="20"/>
              </w:rPr>
              <w:t xml:space="preserve">Security Lead</w:t>
            </w:r>
          </w:p>
        </w:tc>
      </w:tr>
      <w:tr>
        <w:tc>
          <w:tcPr>
            <w:tcW w:type="dxa" w:w="2000"/>
            <w:tcBorders>
              <w:top w:val="single" w:color="BBBBBB" w:sz="1"/>
              <w:left w:val="single" w:color="BBBBBB" w:sz="1"/>
              <w:bottom w:val="single" w:color="BBBBBB" w:sz="1"/>
              <w:right w:val="single" w:color="BBBBBB" w:sz="1"/>
            </w:tcBorders>
            <w:shd w:fill="EEF4FB" w:val="clear"/>
            <w:tcMar>
              <w:top w:type="dxa" w:w="80"/>
              <w:left w:type="dxa" w:w="130"/>
              <w:bottom w:type="dxa" w:w="80"/>
              <w:right w:type="dxa" w:w="130"/>
            </w:tcMar>
          </w:tcPr>
          <w:p>
            <w:pPr>
              <w:jc w:val="left"/>
            </w:pPr>
            <w:r>
              <w:rPr>
                <w:rFonts w:ascii="Arial" w:cs="Arial" w:eastAsia="Arial" w:hAnsi="Arial"/>
                <w:b/>
                <w:bCs/>
                <w:color w:val="404040"/>
                <w:sz w:val="20"/>
                <w:szCs w:val="20"/>
              </w:rPr>
              <w:t xml:space="preserve">Impact Assessment</w:t>
            </w:r>
          </w:p>
        </w:tc>
        <w:tc>
          <w:tcPr>
            <w:tcW w:type="dxa" w:w="4360"/>
            <w:tcBorders>
              <w:top w:val="single" w:color="BBBBBB" w:sz="1"/>
              <w:left w:val="single" w:color="BBBBBB" w:sz="1"/>
              <w:bottom w:val="single" w:color="BBBBBB" w:sz="1"/>
              <w:right w:val="single" w:color="BBBBBB" w:sz="1"/>
            </w:tcBorders>
            <w:shd w:fill="EEF4FB" w:val="clear"/>
            <w:tcMar>
              <w:top w:type="dxa" w:w="80"/>
              <w:left w:type="dxa" w:w="130"/>
              <w:bottom w:type="dxa" w:w="80"/>
              <w:right w:type="dxa" w:w="130"/>
            </w:tcMar>
          </w:tcPr>
          <w:p>
            <w:pPr>
              <w:jc w:val="left"/>
            </w:pPr>
            <w:r>
              <w:rPr>
                <w:rFonts w:ascii="Arial" w:cs="Arial" w:eastAsia="Arial" w:hAnsi="Arial"/>
                <w:b w:val="false"/>
                <w:bCs w:val="false"/>
                <w:color w:val="404040"/>
                <w:sz w:val="20"/>
                <w:szCs w:val="20"/>
              </w:rPr>
              <w:t xml:space="preserve">Identify all affected customers and outputs; quantify volume of harmful outputs generated or data exposed; assess whether harmful content reached publication in customer campaigns.</w:t>
            </w:r>
          </w:p>
        </w:tc>
        <w:tc>
          <w:tcPr>
            <w:tcW w:type="dxa" w:w="3000"/>
            <w:tcBorders>
              <w:top w:val="single" w:color="BBBBBB" w:sz="1"/>
              <w:left w:val="single" w:color="BBBBBB" w:sz="1"/>
              <w:bottom w:val="single" w:color="BBBBBB" w:sz="1"/>
              <w:right w:val="single" w:color="BBBBBB" w:sz="1"/>
            </w:tcBorders>
            <w:shd w:fill="EEF4FB" w:val="clear"/>
            <w:tcMar>
              <w:top w:type="dxa" w:w="80"/>
              <w:left w:type="dxa" w:w="130"/>
              <w:bottom w:type="dxa" w:w="80"/>
              <w:right w:type="dxa" w:w="130"/>
            </w:tcMar>
          </w:tcPr>
          <w:p>
            <w:pPr>
              <w:jc w:val="left"/>
            </w:pPr>
            <w:r>
              <w:rPr>
                <w:rFonts w:ascii="Arial" w:cs="Arial" w:eastAsia="Arial" w:hAnsi="Arial"/>
                <w:b w:val="false"/>
                <w:bCs w:val="false"/>
                <w:color w:val="404040"/>
                <w:sz w:val="20"/>
                <w:szCs w:val="20"/>
              </w:rPr>
              <w:t xml:space="preserve">IC + Communications Lead</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pPr>
              <w:jc w:val="left"/>
            </w:pPr>
            <w:r>
              <w:rPr>
                <w:rFonts w:ascii="Arial" w:cs="Arial" w:eastAsia="Arial" w:hAnsi="Arial"/>
                <w:b/>
                <w:bCs/>
                <w:color w:val="404040"/>
                <w:sz w:val="20"/>
                <w:szCs w:val="20"/>
              </w:rPr>
              <w:t xml:space="preserve">Regulatory Exposure Assessment</w:t>
            </w:r>
          </w:p>
        </w:tc>
        <w:tc>
          <w:tcPr>
            <w:tcW w:type="dxa" w:w="43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pPr>
              <w:jc w:val="left"/>
            </w:pPr>
            <w:r>
              <w:rPr>
                <w:rFonts w:ascii="Arial" w:cs="Arial" w:eastAsia="Arial" w:hAnsi="Arial"/>
                <w:b w:val="false"/>
                <w:bCs w:val="false"/>
                <w:color w:val="404040"/>
                <w:sz w:val="20"/>
                <w:szCs w:val="20"/>
              </w:rPr>
              <w:t xml:space="preserve">Assess GDPR notification obligations; assess EU AI Act serious incident reporting obligations; identify any other applicable regulatory disclosure requirements.</w:t>
            </w:r>
          </w:p>
        </w:tc>
        <w:tc>
          <w:tcPr>
            <w:tcW w:type="dxa" w:w="30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pPr>
              <w:jc w:val="left"/>
            </w:pPr>
            <w:r>
              <w:rPr>
                <w:rFonts w:ascii="Arial" w:cs="Arial" w:eastAsia="Arial" w:hAnsi="Arial"/>
                <w:b w:val="false"/>
                <w:bCs w:val="false"/>
                <w:color w:val="404040"/>
                <w:sz w:val="20"/>
                <w:szCs w:val="20"/>
              </w:rPr>
              <w:t xml:space="preserve">Data Privacy Lead + Legal Counsel</w:t>
            </w:r>
          </w:p>
        </w:tc>
      </w:tr>
    </w:tbl>
    <w:p>
      <w:pPr>
        <w:spacing w:after="160"/>
      </w:pPr>
      <w:r>
        <w:t xml:space="preserve"/>
      </w:r>
    </w:p>
    <w:p>
      <w:pPr>
        <w:pStyle w:val="Heading3"/>
        <w:spacing w:before="180" w:after="100"/>
      </w:pPr>
      <w:r>
        <w:rPr>
          <w:rFonts w:ascii="Arial" w:cs="Arial" w:eastAsia="Arial" w:hAnsi="Arial"/>
          <w:b/>
          <w:bCs/>
          <w:color w:val="2E75B6"/>
          <w:sz w:val="23"/>
          <w:szCs w:val="23"/>
        </w:rPr>
        <w:t xml:space="preserve">4.4.2  Root Cause Classification</w:t>
      </w:r>
    </w:p>
    <w:p>
      <w:pPr>
        <w:spacing w:after="120" w:line="276"/>
      </w:pPr>
      <w:r>
        <w:rPr>
          <w:rFonts w:ascii="Arial" w:cs="Arial" w:eastAsia="Arial" w:hAnsi="Arial"/>
          <w:i w:val="false"/>
          <w:iCs w:val="false"/>
          <w:color w:val="404040"/>
          <w:sz w:val="22"/>
          <w:szCs w:val="22"/>
        </w:rPr>
        <w:t xml:space="preserve">Root causes shall be classified using the following taxonomy to enable trend analysis across incidents: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5360"/>
      </w:tblGrid>
      <w:tr>
        <w:tc>
          <w:tcPr>
            <w:tcW w:type="dxa" w:w="1200"/>
            <w:tcBorders>
              <w:top w:val="single" w:color="2E75B6" w:sz="1"/>
              <w:left w:val="single" w:color="2E75B6" w:sz="1"/>
              <w:bottom w:val="single" w:color="2E75B6" w:sz="1"/>
              <w:right w:val="single" w:color="2E75B6" w:sz="1"/>
            </w:tcBorders>
            <w:shd w:fill="1F3864" w:val="clear"/>
            <w:tcMar>
              <w:top w:type="dxa" w:w="100"/>
              <w:left w:type="dxa" w:w="130"/>
              <w:bottom w:type="dxa" w:w="100"/>
              <w:right w:type="dxa" w:w="130"/>
            </w:tcMar>
            <w:vAlign w:val="center"/>
          </w:tcPr>
          <w:p>
            <w:pPr>
              <w:jc w:val="center"/>
            </w:pPr>
            <w:r>
              <w:rPr>
                <w:rFonts w:ascii="Arial" w:cs="Arial" w:eastAsia="Arial" w:hAnsi="Arial"/>
                <w:b/>
                <w:bCs/>
                <w:color w:val="FFFFFF"/>
                <w:sz w:val="20"/>
                <w:szCs w:val="20"/>
              </w:rPr>
              <w:t xml:space="preserve">Code</w:t>
            </w:r>
          </w:p>
        </w:tc>
        <w:tc>
          <w:tcPr>
            <w:tcW w:type="dxa" w:w="2800"/>
            <w:tcBorders>
              <w:top w:val="single" w:color="2E75B6" w:sz="1"/>
              <w:left w:val="single" w:color="2E75B6" w:sz="1"/>
              <w:bottom w:val="single" w:color="2E75B6" w:sz="1"/>
              <w:right w:val="single" w:color="2E75B6" w:sz="1"/>
            </w:tcBorders>
            <w:shd w:fill="1F3864" w:val="clear"/>
            <w:tcMar>
              <w:top w:type="dxa" w:w="100"/>
              <w:left w:type="dxa" w:w="130"/>
              <w:bottom w:type="dxa" w:w="100"/>
              <w:right w:type="dxa" w:w="130"/>
            </w:tcMar>
            <w:vAlign w:val="center"/>
          </w:tcPr>
          <w:p>
            <w:pPr>
              <w:jc w:val="center"/>
            </w:pPr>
            <w:r>
              <w:rPr>
                <w:rFonts w:ascii="Arial" w:cs="Arial" w:eastAsia="Arial" w:hAnsi="Arial"/>
                <w:b/>
                <w:bCs/>
                <w:color w:val="FFFFFF"/>
                <w:sz w:val="20"/>
                <w:szCs w:val="20"/>
              </w:rPr>
              <w:t xml:space="preserve">Root Cause Category</w:t>
            </w:r>
          </w:p>
        </w:tc>
        <w:tc>
          <w:tcPr>
            <w:tcW w:type="dxa" w:w="5360"/>
            <w:tcBorders>
              <w:top w:val="single" w:color="2E75B6" w:sz="1"/>
              <w:left w:val="single" w:color="2E75B6" w:sz="1"/>
              <w:bottom w:val="single" w:color="2E75B6" w:sz="1"/>
              <w:right w:val="single" w:color="2E75B6" w:sz="1"/>
            </w:tcBorders>
            <w:shd w:fill="1F3864" w:val="clear"/>
            <w:tcMar>
              <w:top w:type="dxa" w:w="100"/>
              <w:left w:type="dxa" w:w="130"/>
              <w:bottom w:type="dxa" w:w="100"/>
              <w:right w:type="dxa" w:w="130"/>
            </w:tcMar>
            <w:vAlign w:val="center"/>
          </w:tcPr>
          <w:p>
            <w:pPr>
              <w:jc w:val="center"/>
            </w:pPr>
            <w:r>
              <w:rPr>
                <w:rFonts w:ascii="Arial" w:cs="Arial" w:eastAsia="Arial" w:hAnsi="Arial"/>
                <w:b/>
                <w:bCs/>
                <w:color w:val="FFFFFF"/>
                <w:sz w:val="20"/>
                <w:szCs w:val="20"/>
              </w:rPr>
              <w:t xml:space="preserve">Examples</w:t>
            </w:r>
          </w:p>
        </w:tc>
      </w:tr>
      <w:tr>
        <w:tc>
          <w:tcPr>
            <w:tcW w:type="dxa" w:w="12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pPr>
              <w:jc w:val="center"/>
            </w:pPr>
            <w:r>
              <w:rPr>
                <w:rFonts w:ascii="Arial" w:cs="Arial" w:eastAsia="Arial" w:hAnsi="Arial"/>
                <w:b/>
                <w:bCs/>
                <w:color w:val="404040"/>
                <w:sz w:val="20"/>
                <w:szCs w:val="20"/>
              </w:rPr>
              <w:t xml:space="preserve">RC-01</w:t>
            </w:r>
          </w:p>
        </w:tc>
        <w:tc>
          <w:tcPr>
            <w:tcW w:type="dxa" w:w="28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pPr>
              <w:jc w:val="left"/>
            </w:pPr>
            <w:r>
              <w:rPr>
                <w:rFonts w:ascii="Arial" w:cs="Arial" w:eastAsia="Arial" w:hAnsi="Arial"/>
                <w:b/>
                <w:bCs/>
                <w:color w:val="404040"/>
                <w:sz w:val="20"/>
                <w:szCs w:val="20"/>
              </w:rPr>
              <w:t xml:space="preserve">Model / Algorithm Failure</w:t>
            </w:r>
          </w:p>
        </w:tc>
        <w:tc>
          <w:tcPr>
            <w:tcW w:type="dxa" w:w="53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pPr>
              <w:jc w:val="left"/>
            </w:pPr>
            <w:r>
              <w:rPr>
                <w:rFonts w:ascii="Arial" w:cs="Arial" w:eastAsia="Arial" w:hAnsi="Arial"/>
                <w:b w:val="false"/>
                <w:bCs w:val="false"/>
                <w:color w:val="404040"/>
                <w:sz w:val="20"/>
                <w:szCs w:val="20"/>
              </w:rPr>
              <w:t xml:space="preserve">Hallucination; unexpected generalisation; emergent harmful capability not identified in testing.</w:t>
            </w:r>
          </w:p>
        </w:tc>
      </w:tr>
      <w:tr>
        <w:tc>
          <w:tcPr>
            <w:tcW w:type="dxa" w:w="1200"/>
            <w:tcBorders>
              <w:top w:val="single" w:color="BBBBBB" w:sz="1"/>
              <w:left w:val="single" w:color="BBBBBB" w:sz="1"/>
              <w:bottom w:val="single" w:color="BBBBBB" w:sz="1"/>
              <w:right w:val="single" w:color="BBBBBB" w:sz="1"/>
            </w:tcBorders>
            <w:shd w:fill="EEF4FB" w:val="clear"/>
            <w:tcMar>
              <w:top w:type="dxa" w:w="80"/>
              <w:left w:type="dxa" w:w="130"/>
              <w:bottom w:type="dxa" w:w="80"/>
              <w:right w:type="dxa" w:w="130"/>
            </w:tcMar>
          </w:tcPr>
          <w:p>
            <w:pPr>
              <w:jc w:val="center"/>
            </w:pPr>
            <w:r>
              <w:rPr>
                <w:rFonts w:ascii="Arial" w:cs="Arial" w:eastAsia="Arial" w:hAnsi="Arial"/>
                <w:b/>
                <w:bCs/>
                <w:color w:val="404040"/>
                <w:sz w:val="20"/>
                <w:szCs w:val="20"/>
              </w:rPr>
              <w:t xml:space="preserve">RC-02</w:t>
            </w:r>
          </w:p>
        </w:tc>
        <w:tc>
          <w:tcPr>
            <w:tcW w:type="dxa" w:w="2800"/>
            <w:tcBorders>
              <w:top w:val="single" w:color="BBBBBB" w:sz="1"/>
              <w:left w:val="single" w:color="BBBBBB" w:sz="1"/>
              <w:bottom w:val="single" w:color="BBBBBB" w:sz="1"/>
              <w:right w:val="single" w:color="BBBBBB" w:sz="1"/>
            </w:tcBorders>
            <w:shd w:fill="EEF4FB" w:val="clear"/>
            <w:tcMar>
              <w:top w:type="dxa" w:w="80"/>
              <w:left w:type="dxa" w:w="130"/>
              <w:bottom w:type="dxa" w:w="80"/>
              <w:right w:type="dxa" w:w="130"/>
            </w:tcMar>
          </w:tcPr>
          <w:p>
            <w:pPr>
              <w:jc w:val="left"/>
            </w:pPr>
            <w:r>
              <w:rPr>
                <w:rFonts w:ascii="Arial" w:cs="Arial" w:eastAsia="Arial" w:hAnsi="Arial"/>
                <w:b/>
                <w:bCs/>
                <w:color w:val="404040"/>
                <w:sz w:val="20"/>
                <w:szCs w:val="20"/>
              </w:rPr>
              <w:t xml:space="preserve">Training / Fine-Tuning Data Issue</w:t>
            </w:r>
          </w:p>
        </w:tc>
        <w:tc>
          <w:tcPr>
            <w:tcW w:type="dxa" w:w="5360"/>
            <w:tcBorders>
              <w:top w:val="single" w:color="BBBBBB" w:sz="1"/>
              <w:left w:val="single" w:color="BBBBBB" w:sz="1"/>
              <w:bottom w:val="single" w:color="BBBBBB" w:sz="1"/>
              <w:right w:val="single" w:color="BBBBBB" w:sz="1"/>
            </w:tcBorders>
            <w:shd w:fill="EEF4FB" w:val="clear"/>
            <w:tcMar>
              <w:top w:type="dxa" w:w="80"/>
              <w:left w:type="dxa" w:w="130"/>
              <w:bottom w:type="dxa" w:w="80"/>
              <w:right w:type="dxa" w:w="130"/>
            </w:tcMar>
          </w:tcPr>
          <w:p>
            <w:pPr>
              <w:jc w:val="left"/>
            </w:pPr>
            <w:r>
              <w:rPr>
                <w:rFonts w:ascii="Arial" w:cs="Arial" w:eastAsia="Arial" w:hAnsi="Arial"/>
                <w:b w:val="false"/>
                <w:bCs w:val="false"/>
                <w:color w:val="404040"/>
                <w:sz w:val="20"/>
                <w:szCs w:val="20"/>
              </w:rPr>
              <w:t xml:space="preserve">Biased training data; data poisoning; out-of-distribution inputs not covered in training.</w:t>
            </w:r>
          </w:p>
        </w:tc>
      </w:tr>
      <w:tr>
        <w:tc>
          <w:tcPr>
            <w:tcW w:type="dxa" w:w="12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pPr>
              <w:jc w:val="center"/>
            </w:pPr>
            <w:r>
              <w:rPr>
                <w:rFonts w:ascii="Arial" w:cs="Arial" w:eastAsia="Arial" w:hAnsi="Arial"/>
                <w:b/>
                <w:bCs/>
                <w:color w:val="404040"/>
                <w:sz w:val="20"/>
                <w:szCs w:val="20"/>
              </w:rPr>
              <w:t xml:space="preserve">RC-03</w:t>
            </w:r>
          </w:p>
        </w:tc>
        <w:tc>
          <w:tcPr>
            <w:tcW w:type="dxa" w:w="28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pPr>
              <w:jc w:val="left"/>
            </w:pPr>
            <w:r>
              <w:rPr>
                <w:rFonts w:ascii="Arial" w:cs="Arial" w:eastAsia="Arial" w:hAnsi="Arial"/>
                <w:b/>
                <w:bCs/>
                <w:color w:val="404040"/>
                <w:sz w:val="20"/>
                <w:szCs w:val="20"/>
              </w:rPr>
              <w:t xml:space="preserve">Prompt / System Design Failure</w:t>
            </w:r>
          </w:p>
        </w:tc>
        <w:tc>
          <w:tcPr>
            <w:tcW w:type="dxa" w:w="53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pPr>
              <w:jc w:val="left"/>
            </w:pPr>
            <w:r>
              <w:rPr>
                <w:rFonts w:ascii="Arial" w:cs="Arial" w:eastAsia="Arial" w:hAnsi="Arial"/>
                <w:b w:val="false"/>
                <w:bCs w:val="false"/>
                <w:color w:val="404040"/>
                <w:sz w:val="20"/>
                <w:szCs w:val="20"/>
              </w:rPr>
              <w:t xml:space="preserve">Inadequate guardrails in system prompt; jailbreak not covered by red-team testing; ambiguous instructions.</w:t>
            </w:r>
          </w:p>
        </w:tc>
      </w:tr>
      <w:tr>
        <w:tc>
          <w:tcPr>
            <w:tcW w:type="dxa" w:w="1200"/>
            <w:tcBorders>
              <w:top w:val="single" w:color="BBBBBB" w:sz="1"/>
              <w:left w:val="single" w:color="BBBBBB" w:sz="1"/>
              <w:bottom w:val="single" w:color="BBBBBB" w:sz="1"/>
              <w:right w:val="single" w:color="BBBBBB" w:sz="1"/>
            </w:tcBorders>
            <w:shd w:fill="EEF4FB" w:val="clear"/>
            <w:tcMar>
              <w:top w:type="dxa" w:w="80"/>
              <w:left w:type="dxa" w:w="130"/>
              <w:bottom w:type="dxa" w:w="80"/>
              <w:right w:type="dxa" w:w="130"/>
            </w:tcMar>
          </w:tcPr>
          <w:p>
            <w:pPr>
              <w:jc w:val="center"/>
            </w:pPr>
            <w:r>
              <w:rPr>
                <w:rFonts w:ascii="Arial" w:cs="Arial" w:eastAsia="Arial" w:hAnsi="Arial"/>
                <w:b/>
                <w:bCs/>
                <w:color w:val="404040"/>
                <w:sz w:val="20"/>
                <w:szCs w:val="20"/>
              </w:rPr>
              <w:t xml:space="preserve">RC-04</w:t>
            </w:r>
          </w:p>
        </w:tc>
        <w:tc>
          <w:tcPr>
            <w:tcW w:type="dxa" w:w="2800"/>
            <w:tcBorders>
              <w:top w:val="single" w:color="BBBBBB" w:sz="1"/>
              <w:left w:val="single" w:color="BBBBBB" w:sz="1"/>
              <w:bottom w:val="single" w:color="BBBBBB" w:sz="1"/>
              <w:right w:val="single" w:color="BBBBBB" w:sz="1"/>
            </w:tcBorders>
            <w:shd w:fill="EEF4FB" w:val="clear"/>
            <w:tcMar>
              <w:top w:type="dxa" w:w="80"/>
              <w:left w:type="dxa" w:w="130"/>
              <w:bottom w:type="dxa" w:w="80"/>
              <w:right w:type="dxa" w:w="130"/>
            </w:tcMar>
          </w:tcPr>
          <w:p>
            <w:pPr>
              <w:jc w:val="left"/>
            </w:pPr>
            <w:r>
              <w:rPr>
                <w:rFonts w:ascii="Arial" w:cs="Arial" w:eastAsia="Arial" w:hAnsi="Arial"/>
                <w:b/>
                <w:bCs/>
                <w:color w:val="404040"/>
                <w:sz w:val="20"/>
                <w:szCs w:val="20"/>
              </w:rPr>
              <w:t xml:space="preserve">Infrastructure / Platform Failure</w:t>
            </w:r>
          </w:p>
        </w:tc>
        <w:tc>
          <w:tcPr>
            <w:tcW w:type="dxa" w:w="5360"/>
            <w:tcBorders>
              <w:top w:val="single" w:color="BBBBBB" w:sz="1"/>
              <w:left w:val="single" w:color="BBBBBB" w:sz="1"/>
              <w:bottom w:val="single" w:color="BBBBBB" w:sz="1"/>
              <w:right w:val="single" w:color="BBBBBB" w:sz="1"/>
            </w:tcBorders>
            <w:shd w:fill="EEF4FB" w:val="clear"/>
            <w:tcMar>
              <w:top w:type="dxa" w:w="80"/>
              <w:left w:type="dxa" w:w="130"/>
              <w:bottom w:type="dxa" w:w="80"/>
              <w:right w:type="dxa" w:w="130"/>
            </w:tcMar>
          </w:tcPr>
          <w:p>
            <w:pPr>
              <w:jc w:val="left"/>
            </w:pPr>
            <w:r>
              <w:rPr>
                <w:rFonts w:ascii="Arial" w:cs="Arial" w:eastAsia="Arial" w:hAnsi="Arial"/>
                <w:b w:val="false"/>
                <w:bCs w:val="false"/>
                <w:color w:val="404040"/>
                <w:sz w:val="20"/>
                <w:szCs w:val="20"/>
              </w:rPr>
              <w:t xml:space="preserve">AWS service degradation; misconfigured endpoint; content filter service unavailability.</w:t>
            </w:r>
          </w:p>
        </w:tc>
      </w:tr>
      <w:tr>
        <w:tc>
          <w:tcPr>
            <w:tcW w:type="dxa" w:w="12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pPr>
              <w:jc w:val="center"/>
            </w:pPr>
            <w:r>
              <w:rPr>
                <w:rFonts w:ascii="Arial" w:cs="Arial" w:eastAsia="Arial" w:hAnsi="Arial"/>
                <w:b/>
                <w:bCs/>
                <w:color w:val="404040"/>
                <w:sz w:val="20"/>
                <w:szCs w:val="20"/>
              </w:rPr>
              <w:t xml:space="preserve">RC-05</w:t>
            </w:r>
          </w:p>
        </w:tc>
        <w:tc>
          <w:tcPr>
            <w:tcW w:type="dxa" w:w="28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pPr>
              <w:jc w:val="left"/>
            </w:pPr>
            <w:r>
              <w:rPr>
                <w:rFonts w:ascii="Arial" w:cs="Arial" w:eastAsia="Arial" w:hAnsi="Arial"/>
                <w:b/>
                <w:bCs/>
                <w:color w:val="404040"/>
                <w:sz w:val="20"/>
                <w:szCs w:val="20"/>
              </w:rPr>
              <w:t xml:space="preserve">Adversarial Attack</w:t>
            </w:r>
          </w:p>
        </w:tc>
        <w:tc>
          <w:tcPr>
            <w:tcW w:type="dxa" w:w="53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pPr>
              <w:jc w:val="left"/>
            </w:pPr>
            <w:r>
              <w:rPr>
                <w:rFonts w:ascii="Arial" w:cs="Arial" w:eastAsia="Arial" w:hAnsi="Arial"/>
                <w:b w:val="false"/>
                <w:bCs w:val="false"/>
                <w:color w:val="404040"/>
                <w:sz w:val="20"/>
                <w:szCs w:val="20"/>
              </w:rPr>
              <w:t xml:space="preserve">Successful prompt injection; model inversion attempt; account compromise enabling misuse.</w:t>
            </w:r>
          </w:p>
        </w:tc>
      </w:tr>
      <w:tr>
        <w:tc>
          <w:tcPr>
            <w:tcW w:type="dxa" w:w="1200"/>
            <w:tcBorders>
              <w:top w:val="single" w:color="BBBBBB" w:sz="1"/>
              <w:left w:val="single" w:color="BBBBBB" w:sz="1"/>
              <w:bottom w:val="single" w:color="BBBBBB" w:sz="1"/>
              <w:right w:val="single" w:color="BBBBBB" w:sz="1"/>
            </w:tcBorders>
            <w:shd w:fill="EEF4FB" w:val="clear"/>
            <w:tcMar>
              <w:top w:type="dxa" w:w="80"/>
              <w:left w:type="dxa" w:w="130"/>
              <w:bottom w:type="dxa" w:w="80"/>
              <w:right w:type="dxa" w:w="130"/>
            </w:tcMar>
          </w:tcPr>
          <w:p>
            <w:pPr>
              <w:jc w:val="center"/>
            </w:pPr>
            <w:r>
              <w:rPr>
                <w:rFonts w:ascii="Arial" w:cs="Arial" w:eastAsia="Arial" w:hAnsi="Arial"/>
                <w:b/>
                <w:bCs/>
                <w:color w:val="404040"/>
                <w:sz w:val="20"/>
                <w:szCs w:val="20"/>
              </w:rPr>
              <w:t xml:space="preserve">RC-06</w:t>
            </w:r>
          </w:p>
        </w:tc>
        <w:tc>
          <w:tcPr>
            <w:tcW w:type="dxa" w:w="2800"/>
            <w:tcBorders>
              <w:top w:val="single" w:color="BBBBBB" w:sz="1"/>
              <w:left w:val="single" w:color="BBBBBB" w:sz="1"/>
              <w:bottom w:val="single" w:color="BBBBBB" w:sz="1"/>
              <w:right w:val="single" w:color="BBBBBB" w:sz="1"/>
            </w:tcBorders>
            <w:shd w:fill="EEF4FB" w:val="clear"/>
            <w:tcMar>
              <w:top w:type="dxa" w:w="80"/>
              <w:left w:type="dxa" w:w="130"/>
              <w:bottom w:type="dxa" w:w="80"/>
              <w:right w:type="dxa" w:w="130"/>
            </w:tcMar>
          </w:tcPr>
          <w:p>
            <w:pPr>
              <w:jc w:val="left"/>
            </w:pPr>
            <w:r>
              <w:rPr>
                <w:rFonts w:ascii="Arial" w:cs="Arial" w:eastAsia="Arial" w:hAnsi="Arial"/>
                <w:b/>
                <w:bCs/>
                <w:color w:val="404040"/>
                <w:sz w:val="20"/>
                <w:szCs w:val="20"/>
              </w:rPr>
              <w:t xml:space="preserve">Process / Governance Failure</w:t>
            </w:r>
          </w:p>
        </w:tc>
        <w:tc>
          <w:tcPr>
            <w:tcW w:type="dxa" w:w="5360"/>
            <w:tcBorders>
              <w:top w:val="single" w:color="BBBBBB" w:sz="1"/>
              <w:left w:val="single" w:color="BBBBBB" w:sz="1"/>
              <w:bottom w:val="single" w:color="BBBBBB" w:sz="1"/>
              <w:right w:val="single" w:color="BBBBBB" w:sz="1"/>
            </w:tcBorders>
            <w:shd w:fill="EEF4FB" w:val="clear"/>
            <w:tcMar>
              <w:top w:type="dxa" w:w="80"/>
              <w:left w:type="dxa" w:w="130"/>
              <w:bottom w:type="dxa" w:w="80"/>
              <w:right w:type="dxa" w:w="130"/>
            </w:tcMar>
          </w:tcPr>
          <w:p>
            <w:pPr>
              <w:jc w:val="left"/>
            </w:pPr>
            <w:r>
              <w:rPr>
                <w:rFonts w:ascii="Arial" w:cs="Arial" w:eastAsia="Arial" w:hAnsi="Arial"/>
                <w:b w:val="false"/>
                <w:bCs w:val="false"/>
                <w:color w:val="404040"/>
                <w:sz w:val="20"/>
                <w:szCs w:val="20"/>
              </w:rPr>
              <w:t xml:space="preserve">Inadequate pre-deployment testing; insufficient monitoring; unclear escalation path.</w:t>
            </w:r>
          </w:p>
        </w:tc>
      </w:tr>
      <w:tr>
        <w:tc>
          <w:tcPr>
            <w:tcW w:type="dxa" w:w="12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pPr>
              <w:jc w:val="center"/>
            </w:pPr>
            <w:r>
              <w:rPr>
                <w:rFonts w:ascii="Arial" w:cs="Arial" w:eastAsia="Arial" w:hAnsi="Arial"/>
                <w:b/>
                <w:bCs/>
                <w:color w:val="404040"/>
                <w:sz w:val="20"/>
                <w:szCs w:val="20"/>
              </w:rPr>
              <w:t xml:space="preserve">RC-07</w:t>
            </w:r>
          </w:p>
        </w:tc>
        <w:tc>
          <w:tcPr>
            <w:tcW w:type="dxa" w:w="28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pPr>
              <w:jc w:val="left"/>
            </w:pPr>
            <w:r>
              <w:rPr>
                <w:rFonts w:ascii="Arial" w:cs="Arial" w:eastAsia="Arial" w:hAnsi="Arial"/>
                <w:b/>
                <w:bCs/>
                <w:color w:val="404040"/>
                <w:sz w:val="20"/>
                <w:szCs w:val="20"/>
              </w:rPr>
              <w:t xml:space="preserve">Third-Party / Supply Chain</w:t>
            </w:r>
          </w:p>
        </w:tc>
        <w:tc>
          <w:tcPr>
            <w:tcW w:type="dxa" w:w="53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pPr>
              <w:jc w:val="left"/>
            </w:pPr>
            <w:r>
              <w:rPr>
                <w:rFonts w:ascii="Arial" w:cs="Arial" w:eastAsia="Arial" w:hAnsi="Arial"/>
                <w:b w:val="false"/>
                <w:bCs w:val="false"/>
                <w:color w:val="404040"/>
                <w:sz w:val="20"/>
                <w:szCs w:val="20"/>
              </w:rPr>
              <w:t xml:space="preserve">Base model update introducing regression; third-party API (Perspective API) unavailability; upstream dataset issue.</w:t>
            </w:r>
          </w:p>
        </w:tc>
      </w:tr>
      <w:tr>
        <w:tc>
          <w:tcPr>
            <w:tcW w:type="dxa" w:w="1200"/>
            <w:tcBorders>
              <w:top w:val="single" w:color="BBBBBB" w:sz="1"/>
              <w:left w:val="single" w:color="BBBBBB" w:sz="1"/>
              <w:bottom w:val="single" w:color="BBBBBB" w:sz="1"/>
              <w:right w:val="single" w:color="BBBBBB" w:sz="1"/>
            </w:tcBorders>
            <w:shd w:fill="EEF4FB" w:val="clear"/>
            <w:tcMar>
              <w:top w:type="dxa" w:w="80"/>
              <w:left w:type="dxa" w:w="130"/>
              <w:bottom w:type="dxa" w:w="80"/>
              <w:right w:type="dxa" w:w="130"/>
            </w:tcMar>
          </w:tcPr>
          <w:p>
            <w:pPr>
              <w:jc w:val="center"/>
            </w:pPr>
            <w:r>
              <w:rPr>
                <w:rFonts w:ascii="Arial" w:cs="Arial" w:eastAsia="Arial" w:hAnsi="Arial"/>
                <w:b/>
                <w:bCs/>
                <w:color w:val="404040"/>
                <w:sz w:val="20"/>
                <w:szCs w:val="20"/>
              </w:rPr>
              <w:t xml:space="preserve">RC-08</w:t>
            </w:r>
          </w:p>
        </w:tc>
        <w:tc>
          <w:tcPr>
            <w:tcW w:type="dxa" w:w="2800"/>
            <w:tcBorders>
              <w:top w:val="single" w:color="BBBBBB" w:sz="1"/>
              <w:left w:val="single" w:color="BBBBBB" w:sz="1"/>
              <w:bottom w:val="single" w:color="BBBBBB" w:sz="1"/>
              <w:right w:val="single" w:color="BBBBBB" w:sz="1"/>
            </w:tcBorders>
            <w:shd w:fill="EEF4FB" w:val="clear"/>
            <w:tcMar>
              <w:top w:type="dxa" w:w="80"/>
              <w:left w:type="dxa" w:w="130"/>
              <w:bottom w:type="dxa" w:w="80"/>
              <w:right w:type="dxa" w:w="130"/>
            </w:tcMar>
          </w:tcPr>
          <w:p>
            <w:pPr>
              <w:jc w:val="left"/>
            </w:pPr>
            <w:r>
              <w:rPr>
                <w:rFonts w:ascii="Arial" w:cs="Arial" w:eastAsia="Arial" w:hAnsi="Arial"/>
                <w:b/>
                <w:bCs/>
                <w:color w:val="404040"/>
                <w:sz w:val="20"/>
                <w:szCs w:val="20"/>
              </w:rPr>
              <w:t xml:space="preserve">User Misuse</w:t>
            </w:r>
          </w:p>
        </w:tc>
        <w:tc>
          <w:tcPr>
            <w:tcW w:type="dxa" w:w="5360"/>
            <w:tcBorders>
              <w:top w:val="single" w:color="BBBBBB" w:sz="1"/>
              <w:left w:val="single" w:color="BBBBBB" w:sz="1"/>
              <w:bottom w:val="single" w:color="BBBBBB" w:sz="1"/>
              <w:right w:val="single" w:color="BBBBBB" w:sz="1"/>
            </w:tcBorders>
            <w:shd w:fill="EEF4FB" w:val="clear"/>
            <w:tcMar>
              <w:top w:type="dxa" w:w="80"/>
              <w:left w:type="dxa" w:w="130"/>
              <w:bottom w:type="dxa" w:w="80"/>
              <w:right w:type="dxa" w:w="130"/>
            </w:tcMar>
          </w:tcPr>
          <w:p>
            <w:pPr>
              <w:jc w:val="left"/>
            </w:pPr>
            <w:r>
              <w:rPr>
                <w:rFonts w:ascii="Arial" w:cs="Arial" w:eastAsia="Arial" w:hAnsi="Arial"/>
                <w:b w:val="false"/>
                <w:bCs w:val="false"/>
                <w:color w:val="404040"/>
                <w:sz w:val="20"/>
                <w:szCs w:val="20"/>
              </w:rPr>
              <w:t xml:space="preserve">Intentional misuse by end user; unintentional harmful prompt; use outside intended scope.</w:t>
            </w:r>
          </w:p>
        </w:tc>
      </w:tr>
    </w:tbl>
    <w:p>
      <w:r>
        <w:br w:type="page"/>
      </w:r>
    </w:p>
    <w:p>
      <w:pPr>
        <w:pStyle w:val="Heading2"/>
        <w:spacing w:before="240" w:after="120"/>
      </w:pPr>
      <w:r>
        <w:rPr>
          <w:rFonts w:ascii="Arial" w:cs="Arial" w:eastAsia="Arial" w:hAnsi="Arial"/>
          <w:b/>
          <w:bCs/>
          <w:color w:val="2E75B6"/>
          <w:sz w:val="26"/>
          <w:szCs w:val="26"/>
        </w:rPr>
        <w:t xml:space="preserve">4.5  Phase 5 – Communication</w:t>
      </w:r>
    </w:p>
    <w:p>
      <w:pPr>
        <w:spacing w:after="120" w:line="276"/>
      </w:pPr>
      <w:r>
        <w:rPr>
          <w:rFonts w:ascii="Arial" w:cs="Arial" w:eastAsia="Arial" w:hAnsi="Arial"/>
          <w:i w:val="false"/>
          <w:iCs w:val="false"/>
          <w:color w:val="404040"/>
          <w:sz w:val="22"/>
          <w:szCs w:val="22"/>
        </w:rPr>
        <w:t xml:space="preserve">Communication during an AI incident is managed by the Communications Lead in coordination with the Incident Commander and Legal Counsel. All external communications must be approved by the CPO before release.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360"/>
        <w:gridCol w:w="2800"/>
      </w:tblGrid>
      <w:tr>
        <w:tc>
          <w:tcPr>
            <w:tcW w:type="dxa" w:w="2000"/>
            <w:tcBorders>
              <w:top w:val="single" w:color="2E75B6" w:sz="1"/>
              <w:left w:val="single" w:color="2E75B6" w:sz="1"/>
              <w:bottom w:val="single" w:color="2E75B6" w:sz="1"/>
              <w:right w:val="single" w:color="2E75B6" w:sz="1"/>
            </w:tcBorders>
            <w:shd w:fill="1F3864" w:val="clear"/>
            <w:tcMar>
              <w:top w:type="dxa" w:w="100"/>
              <w:left w:type="dxa" w:w="130"/>
              <w:bottom w:type="dxa" w:w="100"/>
              <w:right w:type="dxa" w:w="130"/>
            </w:tcMar>
            <w:vAlign w:val="center"/>
          </w:tcPr>
          <w:p>
            <w:pPr>
              <w:jc w:val="center"/>
            </w:pPr>
            <w:r>
              <w:rPr>
                <w:rFonts w:ascii="Arial" w:cs="Arial" w:eastAsia="Arial" w:hAnsi="Arial"/>
                <w:b/>
                <w:bCs/>
                <w:color w:val="FFFFFF"/>
                <w:sz w:val="20"/>
                <w:szCs w:val="20"/>
              </w:rPr>
              <w:t xml:space="preserve">Audience</w:t>
            </w:r>
          </w:p>
        </w:tc>
        <w:tc>
          <w:tcPr>
            <w:tcW w:type="dxa" w:w="2200"/>
            <w:tcBorders>
              <w:top w:val="single" w:color="2E75B6" w:sz="1"/>
              <w:left w:val="single" w:color="2E75B6" w:sz="1"/>
              <w:bottom w:val="single" w:color="2E75B6" w:sz="1"/>
              <w:right w:val="single" w:color="2E75B6" w:sz="1"/>
            </w:tcBorders>
            <w:shd w:fill="1F3864" w:val="clear"/>
            <w:tcMar>
              <w:top w:type="dxa" w:w="100"/>
              <w:left w:type="dxa" w:w="130"/>
              <w:bottom w:type="dxa" w:w="100"/>
              <w:right w:type="dxa" w:w="130"/>
            </w:tcMar>
            <w:vAlign w:val="center"/>
          </w:tcPr>
          <w:p>
            <w:pPr>
              <w:jc w:val="center"/>
            </w:pPr>
            <w:r>
              <w:rPr>
                <w:rFonts w:ascii="Arial" w:cs="Arial" w:eastAsia="Arial" w:hAnsi="Arial"/>
                <w:b/>
                <w:bCs/>
                <w:color w:val="FFFFFF"/>
                <w:sz w:val="20"/>
                <w:szCs w:val="20"/>
              </w:rPr>
              <w:t xml:space="preserve">Channel</w:t>
            </w:r>
          </w:p>
        </w:tc>
        <w:tc>
          <w:tcPr>
            <w:tcW w:type="dxa" w:w="2360"/>
            <w:tcBorders>
              <w:top w:val="single" w:color="2E75B6" w:sz="1"/>
              <w:left w:val="single" w:color="2E75B6" w:sz="1"/>
              <w:bottom w:val="single" w:color="2E75B6" w:sz="1"/>
              <w:right w:val="single" w:color="2E75B6" w:sz="1"/>
            </w:tcBorders>
            <w:shd w:fill="1F3864" w:val="clear"/>
            <w:tcMar>
              <w:top w:type="dxa" w:w="100"/>
              <w:left w:type="dxa" w:w="130"/>
              <w:bottom w:type="dxa" w:w="100"/>
              <w:right w:type="dxa" w:w="130"/>
            </w:tcMar>
            <w:vAlign w:val="center"/>
          </w:tcPr>
          <w:p>
            <w:pPr>
              <w:jc w:val="center"/>
            </w:pPr>
            <w:r>
              <w:rPr>
                <w:rFonts w:ascii="Arial" w:cs="Arial" w:eastAsia="Arial" w:hAnsi="Arial"/>
                <w:b/>
                <w:bCs/>
                <w:color w:val="FFFFFF"/>
                <w:sz w:val="20"/>
                <w:szCs w:val="20"/>
              </w:rPr>
              <w:t xml:space="preserve">Timing</w:t>
            </w:r>
          </w:p>
        </w:tc>
        <w:tc>
          <w:tcPr>
            <w:tcW w:type="dxa" w:w="2800"/>
            <w:tcBorders>
              <w:top w:val="single" w:color="2E75B6" w:sz="1"/>
              <w:left w:val="single" w:color="2E75B6" w:sz="1"/>
              <w:bottom w:val="single" w:color="2E75B6" w:sz="1"/>
              <w:right w:val="single" w:color="2E75B6" w:sz="1"/>
            </w:tcBorders>
            <w:shd w:fill="1F3864" w:val="clear"/>
            <w:tcMar>
              <w:top w:type="dxa" w:w="100"/>
              <w:left w:type="dxa" w:w="130"/>
              <w:bottom w:type="dxa" w:w="100"/>
              <w:right w:type="dxa" w:w="130"/>
            </w:tcMar>
            <w:vAlign w:val="center"/>
          </w:tcPr>
          <w:p>
            <w:pPr>
              <w:jc w:val="center"/>
            </w:pPr>
            <w:r>
              <w:rPr>
                <w:rFonts w:ascii="Arial" w:cs="Arial" w:eastAsia="Arial" w:hAnsi="Arial"/>
                <w:b/>
                <w:bCs/>
                <w:color w:val="FFFFFF"/>
                <w:sz w:val="20"/>
                <w:szCs w:val="20"/>
              </w:rPr>
              <w:t xml:space="preserve">Content</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pPr>
              <w:jc w:val="left"/>
            </w:pPr>
            <w:r>
              <w:rPr>
                <w:rFonts w:ascii="Arial" w:cs="Arial" w:eastAsia="Arial" w:hAnsi="Arial"/>
                <w:b/>
                <w:bCs/>
                <w:color w:val="404040"/>
                <w:sz w:val="20"/>
                <w:szCs w:val="20"/>
              </w:rPr>
              <w:t xml:space="preserve">AIGC / Executive Team</w:t>
            </w:r>
          </w:p>
        </w:tc>
        <w:tc>
          <w:tcPr>
            <w:tcW w:type="dxa" w:w="22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pPr>
              <w:jc w:val="left"/>
            </w:pPr>
            <w:r>
              <w:rPr>
                <w:rFonts w:ascii="Arial" w:cs="Arial" w:eastAsia="Arial" w:hAnsi="Arial"/>
                <w:b w:val="false"/>
                <w:bCs w:val="false"/>
                <w:color w:val="404040"/>
                <w:sz w:val="20"/>
                <w:szCs w:val="20"/>
              </w:rPr>
              <w:t xml:space="preserve">Slack #ai-incident + direct call</w:t>
            </w:r>
          </w:p>
        </w:tc>
        <w:tc>
          <w:tcPr>
            <w:tcW w:type="dxa" w:w="23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pPr>
              <w:jc w:val="left"/>
            </w:pPr>
            <w:r>
              <w:rPr>
                <w:rFonts w:ascii="Arial" w:cs="Arial" w:eastAsia="Arial" w:hAnsi="Arial"/>
                <w:b w:val="false"/>
                <w:bCs w:val="false"/>
                <w:color w:val="404040"/>
                <w:sz w:val="20"/>
                <w:szCs w:val="20"/>
              </w:rPr>
              <w:t xml:space="preserve">Within 1 hr (P1), 4 hrs (P2)</w:t>
            </w:r>
          </w:p>
        </w:tc>
        <w:tc>
          <w:tcPr>
            <w:tcW w:type="dxa" w:w="28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pPr>
              <w:jc w:val="left"/>
            </w:pPr>
            <w:r>
              <w:rPr>
                <w:rFonts w:ascii="Arial" w:cs="Arial" w:eastAsia="Arial" w:hAnsi="Arial"/>
                <w:b w:val="false"/>
                <w:bCs w:val="false"/>
                <w:color w:val="404040"/>
                <w:sz w:val="20"/>
                <w:szCs w:val="20"/>
              </w:rPr>
              <w:t xml:space="preserve">Incident ID, initial classification, containment status, regulatory exposure, next steps.</w:t>
            </w:r>
          </w:p>
        </w:tc>
      </w:tr>
      <w:tr>
        <w:tc>
          <w:tcPr>
            <w:tcW w:type="dxa" w:w="2000"/>
            <w:tcBorders>
              <w:top w:val="single" w:color="BBBBBB" w:sz="1"/>
              <w:left w:val="single" w:color="BBBBBB" w:sz="1"/>
              <w:bottom w:val="single" w:color="BBBBBB" w:sz="1"/>
              <w:right w:val="single" w:color="BBBBBB" w:sz="1"/>
            </w:tcBorders>
            <w:shd w:fill="EEF4FB" w:val="clear"/>
            <w:tcMar>
              <w:top w:type="dxa" w:w="80"/>
              <w:left w:type="dxa" w:w="130"/>
              <w:bottom w:type="dxa" w:w="80"/>
              <w:right w:type="dxa" w:w="130"/>
            </w:tcMar>
          </w:tcPr>
          <w:p>
            <w:pPr>
              <w:jc w:val="left"/>
            </w:pPr>
            <w:r>
              <w:rPr>
                <w:rFonts w:ascii="Arial" w:cs="Arial" w:eastAsia="Arial" w:hAnsi="Arial"/>
                <w:b/>
                <w:bCs/>
                <w:color w:val="404040"/>
                <w:sz w:val="20"/>
                <w:szCs w:val="20"/>
              </w:rPr>
              <w:t xml:space="preserve">Affected Customers</w:t>
            </w:r>
          </w:p>
        </w:tc>
        <w:tc>
          <w:tcPr>
            <w:tcW w:type="dxa" w:w="2200"/>
            <w:tcBorders>
              <w:top w:val="single" w:color="BBBBBB" w:sz="1"/>
              <w:left w:val="single" w:color="BBBBBB" w:sz="1"/>
              <w:bottom w:val="single" w:color="BBBBBB" w:sz="1"/>
              <w:right w:val="single" w:color="BBBBBB" w:sz="1"/>
            </w:tcBorders>
            <w:shd w:fill="EEF4FB" w:val="clear"/>
            <w:tcMar>
              <w:top w:type="dxa" w:w="80"/>
              <w:left w:type="dxa" w:w="130"/>
              <w:bottom w:type="dxa" w:w="80"/>
              <w:right w:type="dxa" w:w="130"/>
            </w:tcMar>
          </w:tcPr>
          <w:p>
            <w:pPr>
              <w:jc w:val="left"/>
            </w:pPr>
            <w:r>
              <w:rPr>
                <w:rFonts w:ascii="Arial" w:cs="Arial" w:eastAsia="Arial" w:hAnsi="Arial"/>
                <w:b w:val="false"/>
                <w:bCs w:val="false"/>
                <w:color w:val="404040"/>
                <w:sz w:val="20"/>
                <w:szCs w:val="20"/>
              </w:rPr>
              <w:t xml:space="preserve">Email from Customer Success / CPO</w:t>
            </w:r>
          </w:p>
        </w:tc>
        <w:tc>
          <w:tcPr>
            <w:tcW w:type="dxa" w:w="2360"/>
            <w:tcBorders>
              <w:top w:val="single" w:color="BBBBBB" w:sz="1"/>
              <w:left w:val="single" w:color="BBBBBB" w:sz="1"/>
              <w:bottom w:val="single" w:color="BBBBBB" w:sz="1"/>
              <w:right w:val="single" w:color="BBBBBB" w:sz="1"/>
            </w:tcBorders>
            <w:shd w:fill="EEF4FB" w:val="clear"/>
            <w:tcMar>
              <w:top w:type="dxa" w:w="80"/>
              <w:left w:type="dxa" w:w="130"/>
              <w:bottom w:type="dxa" w:w="80"/>
              <w:right w:type="dxa" w:w="130"/>
            </w:tcMar>
          </w:tcPr>
          <w:p>
            <w:pPr>
              <w:jc w:val="left"/>
            </w:pPr>
            <w:r>
              <w:rPr>
                <w:rFonts w:ascii="Arial" w:cs="Arial" w:eastAsia="Arial" w:hAnsi="Arial"/>
                <w:b w:val="false"/>
                <w:bCs w:val="false"/>
                <w:color w:val="404040"/>
                <w:sz w:val="20"/>
                <w:szCs w:val="20"/>
              </w:rPr>
              <w:t xml:space="preserve">Within 4 hrs (P1), 24 hrs (P2)</w:t>
            </w:r>
          </w:p>
        </w:tc>
        <w:tc>
          <w:tcPr>
            <w:tcW w:type="dxa" w:w="2800"/>
            <w:tcBorders>
              <w:top w:val="single" w:color="BBBBBB" w:sz="1"/>
              <w:left w:val="single" w:color="BBBBBB" w:sz="1"/>
              <w:bottom w:val="single" w:color="BBBBBB" w:sz="1"/>
              <w:right w:val="single" w:color="BBBBBB" w:sz="1"/>
            </w:tcBorders>
            <w:shd w:fill="EEF4FB" w:val="clear"/>
            <w:tcMar>
              <w:top w:type="dxa" w:w="80"/>
              <w:left w:type="dxa" w:w="130"/>
              <w:bottom w:type="dxa" w:w="80"/>
              <w:right w:type="dxa" w:w="130"/>
            </w:tcMar>
          </w:tcPr>
          <w:p>
            <w:pPr>
              <w:jc w:val="left"/>
            </w:pPr>
            <w:r>
              <w:rPr>
                <w:rFonts w:ascii="Arial" w:cs="Arial" w:eastAsia="Arial" w:hAnsi="Arial"/>
                <w:b w:val="false"/>
                <w:bCs w:val="false"/>
                <w:color w:val="404040"/>
                <w:sz w:val="20"/>
                <w:szCs w:val="20"/>
              </w:rPr>
              <w:t xml:space="preserve">Nature of issue (without compromising forensics), impact on their account, remediation timeline, compensating actions.</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pPr>
              <w:jc w:val="left"/>
            </w:pPr>
            <w:r>
              <w:rPr>
                <w:rFonts w:ascii="Arial" w:cs="Arial" w:eastAsia="Arial" w:hAnsi="Arial"/>
                <w:b/>
                <w:bCs/>
                <w:color w:val="404040"/>
                <w:sz w:val="20"/>
                <w:szCs w:val="20"/>
              </w:rPr>
              <w:t xml:space="preserve">ICO / Supervisory Authority</w:t>
            </w:r>
          </w:p>
        </w:tc>
        <w:tc>
          <w:tcPr>
            <w:tcW w:type="dxa" w:w="22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pPr>
              <w:jc w:val="left"/>
            </w:pPr>
            <w:r>
              <w:rPr>
                <w:rFonts w:ascii="Arial" w:cs="Arial" w:eastAsia="Arial" w:hAnsi="Arial"/>
                <w:b w:val="false"/>
                <w:bCs w:val="false"/>
                <w:color w:val="404040"/>
                <w:sz w:val="20"/>
                <w:szCs w:val="20"/>
              </w:rPr>
              <w:t xml:space="preserve">ICO online reporting portal</w:t>
            </w:r>
          </w:p>
        </w:tc>
        <w:tc>
          <w:tcPr>
            <w:tcW w:type="dxa" w:w="23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pPr>
              <w:jc w:val="left"/>
            </w:pPr>
            <w:r>
              <w:rPr>
                <w:rFonts w:ascii="Arial" w:cs="Arial" w:eastAsia="Arial" w:hAnsi="Arial"/>
                <w:b w:val="false"/>
                <w:bCs w:val="false"/>
                <w:color w:val="404040"/>
                <w:sz w:val="20"/>
                <w:szCs w:val="20"/>
              </w:rPr>
              <w:t xml:space="preserve">Within 72 hrs of awareness if personal data breach</w:t>
            </w:r>
          </w:p>
        </w:tc>
        <w:tc>
          <w:tcPr>
            <w:tcW w:type="dxa" w:w="28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pPr>
              <w:jc w:val="left"/>
            </w:pPr>
            <w:r>
              <w:rPr>
                <w:rFonts w:ascii="Arial" w:cs="Arial" w:eastAsia="Arial" w:hAnsi="Arial"/>
                <w:b w:val="false"/>
                <w:bCs w:val="false"/>
                <w:color w:val="404040"/>
                <w:sz w:val="20"/>
                <w:szCs w:val="20"/>
              </w:rPr>
              <w:t xml:space="preserve">Mandatory notification per GDPR Art. 33. Drafted by Data Privacy Lead + Legal Counsel.</w:t>
            </w:r>
          </w:p>
        </w:tc>
      </w:tr>
      <w:tr>
        <w:tc>
          <w:tcPr>
            <w:tcW w:type="dxa" w:w="2000"/>
            <w:tcBorders>
              <w:top w:val="single" w:color="BBBBBB" w:sz="1"/>
              <w:left w:val="single" w:color="BBBBBB" w:sz="1"/>
              <w:bottom w:val="single" w:color="BBBBBB" w:sz="1"/>
              <w:right w:val="single" w:color="BBBBBB" w:sz="1"/>
            </w:tcBorders>
            <w:shd w:fill="EEF4FB" w:val="clear"/>
            <w:tcMar>
              <w:top w:type="dxa" w:w="80"/>
              <w:left w:type="dxa" w:w="130"/>
              <w:bottom w:type="dxa" w:w="80"/>
              <w:right w:type="dxa" w:w="130"/>
            </w:tcMar>
          </w:tcPr>
          <w:p>
            <w:pPr>
              <w:jc w:val="left"/>
            </w:pPr>
            <w:r>
              <w:rPr>
                <w:rFonts w:ascii="Arial" w:cs="Arial" w:eastAsia="Arial" w:hAnsi="Arial"/>
                <w:b/>
                <w:bCs/>
                <w:color w:val="404040"/>
                <w:sz w:val="20"/>
                <w:szCs w:val="20"/>
              </w:rPr>
              <w:t xml:space="preserve">EU AI Act Competent Authority</w:t>
            </w:r>
          </w:p>
        </w:tc>
        <w:tc>
          <w:tcPr>
            <w:tcW w:type="dxa" w:w="2200"/>
            <w:tcBorders>
              <w:top w:val="single" w:color="BBBBBB" w:sz="1"/>
              <w:left w:val="single" w:color="BBBBBB" w:sz="1"/>
              <w:bottom w:val="single" w:color="BBBBBB" w:sz="1"/>
              <w:right w:val="single" w:color="BBBBBB" w:sz="1"/>
            </w:tcBorders>
            <w:shd w:fill="EEF4FB" w:val="clear"/>
            <w:tcMar>
              <w:top w:type="dxa" w:w="80"/>
              <w:left w:type="dxa" w:w="130"/>
              <w:bottom w:type="dxa" w:w="80"/>
              <w:right w:type="dxa" w:w="130"/>
            </w:tcMar>
          </w:tcPr>
          <w:p>
            <w:pPr>
              <w:jc w:val="left"/>
            </w:pPr>
            <w:r>
              <w:rPr>
                <w:rFonts w:ascii="Arial" w:cs="Arial" w:eastAsia="Arial" w:hAnsi="Arial"/>
                <w:b w:val="false"/>
                <w:bCs w:val="false"/>
                <w:color w:val="404040"/>
                <w:sz w:val="20"/>
                <w:szCs w:val="20"/>
              </w:rPr>
              <w:t xml:space="preserve">National market surveillance authority</w:t>
            </w:r>
          </w:p>
        </w:tc>
        <w:tc>
          <w:tcPr>
            <w:tcW w:type="dxa" w:w="2360"/>
            <w:tcBorders>
              <w:top w:val="single" w:color="BBBBBB" w:sz="1"/>
              <w:left w:val="single" w:color="BBBBBB" w:sz="1"/>
              <w:bottom w:val="single" w:color="BBBBBB" w:sz="1"/>
              <w:right w:val="single" w:color="BBBBBB" w:sz="1"/>
            </w:tcBorders>
            <w:shd w:fill="EEF4FB" w:val="clear"/>
            <w:tcMar>
              <w:top w:type="dxa" w:w="80"/>
              <w:left w:type="dxa" w:w="130"/>
              <w:bottom w:type="dxa" w:w="80"/>
              <w:right w:type="dxa" w:w="130"/>
            </w:tcMar>
          </w:tcPr>
          <w:p>
            <w:pPr>
              <w:jc w:val="left"/>
            </w:pPr>
            <w:r>
              <w:rPr>
                <w:rFonts w:ascii="Arial" w:cs="Arial" w:eastAsia="Arial" w:hAnsi="Arial"/>
                <w:b w:val="false"/>
                <w:bCs w:val="false"/>
                <w:color w:val="404040"/>
                <w:sz w:val="20"/>
                <w:szCs w:val="20"/>
              </w:rPr>
              <w:t xml:space="preserve">Serious incidents: 'without undue delay' per Art. 73</w:t>
            </w:r>
          </w:p>
        </w:tc>
        <w:tc>
          <w:tcPr>
            <w:tcW w:type="dxa" w:w="2800"/>
            <w:tcBorders>
              <w:top w:val="single" w:color="BBBBBB" w:sz="1"/>
              <w:left w:val="single" w:color="BBBBBB" w:sz="1"/>
              <w:bottom w:val="single" w:color="BBBBBB" w:sz="1"/>
              <w:right w:val="single" w:color="BBBBBB" w:sz="1"/>
            </w:tcBorders>
            <w:shd w:fill="EEF4FB" w:val="clear"/>
            <w:tcMar>
              <w:top w:type="dxa" w:w="80"/>
              <w:left w:type="dxa" w:w="130"/>
              <w:bottom w:type="dxa" w:w="80"/>
              <w:right w:type="dxa" w:w="130"/>
            </w:tcMar>
          </w:tcPr>
          <w:p>
            <w:pPr>
              <w:jc w:val="left"/>
            </w:pPr>
            <w:r>
              <w:rPr>
                <w:rFonts w:ascii="Arial" w:cs="Arial" w:eastAsia="Arial" w:hAnsi="Arial"/>
                <w:b w:val="false"/>
                <w:bCs w:val="false"/>
                <w:color w:val="404040"/>
                <w:sz w:val="20"/>
                <w:szCs w:val="20"/>
              </w:rPr>
              <w:t xml:space="preserve">Incident description, affected AI system, actions taken. CLO to determine applicability per incident.</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pPr>
              <w:jc w:val="left"/>
            </w:pPr>
            <w:r>
              <w:rPr>
                <w:rFonts w:ascii="Arial" w:cs="Arial" w:eastAsia="Arial" w:hAnsi="Arial"/>
                <w:b/>
                <w:bCs/>
                <w:color w:val="404040"/>
                <w:sz w:val="20"/>
                <w:szCs w:val="20"/>
              </w:rPr>
              <w:t xml:space="preserve">All AInnovate Staff</w:t>
            </w:r>
          </w:p>
        </w:tc>
        <w:tc>
          <w:tcPr>
            <w:tcW w:type="dxa" w:w="22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pPr>
              <w:jc w:val="left"/>
            </w:pPr>
            <w:r>
              <w:rPr>
                <w:rFonts w:ascii="Arial" w:cs="Arial" w:eastAsia="Arial" w:hAnsi="Arial"/>
                <w:b w:val="false"/>
                <w:bCs w:val="false"/>
                <w:color w:val="404040"/>
                <w:sz w:val="20"/>
                <w:szCs w:val="20"/>
              </w:rPr>
              <w:t xml:space="preserve">Internal all-staff email (post-containment)</w:t>
            </w:r>
          </w:p>
        </w:tc>
        <w:tc>
          <w:tcPr>
            <w:tcW w:type="dxa" w:w="23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pPr>
              <w:jc w:val="left"/>
            </w:pPr>
            <w:r>
              <w:rPr>
                <w:rFonts w:ascii="Arial" w:cs="Arial" w:eastAsia="Arial" w:hAnsi="Arial"/>
                <w:b w:val="false"/>
                <w:bCs w:val="false"/>
                <w:color w:val="404040"/>
                <w:sz w:val="20"/>
                <w:szCs w:val="20"/>
              </w:rPr>
              <w:t xml:space="preserve">After P1/P2 containment confirmed</w:t>
            </w:r>
          </w:p>
        </w:tc>
        <w:tc>
          <w:tcPr>
            <w:tcW w:type="dxa" w:w="28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pPr>
              <w:jc w:val="left"/>
            </w:pPr>
            <w:r>
              <w:rPr>
                <w:rFonts w:ascii="Arial" w:cs="Arial" w:eastAsia="Arial" w:hAnsi="Arial"/>
                <w:b w:val="false"/>
                <w:bCs w:val="false"/>
                <w:color w:val="404040"/>
                <w:sz w:val="20"/>
                <w:szCs w:val="20"/>
              </w:rPr>
              <w:t xml:space="preserve">High-level summary; what employees should/should not say if asked externally; HR guidance if applicable.</w:t>
            </w:r>
          </w:p>
        </w:tc>
      </w:tr>
      <w:tr>
        <w:tc>
          <w:tcPr>
            <w:tcW w:type="dxa" w:w="2000"/>
            <w:tcBorders>
              <w:top w:val="single" w:color="BBBBBB" w:sz="1"/>
              <w:left w:val="single" w:color="BBBBBB" w:sz="1"/>
              <w:bottom w:val="single" w:color="BBBBBB" w:sz="1"/>
              <w:right w:val="single" w:color="BBBBBB" w:sz="1"/>
            </w:tcBorders>
            <w:shd w:fill="EEF4FB" w:val="clear"/>
            <w:tcMar>
              <w:top w:type="dxa" w:w="80"/>
              <w:left w:type="dxa" w:w="130"/>
              <w:bottom w:type="dxa" w:w="80"/>
              <w:right w:type="dxa" w:w="130"/>
            </w:tcMar>
          </w:tcPr>
          <w:p>
            <w:pPr>
              <w:jc w:val="left"/>
            </w:pPr>
            <w:r>
              <w:rPr>
                <w:rFonts w:ascii="Arial" w:cs="Arial" w:eastAsia="Arial" w:hAnsi="Arial"/>
                <w:b/>
                <w:bCs/>
                <w:color w:val="404040"/>
                <w:sz w:val="20"/>
                <w:szCs w:val="20"/>
              </w:rPr>
              <w:t xml:space="preserve">Media / Public</w:t>
            </w:r>
          </w:p>
        </w:tc>
        <w:tc>
          <w:tcPr>
            <w:tcW w:type="dxa" w:w="2200"/>
            <w:tcBorders>
              <w:top w:val="single" w:color="BBBBBB" w:sz="1"/>
              <w:left w:val="single" w:color="BBBBBB" w:sz="1"/>
              <w:bottom w:val="single" w:color="BBBBBB" w:sz="1"/>
              <w:right w:val="single" w:color="BBBBBB" w:sz="1"/>
            </w:tcBorders>
            <w:shd w:fill="EEF4FB" w:val="clear"/>
            <w:tcMar>
              <w:top w:type="dxa" w:w="80"/>
              <w:left w:type="dxa" w:w="130"/>
              <w:bottom w:type="dxa" w:w="80"/>
              <w:right w:type="dxa" w:w="130"/>
            </w:tcMar>
          </w:tcPr>
          <w:p>
            <w:pPr>
              <w:jc w:val="left"/>
            </w:pPr>
            <w:r>
              <w:rPr>
                <w:rFonts w:ascii="Arial" w:cs="Arial" w:eastAsia="Arial" w:hAnsi="Arial"/>
                <w:b w:val="false"/>
                <w:bCs w:val="false"/>
                <w:color w:val="404040"/>
                <w:sz w:val="20"/>
                <w:szCs w:val="20"/>
              </w:rPr>
              <w:t xml:space="preserve">Press statement via PR lead</w:t>
            </w:r>
          </w:p>
        </w:tc>
        <w:tc>
          <w:tcPr>
            <w:tcW w:type="dxa" w:w="2360"/>
            <w:tcBorders>
              <w:top w:val="single" w:color="BBBBBB" w:sz="1"/>
              <w:left w:val="single" w:color="BBBBBB" w:sz="1"/>
              <w:bottom w:val="single" w:color="BBBBBB" w:sz="1"/>
              <w:right w:val="single" w:color="BBBBBB" w:sz="1"/>
            </w:tcBorders>
            <w:shd w:fill="EEF4FB" w:val="clear"/>
            <w:tcMar>
              <w:top w:type="dxa" w:w="80"/>
              <w:left w:type="dxa" w:w="130"/>
              <w:bottom w:type="dxa" w:w="80"/>
              <w:right w:type="dxa" w:w="130"/>
            </w:tcMar>
          </w:tcPr>
          <w:p>
            <w:pPr>
              <w:jc w:val="left"/>
            </w:pPr>
            <w:r>
              <w:rPr>
                <w:rFonts w:ascii="Arial" w:cs="Arial" w:eastAsia="Arial" w:hAnsi="Arial"/>
                <w:b w:val="false"/>
                <w:bCs w:val="false"/>
                <w:color w:val="404040"/>
                <w:sz w:val="20"/>
                <w:szCs w:val="20"/>
              </w:rPr>
              <w:t xml:space="preserve">Only if media inquiry received or incident is public</w:t>
            </w:r>
          </w:p>
        </w:tc>
        <w:tc>
          <w:tcPr>
            <w:tcW w:type="dxa" w:w="2800"/>
            <w:tcBorders>
              <w:top w:val="single" w:color="BBBBBB" w:sz="1"/>
              <w:left w:val="single" w:color="BBBBBB" w:sz="1"/>
              <w:bottom w:val="single" w:color="BBBBBB" w:sz="1"/>
              <w:right w:val="single" w:color="BBBBBB" w:sz="1"/>
            </w:tcBorders>
            <w:shd w:fill="EEF4FB" w:val="clear"/>
            <w:tcMar>
              <w:top w:type="dxa" w:w="80"/>
              <w:left w:type="dxa" w:w="130"/>
              <w:bottom w:type="dxa" w:w="80"/>
              <w:right w:type="dxa" w:w="130"/>
            </w:tcMar>
          </w:tcPr>
          <w:p>
            <w:pPr>
              <w:jc w:val="left"/>
            </w:pPr>
            <w:r>
              <w:rPr>
                <w:rFonts w:ascii="Arial" w:cs="Arial" w:eastAsia="Arial" w:hAnsi="Arial"/>
                <w:b w:val="false"/>
                <w:bCs w:val="false"/>
                <w:color w:val="404040"/>
                <w:sz w:val="20"/>
                <w:szCs w:val="20"/>
              </w:rPr>
              <w:t xml:space="preserve">Factual, concise statement. Legal review mandatory. Approved by CPO.</w:t>
            </w:r>
          </w:p>
        </w:tc>
      </w:tr>
    </w:tbl>
    <w:p>
      <w:pPr>
        <w:spacing w:after="200"/>
      </w:pPr>
      <w:r>
        <w:t xml:space="preserve"/>
      </w:r>
    </w:p>
    <w:p>
      <w:pPr>
        <w:pStyle w:val="Heading2"/>
        <w:spacing w:before="240" w:after="120"/>
      </w:pPr>
      <w:r>
        <w:rPr>
          <w:rFonts w:ascii="Arial" w:cs="Arial" w:eastAsia="Arial" w:hAnsi="Arial"/>
          <w:b/>
          <w:bCs/>
          <w:color w:val="2E75B6"/>
          <w:sz w:val="26"/>
          <w:szCs w:val="26"/>
        </w:rPr>
        <w:t xml:space="preserve">4.6  Phase 6 – Remediation and Recovery</w:t>
      </w:r>
    </w:p>
    <w:p>
      <w:pPr>
        <w:spacing w:after="120" w:line="276"/>
      </w:pPr>
      <w:r>
        <w:rPr>
          <w:rFonts w:ascii="Arial" w:cs="Arial" w:eastAsia="Arial" w:hAnsi="Arial"/>
          <w:i w:val="false"/>
          <w:iCs w:val="false"/>
          <w:color w:val="404040"/>
          <w:sz w:val="22"/>
          <w:szCs w:val="22"/>
        </w:rPr>
        <w:t xml:space="preserve">Remediation involves addressing the root cause to prevent recurrence, while recovery restores normal service. The Technical Lead owns the remediation plan; the Incident Commander approves return to full production.</w:t>
      </w:r>
    </w:p>
    <w:p>
      <w:pPr>
        <w:spacing w:after="80"/>
      </w:pPr>
      <w:r>
        <w:t xml:space="preserve"/>
      </w:r>
    </w:p>
    <w:p>
      <w:pPr>
        <w:pStyle w:val="ListParagraph"/>
        <w:numPr>
          <w:ilvl w:val="0"/>
          <w:numId w:val="2"/>
        </w:numPr>
        <w:spacing w:after="80" w:line="264"/>
      </w:pPr>
      <w:r>
        <w:rPr>
          <w:rFonts w:ascii="Arial" w:cs="Arial" w:eastAsia="Arial" w:hAnsi="Arial"/>
          <w:b w:val="false"/>
          <w:bCs w:val="false"/>
          <w:color w:val="404040"/>
          <w:sz w:val="22"/>
          <w:szCs w:val="22"/>
        </w:rPr>
        <w:t xml:space="preserve">The remediation plan must address the root cause code identified in RCA (Section 4.4.2);</w:t>
      </w:r>
    </w:p>
    <w:p>
      <w:pPr>
        <w:pStyle w:val="ListParagraph"/>
        <w:numPr>
          <w:ilvl w:val="0"/>
          <w:numId w:val="2"/>
        </w:numPr>
        <w:spacing w:after="80" w:line="264"/>
      </w:pPr>
      <w:r>
        <w:rPr>
          <w:rFonts w:ascii="Arial" w:cs="Arial" w:eastAsia="Arial" w:hAnsi="Arial"/>
          <w:b w:val="false"/>
          <w:bCs w:val="false"/>
          <w:color w:val="404040"/>
          <w:sz w:val="22"/>
          <w:szCs w:val="22"/>
        </w:rPr>
        <w:t xml:space="preserve">All remediation changes to model, system prompt, or content filters must pass a full regression test suite before deployment;</w:t>
      </w:r>
    </w:p>
    <w:p>
      <w:pPr>
        <w:pStyle w:val="ListParagraph"/>
        <w:numPr>
          <w:ilvl w:val="0"/>
          <w:numId w:val="2"/>
        </w:numPr>
        <w:spacing w:after="80" w:line="264"/>
      </w:pPr>
      <w:r>
        <w:rPr>
          <w:rFonts w:ascii="Arial" w:cs="Arial" w:eastAsia="Arial" w:hAnsi="Arial"/>
          <w:b w:val="false"/>
          <w:bCs w:val="false"/>
          <w:color w:val="404040"/>
          <w:sz w:val="22"/>
          <w:szCs w:val="22"/>
        </w:rPr>
        <w:t xml:space="preserve">For P1/P2 incidents, a bias re-assessment must be run post-remediation if the incident involved model output quality or fairness;</w:t>
      </w:r>
    </w:p>
    <w:p>
      <w:pPr>
        <w:pStyle w:val="ListParagraph"/>
        <w:numPr>
          <w:ilvl w:val="0"/>
          <w:numId w:val="2"/>
        </w:numPr>
        <w:spacing w:after="80" w:line="264"/>
      </w:pPr>
      <w:r>
        <w:rPr>
          <w:rFonts w:ascii="Arial" w:cs="Arial" w:eastAsia="Arial" w:hAnsi="Arial"/>
          <w:b w:val="false"/>
          <w:bCs w:val="false"/>
          <w:color w:val="404040"/>
          <w:sz w:val="22"/>
          <w:szCs w:val="22"/>
        </w:rPr>
        <w:t xml:space="preserve">Return to full production operation requires sign-off from the Technical Lead, IC, and CPO (P1) or Technical Lead and IC (P2/P3);</w:t>
      </w:r>
    </w:p>
    <w:p>
      <w:pPr>
        <w:pStyle w:val="ListParagraph"/>
        <w:numPr>
          <w:ilvl w:val="0"/>
          <w:numId w:val="2"/>
        </w:numPr>
        <w:spacing w:after="80" w:line="264"/>
      </w:pPr>
      <w:r>
        <w:rPr>
          <w:rFonts w:ascii="Arial" w:cs="Arial" w:eastAsia="Arial" w:hAnsi="Arial"/>
          <w:b w:val="false"/>
          <w:bCs w:val="false"/>
          <w:color w:val="404040"/>
          <w:sz w:val="22"/>
          <w:szCs w:val="22"/>
        </w:rPr>
        <w:t xml:space="preserve">The AI Model Registry must be updated to reflect any model version changes arising from the incident.</w:t>
      </w:r>
    </w:p>
    <w:p>
      <w:pPr>
        <w:spacing w:after="160"/>
      </w:pPr>
      <w:r>
        <w:t xml:space="preserve"/>
      </w:r>
    </w:p>
    <w:p>
      <w:pPr>
        <w:pStyle w:val="Heading2"/>
        <w:spacing w:before="240" w:after="120"/>
      </w:pPr>
      <w:r>
        <w:rPr>
          <w:rFonts w:ascii="Arial" w:cs="Arial" w:eastAsia="Arial" w:hAnsi="Arial"/>
          <w:b/>
          <w:bCs/>
          <w:color w:val="2E75B6"/>
          <w:sz w:val="26"/>
          <w:szCs w:val="26"/>
        </w:rPr>
        <w:t xml:space="preserve">4.7  Phase 7 – Post-Incident Review</w:t>
      </w:r>
    </w:p>
    <w:p>
      <w:pPr>
        <w:spacing w:after="120" w:line="276"/>
      </w:pPr>
      <w:r>
        <w:rPr>
          <w:rFonts w:ascii="Arial" w:cs="Arial" w:eastAsia="Arial" w:hAnsi="Arial"/>
          <w:i w:val="false"/>
          <w:iCs w:val="false"/>
          <w:color w:val="404040"/>
          <w:sz w:val="22"/>
          <w:szCs w:val="22"/>
        </w:rPr>
        <w:t xml:space="preserve">A Post-Incident Review (PIR) is mandatory for all P1 and P2 incidents, and recommended for recurring P3 incidents. The PIR is conducted within the timeframes in Section 5 and follows a blameless format — the goal is systemic improvement, not individual fault-finding.</w:t>
      </w:r>
    </w:p>
    <w:p>
      <w:pPr>
        <w:spacing w:after="80"/>
      </w:pPr>
      <w:r>
        <w:t xml:space="preserve"/>
      </w:r>
    </w:p>
    <w:p>
      <w:pPr>
        <w:spacing w:after="120" w:line="276"/>
      </w:pPr>
      <w:r>
        <w:rPr>
          <w:rFonts w:ascii="Arial" w:cs="Arial" w:eastAsia="Arial" w:hAnsi="Arial"/>
          <w:i w:val="false"/>
          <w:iCs w:val="false"/>
          <w:color w:val="404040"/>
          <w:sz w:val="22"/>
          <w:szCs w:val="22"/>
        </w:rPr>
        <w:t xml:space="preserve">The PIR shall address:</w:t>
      </w:r>
    </w:p>
    <w:p>
      <w:pPr>
        <w:pStyle w:val="ListParagraph"/>
        <w:numPr>
          <w:ilvl w:val="0"/>
          <w:numId w:val="3"/>
        </w:numPr>
        <w:spacing w:after="80" w:line="264"/>
      </w:pPr>
      <w:r>
        <w:rPr>
          <w:rFonts w:ascii="Arial" w:cs="Arial" w:eastAsia="Arial" w:hAnsi="Arial"/>
          <w:b w:val="false"/>
          <w:bCs w:val="false"/>
          <w:color w:val="404040"/>
          <w:sz w:val="22"/>
          <w:szCs w:val="22"/>
        </w:rPr>
        <w:t xml:space="preserve">What happened? (timeline of events from first signal to resolution)</w:t>
      </w:r>
    </w:p>
    <w:p>
      <w:pPr>
        <w:pStyle w:val="ListParagraph"/>
        <w:numPr>
          <w:ilvl w:val="0"/>
          <w:numId w:val="3"/>
        </w:numPr>
        <w:spacing w:after="80" w:line="264"/>
      </w:pPr>
      <w:r>
        <w:rPr>
          <w:rFonts w:ascii="Arial" w:cs="Arial" w:eastAsia="Arial" w:hAnsi="Arial"/>
          <w:b w:val="false"/>
          <w:bCs w:val="false"/>
          <w:color w:val="404040"/>
          <w:sz w:val="22"/>
          <w:szCs w:val="22"/>
        </w:rPr>
        <w:t xml:space="preserve">Why did it happen? (root cause analysis findings)</w:t>
      </w:r>
    </w:p>
    <w:p>
      <w:pPr>
        <w:pStyle w:val="ListParagraph"/>
        <w:numPr>
          <w:ilvl w:val="0"/>
          <w:numId w:val="3"/>
        </w:numPr>
        <w:spacing w:after="80" w:line="264"/>
      </w:pPr>
      <w:r>
        <w:rPr>
          <w:rFonts w:ascii="Arial" w:cs="Arial" w:eastAsia="Arial" w:hAnsi="Arial"/>
          <w:b w:val="false"/>
          <w:bCs w:val="false"/>
          <w:color w:val="404040"/>
          <w:sz w:val="22"/>
          <w:szCs w:val="22"/>
        </w:rPr>
        <w:t xml:space="preserve">What worked well in the response?</w:t>
      </w:r>
    </w:p>
    <w:p>
      <w:pPr>
        <w:pStyle w:val="ListParagraph"/>
        <w:numPr>
          <w:ilvl w:val="0"/>
          <w:numId w:val="3"/>
        </w:numPr>
        <w:spacing w:after="80" w:line="264"/>
      </w:pPr>
      <w:r>
        <w:rPr>
          <w:rFonts w:ascii="Arial" w:cs="Arial" w:eastAsia="Arial" w:hAnsi="Arial"/>
          <w:b w:val="false"/>
          <w:bCs w:val="false"/>
          <w:color w:val="404040"/>
          <w:sz w:val="22"/>
          <w:szCs w:val="22"/>
        </w:rPr>
        <w:t xml:space="preserve">What did not work well or could be improved?</w:t>
      </w:r>
    </w:p>
    <w:p>
      <w:pPr>
        <w:pStyle w:val="ListParagraph"/>
        <w:numPr>
          <w:ilvl w:val="0"/>
          <w:numId w:val="3"/>
        </w:numPr>
        <w:spacing w:after="80" w:line="264"/>
      </w:pPr>
      <w:r>
        <w:rPr>
          <w:rFonts w:ascii="Arial" w:cs="Arial" w:eastAsia="Arial" w:hAnsi="Arial"/>
          <w:b w:val="false"/>
          <w:bCs w:val="false"/>
          <w:color w:val="404040"/>
          <w:sz w:val="22"/>
          <w:szCs w:val="22"/>
        </w:rPr>
        <w:t xml:space="preserve">What specific actions will be taken to prevent recurrence? (with owners and due dates)</w:t>
      </w:r>
    </w:p>
    <w:p>
      <w:pPr>
        <w:pStyle w:val="ListParagraph"/>
        <w:numPr>
          <w:ilvl w:val="0"/>
          <w:numId w:val="3"/>
        </w:numPr>
        <w:spacing w:after="80" w:line="264"/>
      </w:pPr>
      <w:r>
        <w:rPr>
          <w:rFonts w:ascii="Arial" w:cs="Arial" w:eastAsia="Arial" w:hAnsi="Arial"/>
          <w:b w:val="false"/>
          <w:bCs w:val="false"/>
          <w:color w:val="404040"/>
          <w:sz w:val="22"/>
          <w:szCs w:val="22"/>
        </w:rPr>
        <w:t xml:space="preserve">Are there changes required to this Plan or related governance documents?</w:t>
      </w:r>
    </w:p>
    <w:p>
      <w:pPr>
        <w:spacing w:after="80"/>
      </w:pPr>
      <w:r>
        <w:t xml:space="preserve"/>
      </w:r>
    </w:p>
    <w:p>
      <w:pPr>
        <w:spacing w:after="120" w:line="276"/>
      </w:pPr>
      <w:r>
        <w:rPr>
          <w:rFonts w:ascii="Arial" w:cs="Arial" w:eastAsia="Arial" w:hAnsi="Arial"/>
          <w:i w:val="false"/>
          <w:iCs w:val="false"/>
          <w:color w:val="404040"/>
          <w:sz w:val="22"/>
          <w:szCs w:val="22"/>
        </w:rPr>
        <w:t xml:space="preserve">PIR findings shall be presented to the AIGC at the next quarterly meeting. Recurring or systemic findings shall be escalated to the Board AI Governance Report.</w:t>
      </w:r>
    </w:p>
    <w:p>
      <w:r>
        <w:br w:type="page"/>
      </w:r>
    </w:p>
    <w:p>
      <w:pPr>
        <w:pStyle w:val="Heading1"/>
        <w:spacing w:before="320" w:after="200"/>
      </w:pPr>
      <w:r>
        <w:rPr>
          <w:rFonts w:ascii="Arial" w:cs="Arial" w:eastAsia="Arial" w:hAnsi="Arial"/>
          <w:b/>
          <w:bCs/>
          <w:color w:val="1F3864"/>
          <w:sz w:val="32"/>
          <w:szCs w:val="32"/>
        </w:rPr>
        <w:t xml:space="preserve">5.  Response Timelines and SLAs</w:t>
      </w:r>
    </w:p>
    <w:p>
      <w:pPr>
        <w:pBdr>
          <w:bottom w:val="single" w:color="2E75B6" w:sz="6" w:space="1"/>
        </w:pBd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1400"/>
        <w:gridCol w:w="1400"/>
        <w:gridCol w:w="1400"/>
        <w:gridCol w:w="1360"/>
      </w:tblGrid>
      <w:tr>
        <w:tc>
          <w:tcPr>
            <w:tcW w:type="dxa" w:w="2800"/>
            <w:tcBorders>
              <w:top w:val="single" w:color="2E75B6" w:sz="1"/>
              <w:left w:val="single" w:color="2E75B6" w:sz="1"/>
              <w:bottom w:val="single" w:color="2E75B6" w:sz="1"/>
              <w:right w:val="single" w:color="2E75B6" w:sz="1"/>
            </w:tcBorders>
            <w:shd w:fill="1F3864" w:val="clear"/>
            <w:tcMar>
              <w:top w:type="dxa" w:w="100"/>
              <w:left w:type="dxa" w:w="130"/>
              <w:bottom w:type="dxa" w:w="100"/>
              <w:right w:type="dxa" w:w="130"/>
            </w:tcMar>
            <w:vAlign w:val="center"/>
          </w:tcPr>
          <w:p>
            <w:pPr>
              <w:jc w:val="center"/>
            </w:pPr>
            <w:r>
              <w:rPr>
                <w:rFonts w:ascii="Arial" w:cs="Arial" w:eastAsia="Arial" w:hAnsi="Arial"/>
                <w:b/>
                <w:bCs/>
                <w:color w:val="FFFFFF"/>
                <w:sz w:val="20"/>
                <w:szCs w:val="20"/>
              </w:rPr>
              <w:t xml:space="preserve">Milestone</w:t>
            </w:r>
          </w:p>
        </w:tc>
        <w:tc>
          <w:tcPr>
            <w:tcW w:type="dxa" w:w="1400"/>
            <w:tcBorders>
              <w:top w:val="single" w:color="2E75B6" w:sz="1"/>
              <w:left w:val="single" w:color="2E75B6" w:sz="1"/>
              <w:bottom w:val="single" w:color="2E75B6" w:sz="1"/>
              <w:right w:val="single" w:color="2E75B6" w:sz="1"/>
            </w:tcBorders>
            <w:shd w:fill="C00000" w:val="clear"/>
            <w:tcMar>
              <w:top w:type="dxa" w:w="100"/>
              <w:left w:type="dxa" w:w="130"/>
              <w:bottom w:type="dxa" w:w="100"/>
              <w:right w:type="dxa" w:w="130"/>
            </w:tcMar>
            <w:vAlign w:val="center"/>
          </w:tcPr>
          <w:p>
            <w:pPr>
              <w:jc w:val="center"/>
            </w:pPr>
            <w:r>
              <w:rPr>
                <w:rFonts w:ascii="Arial" w:cs="Arial" w:eastAsia="Arial" w:hAnsi="Arial"/>
                <w:b/>
                <w:bCs/>
                <w:color w:val="FFFFFF"/>
                <w:sz w:val="20"/>
                <w:szCs w:val="20"/>
              </w:rPr>
              <w:t xml:space="preserve">P1
Critical</w:t>
            </w:r>
          </w:p>
        </w:tc>
        <w:tc>
          <w:tcPr>
            <w:tcW w:type="dxa" w:w="1400"/>
            <w:tcBorders>
              <w:top w:val="single" w:color="2E75B6" w:sz="1"/>
              <w:left w:val="single" w:color="2E75B6" w:sz="1"/>
              <w:bottom w:val="single" w:color="2E75B6" w:sz="1"/>
              <w:right w:val="single" w:color="2E75B6" w:sz="1"/>
            </w:tcBorders>
            <w:shd w:fill="843C0C" w:val="clear"/>
            <w:tcMar>
              <w:top w:type="dxa" w:w="100"/>
              <w:left w:type="dxa" w:w="130"/>
              <w:bottom w:type="dxa" w:w="100"/>
              <w:right w:type="dxa" w:w="130"/>
            </w:tcMar>
            <w:vAlign w:val="center"/>
          </w:tcPr>
          <w:p>
            <w:pPr>
              <w:jc w:val="center"/>
            </w:pPr>
            <w:r>
              <w:rPr>
                <w:rFonts w:ascii="Arial" w:cs="Arial" w:eastAsia="Arial" w:hAnsi="Arial"/>
                <w:b/>
                <w:bCs/>
                <w:color w:val="FFFFFF"/>
                <w:sz w:val="20"/>
                <w:szCs w:val="20"/>
              </w:rPr>
              <w:t xml:space="preserve">P2
High</w:t>
            </w:r>
          </w:p>
        </w:tc>
        <w:tc>
          <w:tcPr>
            <w:tcW w:type="dxa" w:w="1400"/>
            <w:tcBorders>
              <w:top w:val="single" w:color="2E75B6" w:sz="1"/>
              <w:left w:val="single" w:color="2E75B6" w:sz="1"/>
              <w:bottom w:val="single" w:color="2E75B6" w:sz="1"/>
              <w:right w:val="single" w:color="2E75B6" w:sz="1"/>
            </w:tcBorders>
            <w:shd w:fill="7F4F00" w:val="clear"/>
            <w:tcMar>
              <w:top w:type="dxa" w:w="100"/>
              <w:left w:type="dxa" w:w="130"/>
              <w:bottom w:type="dxa" w:w="100"/>
              <w:right w:type="dxa" w:w="130"/>
            </w:tcMar>
            <w:vAlign w:val="center"/>
          </w:tcPr>
          <w:p>
            <w:pPr>
              <w:jc w:val="center"/>
            </w:pPr>
            <w:r>
              <w:rPr>
                <w:rFonts w:ascii="Arial" w:cs="Arial" w:eastAsia="Arial" w:hAnsi="Arial"/>
                <w:b/>
                <w:bCs/>
                <w:color w:val="FFFFFF"/>
                <w:sz w:val="20"/>
                <w:szCs w:val="20"/>
              </w:rPr>
              <w:t xml:space="preserve">P3
Medium</w:t>
            </w:r>
          </w:p>
        </w:tc>
        <w:tc>
          <w:tcPr>
            <w:tcW w:type="dxa" w:w="1400"/>
            <w:tcBorders>
              <w:top w:val="single" w:color="2E75B6" w:sz="1"/>
              <w:left w:val="single" w:color="2E75B6" w:sz="1"/>
              <w:bottom w:val="single" w:color="2E75B6" w:sz="1"/>
              <w:right w:val="single" w:color="2E75B6" w:sz="1"/>
            </w:tcBorders>
            <w:shd w:fill="375623" w:val="clear"/>
            <w:tcMar>
              <w:top w:type="dxa" w:w="100"/>
              <w:left w:type="dxa" w:w="130"/>
              <w:bottom w:type="dxa" w:w="100"/>
              <w:right w:type="dxa" w:w="130"/>
            </w:tcMar>
            <w:vAlign w:val="center"/>
          </w:tcPr>
          <w:p>
            <w:pPr>
              <w:jc w:val="center"/>
            </w:pPr>
            <w:r>
              <w:rPr>
                <w:rFonts w:ascii="Arial" w:cs="Arial" w:eastAsia="Arial" w:hAnsi="Arial"/>
                <w:b/>
                <w:bCs/>
                <w:color w:val="FFFFFF"/>
                <w:sz w:val="20"/>
                <w:szCs w:val="20"/>
              </w:rPr>
              <w:t xml:space="preserve">P4
Low</w:t>
            </w:r>
          </w:p>
        </w:tc>
        <w:tc>
          <w:tcPr>
            <w:tcW w:type="dxa" w:w="1360"/>
            <w:tcBorders>
              <w:top w:val="single" w:color="2E75B6" w:sz="1"/>
              <w:left w:val="single" w:color="2E75B6" w:sz="1"/>
              <w:bottom w:val="single" w:color="2E75B6" w:sz="1"/>
              <w:right w:val="single" w:color="2E75B6" w:sz="1"/>
            </w:tcBorders>
            <w:shd w:fill="1F3864" w:val="clear"/>
            <w:tcMar>
              <w:top w:type="dxa" w:w="100"/>
              <w:left w:type="dxa" w:w="130"/>
              <w:bottom w:type="dxa" w:w="100"/>
              <w:right w:type="dxa" w:w="130"/>
            </w:tcMar>
            <w:vAlign w:val="center"/>
          </w:tcPr>
          <w:p>
            <w:pPr>
              <w:jc w:val="center"/>
            </w:pPr>
            <w:r>
              <w:rPr>
                <w:rFonts w:ascii="Arial" w:cs="Arial" w:eastAsia="Arial" w:hAnsi="Arial"/>
                <w:b/>
                <w:bCs/>
                <w:color w:val="FFFFFF"/>
                <w:sz w:val="20"/>
                <w:szCs w:val="20"/>
              </w:rPr>
              <w:t xml:space="preserve">Notes</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pPr>
              <w:jc w:val="left"/>
            </w:pPr>
            <w:r>
              <w:rPr>
                <w:rFonts w:ascii="Arial" w:cs="Arial" w:eastAsia="Arial" w:hAnsi="Arial"/>
                <w:b/>
                <w:bCs/>
                <w:color w:val="404040"/>
                <w:sz w:val="20"/>
                <w:szCs w:val="20"/>
              </w:rPr>
              <w:t xml:space="preserve">Initial report submitted</w:t>
            </w:r>
          </w:p>
        </w:tc>
        <w:tc>
          <w:tcPr>
            <w:tcW w:type="dxa" w:w="1400"/>
            <w:tcBorders>
              <w:top w:val="single" w:color="BBBBBB" w:sz="1"/>
              <w:left w:val="single" w:color="BBBBBB" w:sz="1"/>
              <w:bottom w:val="single" w:color="BBBBBB" w:sz="1"/>
              <w:right w:val="single" w:color="BBBBBB" w:sz="1"/>
            </w:tcBorders>
            <w:shd w:fill="FFD7D7" w:val="clear"/>
            <w:tcMar>
              <w:top w:type="dxa" w:w="80"/>
              <w:left w:type="dxa" w:w="130"/>
              <w:bottom w:type="dxa" w:w="80"/>
              <w:right w:type="dxa" w:w="130"/>
            </w:tcMar>
          </w:tcPr>
          <w:p>
            <w:pPr>
              <w:jc w:val="center"/>
            </w:pPr>
            <w:r>
              <w:rPr>
                <w:rFonts w:ascii="Arial" w:cs="Arial" w:eastAsia="Arial" w:hAnsi="Arial"/>
                <w:b/>
                <w:bCs/>
                <w:color w:val="C00000"/>
                <w:sz w:val="20"/>
                <w:szCs w:val="20"/>
              </w:rPr>
              <w:t xml:space="preserve">30 min</w:t>
            </w:r>
          </w:p>
        </w:tc>
        <w:tc>
          <w:tcPr>
            <w:tcW w:type="dxa" w:w="1400"/>
            <w:tcBorders>
              <w:top w:val="single" w:color="BBBBBB" w:sz="1"/>
              <w:left w:val="single" w:color="BBBBBB" w:sz="1"/>
              <w:bottom w:val="single" w:color="BBBBBB" w:sz="1"/>
              <w:right w:val="single" w:color="BBBBBB" w:sz="1"/>
            </w:tcBorders>
            <w:shd w:fill="FCE4D6" w:val="clear"/>
            <w:tcMar>
              <w:top w:type="dxa" w:w="80"/>
              <w:left w:type="dxa" w:w="130"/>
              <w:bottom w:type="dxa" w:w="80"/>
              <w:right w:type="dxa" w:w="130"/>
            </w:tcMar>
          </w:tcPr>
          <w:p>
            <w:pPr>
              <w:jc w:val="center"/>
            </w:pPr>
            <w:r>
              <w:rPr>
                <w:rFonts w:ascii="Arial" w:cs="Arial" w:eastAsia="Arial" w:hAnsi="Arial"/>
                <w:b/>
                <w:bCs/>
                <w:color w:val="843C0C"/>
                <w:sz w:val="20"/>
                <w:szCs w:val="20"/>
              </w:rPr>
              <w:t xml:space="preserve">30 min</w:t>
            </w:r>
          </w:p>
        </w:tc>
        <w:tc>
          <w:tcPr>
            <w:tcW w:type="dxa" w:w="1400"/>
            <w:tcBorders>
              <w:top w:val="single" w:color="BBBBBB" w:sz="1"/>
              <w:left w:val="single" w:color="BBBBBB" w:sz="1"/>
              <w:bottom w:val="single" w:color="BBBBBB" w:sz="1"/>
              <w:right w:val="single" w:color="BBBBBB" w:sz="1"/>
            </w:tcBorders>
            <w:shd w:fill="FFF2CC" w:val="clear"/>
            <w:tcMar>
              <w:top w:type="dxa" w:w="80"/>
              <w:left w:type="dxa" w:w="130"/>
              <w:bottom w:type="dxa" w:w="80"/>
              <w:right w:type="dxa" w:w="130"/>
            </w:tcMar>
          </w:tcPr>
          <w:p>
            <w:pPr>
              <w:jc w:val="center"/>
            </w:pPr>
            <w:r>
              <w:rPr>
                <w:rFonts w:ascii="Arial" w:cs="Arial" w:eastAsia="Arial" w:hAnsi="Arial"/>
                <w:b/>
                <w:bCs/>
                <w:color w:val="7F4F00"/>
                <w:sz w:val="20"/>
                <w:szCs w:val="20"/>
              </w:rPr>
              <w:t xml:space="preserve">2 hrs</w:t>
            </w:r>
          </w:p>
        </w:tc>
        <w:tc>
          <w:tcPr>
            <w:tcW w:type="dxa" w:w="1400"/>
            <w:tcBorders>
              <w:top w:val="single" w:color="BBBBBB" w:sz="1"/>
              <w:left w:val="single" w:color="BBBBBB" w:sz="1"/>
              <w:bottom w:val="single" w:color="BBBBBB" w:sz="1"/>
              <w:right w:val="single" w:color="BBBBBB" w:sz="1"/>
            </w:tcBorders>
            <w:shd w:fill="E2EFDA" w:val="clear"/>
            <w:tcMar>
              <w:top w:type="dxa" w:w="80"/>
              <w:left w:type="dxa" w:w="130"/>
              <w:bottom w:type="dxa" w:w="80"/>
              <w:right w:type="dxa" w:w="130"/>
            </w:tcMar>
          </w:tcPr>
          <w:p>
            <w:pPr>
              <w:jc w:val="center"/>
            </w:pPr>
            <w:r>
              <w:rPr>
                <w:rFonts w:ascii="Arial" w:cs="Arial" w:eastAsia="Arial" w:hAnsi="Arial"/>
                <w:b/>
                <w:bCs/>
                <w:color w:val="375623"/>
                <w:sz w:val="20"/>
                <w:szCs w:val="20"/>
              </w:rPr>
              <w:t xml:space="preserve">24 hrs</w:t>
            </w:r>
          </w:p>
        </w:tc>
        <w:tc>
          <w:tcPr>
            <w:tcW w:type="dxa" w:w="13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pPr>
              <w:jc w:val="left"/>
            </w:pPr>
            <w:r>
              <w:rPr>
                <w:rFonts w:ascii="Arial" w:cs="Arial" w:eastAsia="Arial" w:hAnsi="Arial"/>
                <w:b w:val="false"/>
                <w:bCs w:val="false"/>
                <w:color w:val="404040"/>
                <w:sz w:val="20"/>
                <w:szCs w:val="20"/>
              </w:rPr>
              <w:t xml:space="preserve">From point of detection</w:t>
            </w:r>
          </w:p>
        </w:tc>
      </w:tr>
      <w:tr>
        <w:tc>
          <w:tcPr>
            <w:tcW w:type="dxa" w:w="2800"/>
            <w:tcBorders>
              <w:top w:val="single" w:color="BBBBBB" w:sz="1"/>
              <w:left w:val="single" w:color="BBBBBB" w:sz="1"/>
              <w:bottom w:val="single" w:color="BBBBBB" w:sz="1"/>
              <w:right w:val="single" w:color="BBBBBB" w:sz="1"/>
            </w:tcBorders>
            <w:shd w:fill="EEF4FB" w:val="clear"/>
            <w:tcMar>
              <w:top w:type="dxa" w:w="80"/>
              <w:left w:type="dxa" w:w="130"/>
              <w:bottom w:type="dxa" w:w="80"/>
              <w:right w:type="dxa" w:w="130"/>
            </w:tcMar>
          </w:tcPr>
          <w:p>
            <w:pPr>
              <w:jc w:val="left"/>
            </w:pPr>
            <w:r>
              <w:rPr>
                <w:rFonts w:ascii="Arial" w:cs="Arial" w:eastAsia="Arial" w:hAnsi="Arial"/>
                <w:b/>
                <w:bCs/>
                <w:color w:val="404040"/>
                <w:sz w:val="20"/>
                <w:szCs w:val="20"/>
              </w:rPr>
              <w:t xml:space="preserve">Incident Commander engaged</w:t>
            </w:r>
          </w:p>
        </w:tc>
        <w:tc>
          <w:tcPr>
            <w:tcW w:type="dxa" w:w="1400"/>
            <w:tcBorders>
              <w:top w:val="single" w:color="BBBBBB" w:sz="1"/>
              <w:left w:val="single" w:color="BBBBBB" w:sz="1"/>
              <w:bottom w:val="single" w:color="BBBBBB" w:sz="1"/>
              <w:right w:val="single" w:color="BBBBBB" w:sz="1"/>
            </w:tcBorders>
            <w:shd w:fill="FFD7D7" w:val="clear"/>
            <w:tcMar>
              <w:top w:type="dxa" w:w="80"/>
              <w:left w:type="dxa" w:w="130"/>
              <w:bottom w:type="dxa" w:w="80"/>
              <w:right w:type="dxa" w:w="130"/>
            </w:tcMar>
          </w:tcPr>
          <w:p>
            <w:pPr>
              <w:jc w:val="center"/>
            </w:pPr>
            <w:r>
              <w:rPr>
                <w:rFonts w:ascii="Arial" w:cs="Arial" w:eastAsia="Arial" w:hAnsi="Arial"/>
                <w:b/>
                <w:bCs/>
                <w:color w:val="C00000"/>
                <w:sz w:val="20"/>
                <w:szCs w:val="20"/>
              </w:rPr>
              <w:t xml:space="preserve">1 hr</w:t>
            </w:r>
          </w:p>
        </w:tc>
        <w:tc>
          <w:tcPr>
            <w:tcW w:type="dxa" w:w="1400"/>
            <w:tcBorders>
              <w:top w:val="single" w:color="BBBBBB" w:sz="1"/>
              <w:left w:val="single" w:color="BBBBBB" w:sz="1"/>
              <w:bottom w:val="single" w:color="BBBBBB" w:sz="1"/>
              <w:right w:val="single" w:color="BBBBBB" w:sz="1"/>
            </w:tcBorders>
            <w:shd w:fill="FCE4D6" w:val="clear"/>
            <w:tcMar>
              <w:top w:type="dxa" w:w="80"/>
              <w:left w:type="dxa" w:w="130"/>
              <w:bottom w:type="dxa" w:w="80"/>
              <w:right w:type="dxa" w:w="130"/>
            </w:tcMar>
          </w:tcPr>
          <w:p>
            <w:pPr>
              <w:jc w:val="center"/>
            </w:pPr>
            <w:r>
              <w:rPr>
                <w:rFonts w:ascii="Arial" w:cs="Arial" w:eastAsia="Arial" w:hAnsi="Arial"/>
                <w:b/>
                <w:bCs/>
                <w:color w:val="843C0C"/>
                <w:sz w:val="20"/>
                <w:szCs w:val="20"/>
              </w:rPr>
              <w:t xml:space="preserve">2 hrs</w:t>
            </w:r>
          </w:p>
        </w:tc>
        <w:tc>
          <w:tcPr>
            <w:tcW w:type="dxa" w:w="1400"/>
            <w:tcBorders>
              <w:top w:val="single" w:color="BBBBBB" w:sz="1"/>
              <w:left w:val="single" w:color="BBBBBB" w:sz="1"/>
              <w:bottom w:val="single" w:color="BBBBBB" w:sz="1"/>
              <w:right w:val="single" w:color="BBBBBB" w:sz="1"/>
            </w:tcBorders>
            <w:shd w:fill="FFF2CC" w:val="clear"/>
            <w:tcMar>
              <w:top w:type="dxa" w:w="80"/>
              <w:left w:type="dxa" w:w="130"/>
              <w:bottom w:type="dxa" w:w="80"/>
              <w:right w:type="dxa" w:w="130"/>
            </w:tcMar>
          </w:tcPr>
          <w:p>
            <w:pPr>
              <w:jc w:val="center"/>
            </w:pPr>
            <w:r>
              <w:rPr>
                <w:rFonts w:ascii="Arial" w:cs="Arial" w:eastAsia="Arial" w:hAnsi="Arial"/>
                <w:b/>
                <w:bCs/>
                <w:color w:val="7F4F00"/>
                <w:sz w:val="20"/>
                <w:szCs w:val="20"/>
              </w:rPr>
              <w:t xml:space="preserve">4 hrs</w:t>
            </w:r>
          </w:p>
        </w:tc>
        <w:tc>
          <w:tcPr>
            <w:tcW w:type="dxa" w:w="1400"/>
            <w:tcBorders>
              <w:top w:val="single" w:color="BBBBBB" w:sz="1"/>
              <w:left w:val="single" w:color="BBBBBB" w:sz="1"/>
              <w:bottom w:val="single" w:color="BBBBBB" w:sz="1"/>
              <w:right w:val="single" w:color="BBBBBB" w:sz="1"/>
            </w:tcBorders>
            <w:shd w:fill="E2EFDA" w:val="clear"/>
            <w:tcMar>
              <w:top w:type="dxa" w:w="80"/>
              <w:left w:type="dxa" w:w="130"/>
              <w:bottom w:type="dxa" w:w="80"/>
              <w:right w:type="dxa" w:w="130"/>
            </w:tcMar>
          </w:tcPr>
          <w:p>
            <w:pPr>
              <w:jc w:val="center"/>
            </w:pPr>
            <w:r>
              <w:rPr>
                <w:rFonts w:ascii="Arial" w:cs="Arial" w:eastAsia="Arial" w:hAnsi="Arial"/>
                <w:b/>
                <w:bCs/>
                <w:color w:val="375623"/>
                <w:sz w:val="20"/>
                <w:szCs w:val="20"/>
              </w:rPr>
              <w:t xml:space="preserve">48 hrs</w:t>
            </w:r>
          </w:p>
        </w:tc>
        <w:tc>
          <w:tcPr>
            <w:tcW w:type="dxa" w:w="1360"/>
            <w:tcBorders>
              <w:top w:val="single" w:color="BBBBBB" w:sz="1"/>
              <w:left w:val="single" w:color="BBBBBB" w:sz="1"/>
              <w:bottom w:val="single" w:color="BBBBBB" w:sz="1"/>
              <w:right w:val="single" w:color="BBBBBB" w:sz="1"/>
            </w:tcBorders>
            <w:shd w:fill="EEF4FB" w:val="clear"/>
            <w:tcMar>
              <w:top w:type="dxa" w:w="80"/>
              <w:left w:type="dxa" w:w="130"/>
              <w:bottom w:type="dxa" w:w="80"/>
              <w:right w:type="dxa" w:w="130"/>
            </w:tcMar>
          </w:tcPr>
          <w:p>
            <w:pPr>
              <w:jc w:val="left"/>
            </w:pPr>
            <w:r>
              <w:rPr>
                <w:rFonts w:ascii="Arial" w:cs="Arial" w:eastAsia="Arial" w:hAnsi="Arial"/>
                <w:b w:val="false"/>
                <w:bCs w:val="false"/>
                <w:color w:val="404040"/>
                <w:sz w:val="20"/>
                <w:szCs w:val="20"/>
              </w:rPr>
              <w:t xml:space="preserve"/>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pPr>
              <w:jc w:val="left"/>
            </w:pPr>
            <w:r>
              <w:rPr>
                <w:rFonts w:ascii="Arial" w:cs="Arial" w:eastAsia="Arial" w:hAnsi="Arial"/>
                <w:b/>
                <w:bCs/>
                <w:color w:val="404040"/>
                <w:sz w:val="20"/>
                <w:szCs w:val="20"/>
              </w:rPr>
              <w:t xml:space="preserve">Severity classification confirmed</w:t>
            </w:r>
          </w:p>
        </w:tc>
        <w:tc>
          <w:tcPr>
            <w:tcW w:type="dxa" w:w="1400"/>
            <w:tcBorders>
              <w:top w:val="single" w:color="BBBBBB" w:sz="1"/>
              <w:left w:val="single" w:color="BBBBBB" w:sz="1"/>
              <w:bottom w:val="single" w:color="BBBBBB" w:sz="1"/>
              <w:right w:val="single" w:color="BBBBBB" w:sz="1"/>
            </w:tcBorders>
            <w:shd w:fill="FFD7D7" w:val="clear"/>
            <w:tcMar>
              <w:top w:type="dxa" w:w="80"/>
              <w:left w:type="dxa" w:w="130"/>
              <w:bottom w:type="dxa" w:w="80"/>
              <w:right w:type="dxa" w:w="130"/>
            </w:tcMar>
          </w:tcPr>
          <w:p>
            <w:pPr>
              <w:jc w:val="center"/>
            </w:pPr>
            <w:r>
              <w:rPr>
                <w:rFonts w:ascii="Arial" w:cs="Arial" w:eastAsia="Arial" w:hAnsi="Arial"/>
                <w:b/>
                <w:bCs/>
                <w:color w:val="C00000"/>
                <w:sz w:val="20"/>
                <w:szCs w:val="20"/>
              </w:rPr>
              <w:t xml:space="preserve">1 hr</w:t>
            </w:r>
          </w:p>
        </w:tc>
        <w:tc>
          <w:tcPr>
            <w:tcW w:type="dxa" w:w="1400"/>
            <w:tcBorders>
              <w:top w:val="single" w:color="BBBBBB" w:sz="1"/>
              <w:left w:val="single" w:color="BBBBBB" w:sz="1"/>
              <w:bottom w:val="single" w:color="BBBBBB" w:sz="1"/>
              <w:right w:val="single" w:color="BBBBBB" w:sz="1"/>
            </w:tcBorders>
            <w:shd w:fill="FCE4D6" w:val="clear"/>
            <w:tcMar>
              <w:top w:type="dxa" w:w="80"/>
              <w:left w:type="dxa" w:w="130"/>
              <w:bottom w:type="dxa" w:w="80"/>
              <w:right w:type="dxa" w:w="130"/>
            </w:tcMar>
          </w:tcPr>
          <w:p>
            <w:pPr>
              <w:jc w:val="center"/>
            </w:pPr>
            <w:r>
              <w:rPr>
                <w:rFonts w:ascii="Arial" w:cs="Arial" w:eastAsia="Arial" w:hAnsi="Arial"/>
                <w:b/>
                <w:bCs/>
                <w:color w:val="843C0C"/>
                <w:sz w:val="20"/>
                <w:szCs w:val="20"/>
              </w:rPr>
              <w:t xml:space="preserve">2 hrs</w:t>
            </w:r>
          </w:p>
        </w:tc>
        <w:tc>
          <w:tcPr>
            <w:tcW w:type="dxa" w:w="1400"/>
            <w:tcBorders>
              <w:top w:val="single" w:color="BBBBBB" w:sz="1"/>
              <w:left w:val="single" w:color="BBBBBB" w:sz="1"/>
              <w:bottom w:val="single" w:color="BBBBBB" w:sz="1"/>
              <w:right w:val="single" w:color="BBBBBB" w:sz="1"/>
            </w:tcBorders>
            <w:shd w:fill="FFF2CC" w:val="clear"/>
            <w:tcMar>
              <w:top w:type="dxa" w:w="80"/>
              <w:left w:type="dxa" w:w="130"/>
              <w:bottom w:type="dxa" w:w="80"/>
              <w:right w:type="dxa" w:w="130"/>
            </w:tcMar>
          </w:tcPr>
          <w:p>
            <w:pPr>
              <w:jc w:val="center"/>
            </w:pPr>
            <w:r>
              <w:rPr>
                <w:rFonts w:ascii="Arial" w:cs="Arial" w:eastAsia="Arial" w:hAnsi="Arial"/>
                <w:b/>
                <w:bCs/>
                <w:color w:val="7F4F00"/>
                <w:sz w:val="20"/>
                <w:szCs w:val="20"/>
              </w:rPr>
              <w:t xml:space="preserve">4 hrs</w:t>
            </w:r>
          </w:p>
        </w:tc>
        <w:tc>
          <w:tcPr>
            <w:tcW w:type="dxa" w:w="1400"/>
            <w:tcBorders>
              <w:top w:val="single" w:color="BBBBBB" w:sz="1"/>
              <w:left w:val="single" w:color="BBBBBB" w:sz="1"/>
              <w:bottom w:val="single" w:color="BBBBBB" w:sz="1"/>
              <w:right w:val="single" w:color="BBBBBB" w:sz="1"/>
            </w:tcBorders>
            <w:shd w:fill="E2EFDA" w:val="clear"/>
            <w:tcMar>
              <w:top w:type="dxa" w:w="80"/>
              <w:left w:type="dxa" w:w="130"/>
              <w:bottom w:type="dxa" w:w="80"/>
              <w:right w:type="dxa" w:w="130"/>
            </w:tcMar>
          </w:tcPr>
          <w:p>
            <w:pPr>
              <w:jc w:val="center"/>
            </w:pPr>
            <w:r>
              <w:rPr>
                <w:rFonts w:ascii="Arial" w:cs="Arial" w:eastAsia="Arial" w:hAnsi="Arial"/>
                <w:b/>
                <w:bCs/>
                <w:color w:val="375623"/>
                <w:sz w:val="20"/>
                <w:szCs w:val="20"/>
              </w:rPr>
              <w:t xml:space="preserve">48 hrs</w:t>
            </w:r>
          </w:p>
        </w:tc>
        <w:tc>
          <w:tcPr>
            <w:tcW w:type="dxa" w:w="13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pPr>
              <w:jc w:val="left"/>
            </w:pPr>
            <w:r>
              <w:rPr>
                <w:rFonts w:ascii="Arial" w:cs="Arial" w:eastAsia="Arial" w:hAnsi="Arial"/>
                <w:b w:val="false"/>
                <w:bCs w:val="false"/>
                <w:color w:val="404040"/>
                <w:sz w:val="20"/>
                <w:szCs w:val="20"/>
              </w:rPr>
              <w:t xml:space="preserve">May be revised as info develops</w:t>
            </w:r>
          </w:p>
        </w:tc>
      </w:tr>
      <w:tr>
        <w:tc>
          <w:tcPr>
            <w:tcW w:type="dxa" w:w="2800"/>
            <w:tcBorders>
              <w:top w:val="single" w:color="BBBBBB" w:sz="1"/>
              <w:left w:val="single" w:color="BBBBBB" w:sz="1"/>
              <w:bottom w:val="single" w:color="BBBBBB" w:sz="1"/>
              <w:right w:val="single" w:color="BBBBBB" w:sz="1"/>
            </w:tcBorders>
            <w:shd w:fill="EEF4FB" w:val="clear"/>
            <w:tcMar>
              <w:top w:type="dxa" w:w="80"/>
              <w:left w:type="dxa" w:w="130"/>
              <w:bottom w:type="dxa" w:w="80"/>
              <w:right w:type="dxa" w:w="130"/>
            </w:tcMar>
          </w:tcPr>
          <w:p>
            <w:pPr>
              <w:jc w:val="left"/>
            </w:pPr>
            <w:r>
              <w:rPr>
                <w:rFonts w:ascii="Arial" w:cs="Arial" w:eastAsia="Arial" w:hAnsi="Arial"/>
                <w:b/>
                <w:bCs/>
                <w:color w:val="404040"/>
                <w:sz w:val="20"/>
                <w:szCs w:val="20"/>
              </w:rPr>
              <w:t xml:space="preserve">AIGC notified</w:t>
            </w:r>
          </w:p>
        </w:tc>
        <w:tc>
          <w:tcPr>
            <w:tcW w:type="dxa" w:w="1400"/>
            <w:tcBorders>
              <w:top w:val="single" w:color="BBBBBB" w:sz="1"/>
              <w:left w:val="single" w:color="BBBBBB" w:sz="1"/>
              <w:bottom w:val="single" w:color="BBBBBB" w:sz="1"/>
              <w:right w:val="single" w:color="BBBBBB" w:sz="1"/>
            </w:tcBorders>
            <w:shd w:fill="FFD7D7" w:val="clear"/>
            <w:tcMar>
              <w:top w:type="dxa" w:w="80"/>
              <w:left w:type="dxa" w:w="130"/>
              <w:bottom w:type="dxa" w:w="80"/>
              <w:right w:type="dxa" w:w="130"/>
            </w:tcMar>
          </w:tcPr>
          <w:p>
            <w:pPr>
              <w:jc w:val="center"/>
            </w:pPr>
            <w:r>
              <w:rPr>
                <w:rFonts w:ascii="Arial" w:cs="Arial" w:eastAsia="Arial" w:hAnsi="Arial"/>
                <w:b/>
                <w:bCs/>
                <w:color w:val="C00000"/>
                <w:sz w:val="20"/>
                <w:szCs w:val="20"/>
              </w:rPr>
              <w:t xml:space="preserve">1 hr</w:t>
            </w:r>
          </w:p>
        </w:tc>
        <w:tc>
          <w:tcPr>
            <w:tcW w:type="dxa" w:w="1400"/>
            <w:tcBorders>
              <w:top w:val="single" w:color="BBBBBB" w:sz="1"/>
              <w:left w:val="single" w:color="BBBBBB" w:sz="1"/>
              <w:bottom w:val="single" w:color="BBBBBB" w:sz="1"/>
              <w:right w:val="single" w:color="BBBBBB" w:sz="1"/>
            </w:tcBorders>
            <w:shd w:fill="FCE4D6" w:val="clear"/>
            <w:tcMar>
              <w:top w:type="dxa" w:w="80"/>
              <w:left w:type="dxa" w:w="130"/>
              <w:bottom w:type="dxa" w:w="80"/>
              <w:right w:type="dxa" w:w="130"/>
            </w:tcMar>
          </w:tcPr>
          <w:p>
            <w:pPr>
              <w:jc w:val="center"/>
            </w:pPr>
            <w:r>
              <w:rPr>
                <w:rFonts w:ascii="Arial" w:cs="Arial" w:eastAsia="Arial" w:hAnsi="Arial"/>
                <w:b/>
                <w:bCs/>
                <w:color w:val="843C0C"/>
                <w:sz w:val="20"/>
                <w:szCs w:val="20"/>
              </w:rPr>
              <w:t xml:space="preserve">4 hrs</w:t>
            </w:r>
          </w:p>
        </w:tc>
        <w:tc>
          <w:tcPr>
            <w:tcW w:type="dxa" w:w="1400"/>
            <w:tcBorders>
              <w:top w:val="single" w:color="BBBBBB" w:sz="1"/>
              <w:left w:val="single" w:color="BBBBBB" w:sz="1"/>
              <w:bottom w:val="single" w:color="BBBBBB" w:sz="1"/>
              <w:right w:val="single" w:color="BBBBBB" w:sz="1"/>
            </w:tcBorders>
            <w:shd w:fill="FFF2CC" w:val="clear"/>
            <w:tcMar>
              <w:top w:type="dxa" w:w="80"/>
              <w:left w:type="dxa" w:w="130"/>
              <w:bottom w:type="dxa" w:w="80"/>
              <w:right w:type="dxa" w:w="130"/>
            </w:tcMar>
          </w:tcPr>
          <w:p>
            <w:pPr>
              <w:jc w:val="center"/>
            </w:pPr>
            <w:r>
              <w:rPr>
                <w:rFonts w:ascii="Arial" w:cs="Arial" w:eastAsia="Arial" w:hAnsi="Arial"/>
                <w:b/>
                <w:bCs/>
                <w:color w:val="7F4F00"/>
                <w:sz w:val="20"/>
                <w:szCs w:val="20"/>
              </w:rPr>
              <w:t xml:space="preserve">24 hrs</w:t>
            </w:r>
          </w:p>
        </w:tc>
        <w:tc>
          <w:tcPr>
            <w:tcW w:type="dxa" w:w="1400"/>
            <w:tcBorders>
              <w:top w:val="single" w:color="BBBBBB" w:sz="1"/>
              <w:left w:val="single" w:color="BBBBBB" w:sz="1"/>
              <w:bottom w:val="single" w:color="BBBBBB" w:sz="1"/>
              <w:right w:val="single" w:color="BBBBBB" w:sz="1"/>
            </w:tcBorders>
            <w:shd w:fill="E2EFDA" w:val="clear"/>
            <w:tcMar>
              <w:top w:type="dxa" w:w="80"/>
              <w:left w:type="dxa" w:w="130"/>
              <w:bottom w:type="dxa" w:w="80"/>
              <w:right w:type="dxa" w:w="130"/>
            </w:tcMar>
          </w:tcPr>
          <w:p>
            <w:pPr>
              <w:jc w:val="center"/>
            </w:pPr>
            <w:r>
              <w:rPr>
                <w:rFonts w:ascii="Arial" w:cs="Arial" w:eastAsia="Arial" w:hAnsi="Arial"/>
                <w:b/>
                <w:bCs/>
                <w:color w:val="375623"/>
                <w:sz w:val="20"/>
                <w:szCs w:val="20"/>
              </w:rPr>
              <w:t xml:space="preserve">Next mtg</w:t>
            </w:r>
          </w:p>
        </w:tc>
        <w:tc>
          <w:tcPr>
            <w:tcW w:type="dxa" w:w="1360"/>
            <w:tcBorders>
              <w:top w:val="single" w:color="BBBBBB" w:sz="1"/>
              <w:left w:val="single" w:color="BBBBBB" w:sz="1"/>
              <w:bottom w:val="single" w:color="BBBBBB" w:sz="1"/>
              <w:right w:val="single" w:color="BBBBBB" w:sz="1"/>
            </w:tcBorders>
            <w:shd w:fill="EEF4FB" w:val="clear"/>
            <w:tcMar>
              <w:top w:type="dxa" w:w="80"/>
              <w:left w:type="dxa" w:w="130"/>
              <w:bottom w:type="dxa" w:w="80"/>
              <w:right w:type="dxa" w:w="130"/>
            </w:tcMar>
          </w:tcPr>
          <w:p>
            <w:pPr>
              <w:jc w:val="left"/>
            </w:pPr>
            <w:r>
              <w:rPr>
                <w:rFonts w:ascii="Arial" w:cs="Arial" w:eastAsia="Arial" w:hAnsi="Arial"/>
                <w:b w:val="false"/>
                <w:bCs w:val="false"/>
                <w:color w:val="404040"/>
                <w:sz w:val="20"/>
                <w:szCs w:val="20"/>
              </w:rPr>
              <w:t xml:space="preserve">Via Slack + email</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pPr>
              <w:jc w:val="left"/>
            </w:pPr>
            <w:r>
              <w:rPr>
                <w:rFonts w:ascii="Arial" w:cs="Arial" w:eastAsia="Arial" w:hAnsi="Arial"/>
                <w:b/>
                <w:bCs/>
                <w:color w:val="404040"/>
                <w:sz w:val="20"/>
                <w:szCs w:val="20"/>
              </w:rPr>
              <w:t xml:space="preserve">Initial containment action taken</w:t>
            </w:r>
          </w:p>
        </w:tc>
        <w:tc>
          <w:tcPr>
            <w:tcW w:type="dxa" w:w="1400"/>
            <w:tcBorders>
              <w:top w:val="single" w:color="BBBBBB" w:sz="1"/>
              <w:left w:val="single" w:color="BBBBBB" w:sz="1"/>
              <w:bottom w:val="single" w:color="BBBBBB" w:sz="1"/>
              <w:right w:val="single" w:color="BBBBBB" w:sz="1"/>
            </w:tcBorders>
            <w:shd w:fill="FFD7D7" w:val="clear"/>
            <w:tcMar>
              <w:top w:type="dxa" w:w="80"/>
              <w:left w:type="dxa" w:w="130"/>
              <w:bottom w:type="dxa" w:w="80"/>
              <w:right w:type="dxa" w:w="130"/>
            </w:tcMar>
          </w:tcPr>
          <w:p>
            <w:pPr>
              <w:jc w:val="center"/>
            </w:pPr>
            <w:r>
              <w:rPr>
                <w:rFonts w:ascii="Arial" w:cs="Arial" w:eastAsia="Arial" w:hAnsi="Arial"/>
                <w:b/>
                <w:bCs/>
                <w:color w:val="C00000"/>
                <w:sz w:val="20"/>
                <w:szCs w:val="20"/>
              </w:rPr>
              <w:t xml:space="preserve">2 hrs</w:t>
            </w:r>
          </w:p>
        </w:tc>
        <w:tc>
          <w:tcPr>
            <w:tcW w:type="dxa" w:w="1400"/>
            <w:tcBorders>
              <w:top w:val="single" w:color="BBBBBB" w:sz="1"/>
              <w:left w:val="single" w:color="BBBBBB" w:sz="1"/>
              <w:bottom w:val="single" w:color="BBBBBB" w:sz="1"/>
              <w:right w:val="single" w:color="BBBBBB" w:sz="1"/>
            </w:tcBorders>
            <w:shd w:fill="FCE4D6" w:val="clear"/>
            <w:tcMar>
              <w:top w:type="dxa" w:w="80"/>
              <w:left w:type="dxa" w:w="130"/>
              <w:bottom w:type="dxa" w:w="80"/>
              <w:right w:type="dxa" w:w="130"/>
            </w:tcMar>
          </w:tcPr>
          <w:p>
            <w:pPr>
              <w:jc w:val="center"/>
            </w:pPr>
            <w:r>
              <w:rPr>
                <w:rFonts w:ascii="Arial" w:cs="Arial" w:eastAsia="Arial" w:hAnsi="Arial"/>
                <w:b/>
                <w:bCs/>
                <w:color w:val="843C0C"/>
                <w:sz w:val="20"/>
                <w:szCs w:val="20"/>
              </w:rPr>
              <w:t xml:space="preserve">4 hrs</w:t>
            </w:r>
          </w:p>
        </w:tc>
        <w:tc>
          <w:tcPr>
            <w:tcW w:type="dxa" w:w="1400"/>
            <w:tcBorders>
              <w:top w:val="single" w:color="BBBBBB" w:sz="1"/>
              <w:left w:val="single" w:color="BBBBBB" w:sz="1"/>
              <w:bottom w:val="single" w:color="BBBBBB" w:sz="1"/>
              <w:right w:val="single" w:color="BBBBBB" w:sz="1"/>
            </w:tcBorders>
            <w:shd w:fill="FFF2CC" w:val="clear"/>
            <w:tcMar>
              <w:top w:type="dxa" w:w="80"/>
              <w:left w:type="dxa" w:w="130"/>
              <w:bottom w:type="dxa" w:w="80"/>
              <w:right w:type="dxa" w:w="130"/>
            </w:tcMar>
          </w:tcPr>
          <w:p>
            <w:pPr>
              <w:jc w:val="center"/>
            </w:pPr>
            <w:r>
              <w:rPr>
                <w:rFonts w:ascii="Arial" w:cs="Arial" w:eastAsia="Arial" w:hAnsi="Arial"/>
                <w:b/>
                <w:bCs/>
                <w:color w:val="7F4F00"/>
                <w:sz w:val="20"/>
                <w:szCs w:val="20"/>
              </w:rPr>
              <w:t xml:space="preserve">24 hrs</w:t>
            </w:r>
          </w:p>
        </w:tc>
        <w:tc>
          <w:tcPr>
            <w:tcW w:type="dxa" w:w="1400"/>
            <w:tcBorders>
              <w:top w:val="single" w:color="BBBBBB" w:sz="1"/>
              <w:left w:val="single" w:color="BBBBBB" w:sz="1"/>
              <w:bottom w:val="single" w:color="BBBBBB" w:sz="1"/>
              <w:right w:val="single" w:color="BBBBBB" w:sz="1"/>
            </w:tcBorders>
            <w:shd w:fill="E2EFDA" w:val="clear"/>
            <w:tcMar>
              <w:top w:type="dxa" w:w="80"/>
              <w:left w:type="dxa" w:w="130"/>
              <w:bottom w:type="dxa" w:w="80"/>
              <w:right w:type="dxa" w:w="130"/>
            </w:tcMar>
          </w:tcPr>
          <w:p>
            <w:pPr>
              <w:jc w:val="center"/>
            </w:pPr>
            <w:r>
              <w:rPr>
                <w:rFonts w:ascii="Arial" w:cs="Arial" w:eastAsia="Arial" w:hAnsi="Arial"/>
                <w:b/>
                <w:bCs/>
                <w:color w:val="375623"/>
                <w:sz w:val="20"/>
                <w:szCs w:val="20"/>
              </w:rPr>
              <w:t xml:space="preserve">72 hrs</w:t>
            </w:r>
          </w:p>
        </w:tc>
        <w:tc>
          <w:tcPr>
            <w:tcW w:type="dxa" w:w="13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pPr>
              <w:jc w:val="left"/>
            </w:pPr>
            <w:r>
              <w:rPr>
                <w:rFonts w:ascii="Arial" w:cs="Arial" w:eastAsia="Arial" w:hAnsi="Arial"/>
                <w:b w:val="false"/>
                <w:bCs w:val="false"/>
                <w:color w:val="404040"/>
                <w:sz w:val="20"/>
                <w:szCs w:val="20"/>
              </w:rPr>
              <w:t xml:space="preserve"/>
            </w:r>
          </w:p>
        </w:tc>
      </w:tr>
      <w:tr>
        <w:tc>
          <w:tcPr>
            <w:tcW w:type="dxa" w:w="2800"/>
            <w:tcBorders>
              <w:top w:val="single" w:color="BBBBBB" w:sz="1"/>
              <w:left w:val="single" w:color="BBBBBB" w:sz="1"/>
              <w:bottom w:val="single" w:color="BBBBBB" w:sz="1"/>
              <w:right w:val="single" w:color="BBBBBB" w:sz="1"/>
            </w:tcBorders>
            <w:shd w:fill="EEF4FB" w:val="clear"/>
            <w:tcMar>
              <w:top w:type="dxa" w:w="80"/>
              <w:left w:type="dxa" w:w="130"/>
              <w:bottom w:type="dxa" w:w="80"/>
              <w:right w:type="dxa" w:w="130"/>
            </w:tcMar>
          </w:tcPr>
          <w:p>
            <w:pPr>
              <w:jc w:val="left"/>
            </w:pPr>
            <w:r>
              <w:rPr>
                <w:rFonts w:ascii="Arial" w:cs="Arial" w:eastAsia="Arial" w:hAnsi="Arial"/>
                <w:b/>
                <w:bCs/>
                <w:color w:val="404040"/>
                <w:sz w:val="20"/>
                <w:szCs w:val="20"/>
              </w:rPr>
              <w:t xml:space="preserve">Customer notification (if needed)</w:t>
            </w:r>
          </w:p>
        </w:tc>
        <w:tc>
          <w:tcPr>
            <w:tcW w:type="dxa" w:w="1400"/>
            <w:tcBorders>
              <w:top w:val="single" w:color="BBBBBB" w:sz="1"/>
              <w:left w:val="single" w:color="BBBBBB" w:sz="1"/>
              <w:bottom w:val="single" w:color="BBBBBB" w:sz="1"/>
              <w:right w:val="single" w:color="BBBBBB" w:sz="1"/>
            </w:tcBorders>
            <w:shd w:fill="FFD7D7" w:val="clear"/>
            <w:tcMar>
              <w:top w:type="dxa" w:w="80"/>
              <w:left w:type="dxa" w:w="130"/>
              <w:bottom w:type="dxa" w:w="80"/>
              <w:right w:type="dxa" w:w="130"/>
            </w:tcMar>
          </w:tcPr>
          <w:p>
            <w:pPr>
              <w:jc w:val="center"/>
            </w:pPr>
            <w:r>
              <w:rPr>
                <w:rFonts w:ascii="Arial" w:cs="Arial" w:eastAsia="Arial" w:hAnsi="Arial"/>
                <w:b/>
                <w:bCs/>
                <w:color w:val="C00000"/>
                <w:sz w:val="20"/>
                <w:szCs w:val="20"/>
              </w:rPr>
              <w:t xml:space="preserve">4 hrs</w:t>
            </w:r>
          </w:p>
        </w:tc>
        <w:tc>
          <w:tcPr>
            <w:tcW w:type="dxa" w:w="1400"/>
            <w:tcBorders>
              <w:top w:val="single" w:color="BBBBBB" w:sz="1"/>
              <w:left w:val="single" w:color="BBBBBB" w:sz="1"/>
              <w:bottom w:val="single" w:color="BBBBBB" w:sz="1"/>
              <w:right w:val="single" w:color="BBBBBB" w:sz="1"/>
            </w:tcBorders>
            <w:shd w:fill="FCE4D6" w:val="clear"/>
            <w:tcMar>
              <w:top w:type="dxa" w:w="80"/>
              <w:left w:type="dxa" w:w="130"/>
              <w:bottom w:type="dxa" w:w="80"/>
              <w:right w:type="dxa" w:w="130"/>
            </w:tcMar>
          </w:tcPr>
          <w:p>
            <w:pPr>
              <w:jc w:val="center"/>
            </w:pPr>
            <w:r>
              <w:rPr>
                <w:rFonts w:ascii="Arial" w:cs="Arial" w:eastAsia="Arial" w:hAnsi="Arial"/>
                <w:b/>
                <w:bCs/>
                <w:color w:val="843C0C"/>
                <w:sz w:val="20"/>
                <w:szCs w:val="20"/>
              </w:rPr>
              <w:t xml:space="preserve">24 hrs</w:t>
            </w:r>
          </w:p>
        </w:tc>
        <w:tc>
          <w:tcPr>
            <w:tcW w:type="dxa" w:w="1400"/>
            <w:tcBorders>
              <w:top w:val="single" w:color="BBBBBB" w:sz="1"/>
              <w:left w:val="single" w:color="BBBBBB" w:sz="1"/>
              <w:bottom w:val="single" w:color="BBBBBB" w:sz="1"/>
              <w:right w:val="single" w:color="BBBBBB" w:sz="1"/>
            </w:tcBorders>
            <w:shd w:fill="FFF2CC" w:val="clear"/>
            <w:tcMar>
              <w:top w:type="dxa" w:w="80"/>
              <w:left w:type="dxa" w:w="130"/>
              <w:bottom w:type="dxa" w:w="80"/>
              <w:right w:type="dxa" w:w="130"/>
            </w:tcMar>
          </w:tcPr>
          <w:p>
            <w:pPr>
              <w:jc w:val="center"/>
            </w:pPr>
            <w:r>
              <w:rPr>
                <w:rFonts w:ascii="Arial" w:cs="Arial" w:eastAsia="Arial" w:hAnsi="Arial"/>
                <w:b/>
                <w:bCs/>
                <w:color w:val="7F4F00"/>
                <w:sz w:val="20"/>
                <w:szCs w:val="20"/>
              </w:rPr>
              <w:t xml:space="preserve">48 hrs</w:t>
            </w:r>
          </w:p>
        </w:tc>
        <w:tc>
          <w:tcPr>
            <w:tcW w:type="dxa" w:w="1400"/>
            <w:tcBorders>
              <w:top w:val="single" w:color="BBBBBB" w:sz="1"/>
              <w:left w:val="single" w:color="BBBBBB" w:sz="1"/>
              <w:bottom w:val="single" w:color="BBBBBB" w:sz="1"/>
              <w:right w:val="single" w:color="BBBBBB" w:sz="1"/>
            </w:tcBorders>
            <w:shd w:fill="E2EFDA" w:val="clear"/>
            <w:tcMar>
              <w:top w:type="dxa" w:w="80"/>
              <w:left w:type="dxa" w:w="130"/>
              <w:bottom w:type="dxa" w:w="80"/>
              <w:right w:type="dxa" w:w="130"/>
            </w:tcMar>
          </w:tcPr>
          <w:p>
            <w:pPr>
              <w:jc w:val="center"/>
            </w:pPr>
            <w:r>
              <w:rPr>
                <w:rFonts w:ascii="Arial" w:cs="Arial" w:eastAsia="Arial" w:hAnsi="Arial"/>
                <w:b/>
                <w:bCs/>
                <w:color w:val="375623"/>
                <w:sz w:val="20"/>
                <w:szCs w:val="20"/>
              </w:rPr>
              <w:t xml:space="preserve">N/A</w:t>
            </w:r>
          </w:p>
        </w:tc>
        <w:tc>
          <w:tcPr>
            <w:tcW w:type="dxa" w:w="1360"/>
            <w:tcBorders>
              <w:top w:val="single" w:color="BBBBBB" w:sz="1"/>
              <w:left w:val="single" w:color="BBBBBB" w:sz="1"/>
              <w:bottom w:val="single" w:color="BBBBBB" w:sz="1"/>
              <w:right w:val="single" w:color="BBBBBB" w:sz="1"/>
            </w:tcBorders>
            <w:shd w:fill="EEF4FB" w:val="clear"/>
            <w:tcMar>
              <w:top w:type="dxa" w:w="80"/>
              <w:left w:type="dxa" w:w="130"/>
              <w:bottom w:type="dxa" w:w="80"/>
              <w:right w:type="dxa" w:w="130"/>
            </w:tcMar>
          </w:tcPr>
          <w:p>
            <w:pPr>
              <w:jc w:val="left"/>
            </w:pPr>
            <w:r>
              <w:rPr>
                <w:rFonts w:ascii="Arial" w:cs="Arial" w:eastAsia="Arial" w:hAnsi="Arial"/>
                <w:b w:val="false"/>
                <w:bCs w:val="false"/>
                <w:color w:val="404040"/>
                <w:sz w:val="20"/>
                <w:szCs w:val="20"/>
              </w:rPr>
              <w:t xml:space="preserve">If customer data or service impacted</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pPr>
              <w:jc w:val="left"/>
            </w:pPr>
            <w:r>
              <w:rPr>
                <w:rFonts w:ascii="Arial" w:cs="Arial" w:eastAsia="Arial" w:hAnsi="Arial"/>
                <w:b/>
                <w:bCs/>
                <w:color w:val="404040"/>
                <w:sz w:val="20"/>
                <w:szCs w:val="20"/>
              </w:rPr>
              <w:t xml:space="preserve">ICO notification (if data breach)</w:t>
            </w:r>
          </w:p>
        </w:tc>
        <w:tc>
          <w:tcPr>
            <w:tcW w:type="dxa" w:w="1400"/>
            <w:tcBorders>
              <w:top w:val="single" w:color="BBBBBB" w:sz="1"/>
              <w:left w:val="single" w:color="BBBBBB" w:sz="1"/>
              <w:bottom w:val="single" w:color="BBBBBB" w:sz="1"/>
              <w:right w:val="single" w:color="BBBBBB" w:sz="1"/>
            </w:tcBorders>
            <w:shd w:fill="FFD7D7" w:val="clear"/>
            <w:tcMar>
              <w:top w:type="dxa" w:w="80"/>
              <w:left w:type="dxa" w:w="130"/>
              <w:bottom w:type="dxa" w:w="80"/>
              <w:right w:type="dxa" w:w="130"/>
            </w:tcMar>
          </w:tcPr>
          <w:p>
            <w:pPr>
              <w:jc w:val="center"/>
            </w:pPr>
            <w:r>
              <w:rPr>
                <w:rFonts w:ascii="Arial" w:cs="Arial" w:eastAsia="Arial" w:hAnsi="Arial"/>
                <w:b/>
                <w:bCs/>
                <w:color w:val="C00000"/>
                <w:sz w:val="20"/>
                <w:szCs w:val="20"/>
              </w:rPr>
              <w:t xml:space="preserve">72 hrs</w:t>
            </w:r>
          </w:p>
        </w:tc>
        <w:tc>
          <w:tcPr>
            <w:tcW w:type="dxa" w:w="1400"/>
            <w:tcBorders>
              <w:top w:val="single" w:color="BBBBBB" w:sz="1"/>
              <w:left w:val="single" w:color="BBBBBB" w:sz="1"/>
              <w:bottom w:val="single" w:color="BBBBBB" w:sz="1"/>
              <w:right w:val="single" w:color="BBBBBB" w:sz="1"/>
            </w:tcBorders>
            <w:shd w:fill="FCE4D6" w:val="clear"/>
            <w:tcMar>
              <w:top w:type="dxa" w:w="80"/>
              <w:left w:type="dxa" w:w="130"/>
              <w:bottom w:type="dxa" w:w="80"/>
              <w:right w:type="dxa" w:w="130"/>
            </w:tcMar>
          </w:tcPr>
          <w:p>
            <w:pPr>
              <w:jc w:val="center"/>
            </w:pPr>
            <w:r>
              <w:rPr>
                <w:rFonts w:ascii="Arial" w:cs="Arial" w:eastAsia="Arial" w:hAnsi="Arial"/>
                <w:b/>
                <w:bCs/>
                <w:color w:val="843C0C"/>
                <w:sz w:val="20"/>
                <w:szCs w:val="20"/>
              </w:rPr>
              <w:t xml:space="preserve">72 hrs</w:t>
            </w:r>
          </w:p>
        </w:tc>
        <w:tc>
          <w:tcPr>
            <w:tcW w:type="dxa" w:w="1400"/>
            <w:tcBorders>
              <w:top w:val="single" w:color="BBBBBB" w:sz="1"/>
              <w:left w:val="single" w:color="BBBBBB" w:sz="1"/>
              <w:bottom w:val="single" w:color="BBBBBB" w:sz="1"/>
              <w:right w:val="single" w:color="BBBBBB" w:sz="1"/>
            </w:tcBorders>
            <w:shd w:fill="FFF2CC" w:val="clear"/>
            <w:tcMar>
              <w:top w:type="dxa" w:w="80"/>
              <w:left w:type="dxa" w:w="130"/>
              <w:bottom w:type="dxa" w:w="80"/>
              <w:right w:type="dxa" w:w="130"/>
            </w:tcMar>
          </w:tcPr>
          <w:p>
            <w:pPr>
              <w:jc w:val="center"/>
            </w:pPr>
            <w:r>
              <w:rPr>
                <w:rFonts w:ascii="Arial" w:cs="Arial" w:eastAsia="Arial" w:hAnsi="Arial"/>
                <w:b/>
                <w:bCs/>
                <w:color w:val="7F4F00"/>
                <w:sz w:val="20"/>
                <w:szCs w:val="20"/>
              </w:rPr>
              <w:t xml:space="preserve">72 hrs</w:t>
            </w:r>
          </w:p>
        </w:tc>
        <w:tc>
          <w:tcPr>
            <w:tcW w:type="dxa" w:w="1400"/>
            <w:tcBorders>
              <w:top w:val="single" w:color="BBBBBB" w:sz="1"/>
              <w:left w:val="single" w:color="BBBBBB" w:sz="1"/>
              <w:bottom w:val="single" w:color="BBBBBB" w:sz="1"/>
              <w:right w:val="single" w:color="BBBBBB" w:sz="1"/>
            </w:tcBorders>
            <w:shd w:fill="E2EFDA" w:val="clear"/>
            <w:tcMar>
              <w:top w:type="dxa" w:w="80"/>
              <w:left w:type="dxa" w:w="130"/>
              <w:bottom w:type="dxa" w:w="80"/>
              <w:right w:type="dxa" w:w="130"/>
            </w:tcMar>
          </w:tcPr>
          <w:p>
            <w:pPr>
              <w:jc w:val="center"/>
            </w:pPr>
            <w:r>
              <w:rPr>
                <w:rFonts w:ascii="Arial" w:cs="Arial" w:eastAsia="Arial" w:hAnsi="Arial"/>
                <w:b/>
                <w:bCs/>
                <w:color w:val="375623"/>
                <w:sz w:val="20"/>
                <w:szCs w:val="20"/>
              </w:rPr>
              <w:t xml:space="preserve">72 hrs</w:t>
            </w:r>
          </w:p>
        </w:tc>
        <w:tc>
          <w:tcPr>
            <w:tcW w:type="dxa" w:w="13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pPr>
              <w:jc w:val="left"/>
            </w:pPr>
            <w:r>
              <w:rPr>
                <w:rFonts w:ascii="Arial" w:cs="Arial" w:eastAsia="Arial" w:hAnsi="Arial"/>
                <w:b w:val="false"/>
                <w:bCs w:val="false"/>
                <w:color w:val="404040"/>
                <w:sz w:val="20"/>
                <w:szCs w:val="20"/>
              </w:rPr>
              <w:t xml:space="preserve">GDPR Art. 33 — mandatory</w:t>
            </w:r>
          </w:p>
        </w:tc>
      </w:tr>
      <w:tr>
        <w:tc>
          <w:tcPr>
            <w:tcW w:type="dxa" w:w="2800"/>
            <w:tcBorders>
              <w:top w:val="single" w:color="BBBBBB" w:sz="1"/>
              <w:left w:val="single" w:color="BBBBBB" w:sz="1"/>
              <w:bottom w:val="single" w:color="BBBBBB" w:sz="1"/>
              <w:right w:val="single" w:color="BBBBBB" w:sz="1"/>
            </w:tcBorders>
            <w:shd w:fill="EEF4FB" w:val="clear"/>
            <w:tcMar>
              <w:top w:type="dxa" w:w="80"/>
              <w:left w:type="dxa" w:w="130"/>
              <w:bottom w:type="dxa" w:w="80"/>
              <w:right w:type="dxa" w:w="130"/>
            </w:tcMar>
          </w:tcPr>
          <w:p>
            <w:pPr>
              <w:jc w:val="left"/>
            </w:pPr>
            <w:r>
              <w:rPr>
                <w:rFonts w:ascii="Arial" w:cs="Arial" w:eastAsia="Arial" w:hAnsi="Arial"/>
                <w:b/>
                <w:bCs/>
                <w:color w:val="404040"/>
                <w:sz w:val="20"/>
                <w:szCs w:val="20"/>
              </w:rPr>
              <w:t xml:space="preserve">RCA complete</w:t>
            </w:r>
          </w:p>
        </w:tc>
        <w:tc>
          <w:tcPr>
            <w:tcW w:type="dxa" w:w="1400"/>
            <w:tcBorders>
              <w:top w:val="single" w:color="BBBBBB" w:sz="1"/>
              <w:left w:val="single" w:color="BBBBBB" w:sz="1"/>
              <w:bottom w:val="single" w:color="BBBBBB" w:sz="1"/>
              <w:right w:val="single" w:color="BBBBBB" w:sz="1"/>
            </w:tcBorders>
            <w:shd w:fill="FFD7D7" w:val="clear"/>
            <w:tcMar>
              <w:top w:type="dxa" w:w="80"/>
              <w:left w:type="dxa" w:w="130"/>
              <w:bottom w:type="dxa" w:w="80"/>
              <w:right w:type="dxa" w:w="130"/>
            </w:tcMar>
          </w:tcPr>
          <w:p>
            <w:pPr>
              <w:jc w:val="center"/>
            </w:pPr>
            <w:r>
              <w:rPr>
                <w:rFonts w:ascii="Arial" w:cs="Arial" w:eastAsia="Arial" w:hAnsi="Arial"/>
                <w:b/>
                <w:bCs/>
                <w:color w:val="C00000"/>
                <w:sz w:val="20"/>
                <w:szCs w:val="20"/>
              </w:rPr>
              <w:t xml:space="preserve">48 hrs</w:t>
            </w:r>
          </w:p>
        </w:tc>
        <w:tc>
          <w:tcPr>
            <w:tcW w:type="dxa" w:w="1400"/>
            <w:tcBorders>
              <w:top w:val="single" w:color="BBBBBB" w:sz="1"/>
              <w:left w:val="single" w:color="BBBBBB" w:sz="1"/>
              <w:bottom w:val="single" w:color="BBBBBB" w:sz="1"/>
              <w:right w:val="single" w:color="BBBBBB" w:sz="1"/>
            </w:tcBorders>
            <w:shd w:fill="FCE4D6" w:val="clear"/>
            <w:tcMar>
              <w:top w:type="dxa" w:w="80"/>
              <w:left w:type="dxa" w:w="130"/>
              <w:bottom w:type="dxa" w:w="80"/>
              <w:right w:type="dxa" w:w="130"/>
            </w:tcMar>
          </w:tcPr>
          <w:p>
            <w:pPr>
              <w:jc w:val="center"/>
            </w:pPr>
            <w:r>
              <w:rPr>
                <w:rFonts w:ascii="Arial" w:cs="Arial" w:eastAsia="Arial" w:hAnsi="Arial"/>
                <w:b/>
                <w:bCs/>
                <w:color w:val="843C0C"/>
                <w:sz w:val="20"/>
                <w:szCs w:val="20"/>
              </w:rPr>
              <w:t xml:space="preserve">5 days</w:t>
            </w:r>
          </w:p>
        </w:tc>
        <w:tc>
          <w:tcPr>
            <w:tcW w:type="dxa" w:w="1400"/>
            <w:tcBorders>
              <w:top w:val="single" w:color="BBBBBB" w:sz="1"/>
              <w:left w:val="single" w:color="BBBBBB" w:sz="1"/>
              <w:bottom w:val="single" w:color="BBBBBB" w:sz="1"/>
              <w:right w:val="single" w:color="BBBBBB" w:sz="1"/>
            </w:tcBorders>
            <w:shd w:fill="FFF2CC" w:val="clear"/>
            <w:tcMar>
              <w:top w:type="dxa" w:w="80"/>
              <w:left w:type="dxa" w:w="130"/>
              <w:bottom w:type="dxa" w:w="80"/>
              <w:right w:type="dxa" w:w="130"/>
            </w:tcMar>
          </w:tcPr>
          <w:p>
            <w:pPr>
              <w:jc w:val="center"/>
            </w:pPr>
            <w:r>
              <w:rPr>
                <w:rFonts w:ascii="Arial" w:cs="Arial" w:eastAsia="Arial" w:hAnsi="Arial"/>
                <w:b/>
                <w:bCs/>
                <w:color w:val="7F4F00"/>
                <w:sz w:val="20"/>
                <w:szCs w:val="20"/>
              </w:rPr>
              <w:t xml:space="preserve">14 days</w:t>
            </w:r>
          </w:p>
        </w:tc>
        <w:tc>
          <w:tcPr>
            <w:tcW w:type="dxa" w:w="1400"/>
            <w:tcBorders>
              <w:top w:val="single" w:color="BBBBBB" w:sz="1"/>
              <w:left w:val="single" w:color="BBBBBB" w:sz="1"/>
              <w:bottom w:val="single" w:color="BBBBBB" w:sz="1"/>
              <w:right w:val="single" w:color="BBBBBB" w:sz="1"/>
            </w:tcBorders>
            <w:shd w:fill="E2EFDA" w:val="clear"/>
            <w:tcMar>
              <w:top w:type="dxa" w:w="80"/>
              <w:left w:type="dxa" w:w="130"/>
              <w:bottom w:type="dxa" w:w="80"/>
              <w:right w:type="dxa" w:w="130"/>
            </w:tcMar>
          </w:tcPr>
          <w:p>
            <w:pPr>
              <w:jc w:val="center"/>
            </w:pPr>
            <w:r>
              <w:rPr>
                <w:rFonts w:ascii="Arial" w:cs="Arial" w:eastAsia="Arial" w:hAnsi="Arial"/>
                <w:b/>
                <w:bCs/>
                <w:color w:val="375623"/>
                <w:sz w:val="20"/>
                <w:szCs w:val="20"/>
              </w:rPr>
              <w:t xml:space="preserve">N/A</w:t>
            </w:r>
          </w:p>
        </w:tc>
        <w:tc>
          <w:tcPr>
            <w:tcW w:type="dxa" w:w="1360"/>
            <w:tcBorders>
              <w:top w:val="single" w:color="BBBBBB" w:sz="1"/>
              <w:left w:val="single" w:color="BBBBBB" w:sz="1"/>
              <w:bottom w:val="single" w:color="BBBBBB" w:sz="1"/>
              <w:right w:val="single" w:color="BBBBBB" w:sz="1"/>
            </w:tcBorders>
            <w:shd w:fill="EEF4FB" w:val="clear"/>
            <w:tcMar>
              <w:top w:type="dxa" w:w="80"/>
              <w:left w:type="dxa" w:w="130"/>
              <w:bottom w:type="dxa" w:w="80"/>
              <w:right w:type="dxa" w:w="130"/>
            </w:tcMar>
          </w:tcPr>
          <w:p>
            <w:pPr>
              <w:jc w:val="left"/>
            </w:pPr>
            <w:r>
              <w:rPr>
                <w:rFonts w:ascii="Arial" w:cs="Arial" w:eastAsia="Arial" w:hAnsi="Arial"/>
                <w:b w:val="false"/>
                <w:bCs w:val="false"/>
                <w:color w:val="404040"/>
                <w:sz w:val="20"/>
                <w:szCs w:val="20"/>
              </w:rPr>
              <w:t xml:space="preserve">From containment</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pPr>
              <w:jc w:val="left"/>
            </w:pPr>
            <w:r>
              <w:rPr>
                <w:rFonts w:ascii="Arial" w:cs="Arial" w:eastAsia="Arial" w:hAnsi="Arial"/>
                <w:b/>
                <w:bCs/>
                <w:color w:val="404040"/>
                <w:sz w:val="20"/>
                <w:szCs w:val="20"/>
              </w:rPr>
              <w:t xml:space="preserve">Remediation deployed</w:t>
            </w:r>
          </w:p>
        </w:tc>
        <w:tc>
          <w:tcPr>
            <w:tcW w:type="dxa" w:w="1400"/>
            <w:tcBorders>
              <w:top w:val="single" w:color="BBBBBB" w:sz="1"/>
              <w:left w:val="single" w:color="BBBBBB" w:sz="1"/>
              <w:bottom w:val="single" w:color="BBBBBB" w:sz="1"/>
              <w:right w:val="single" w:color="BBBBBB" w:sz="1"/>
            </w:tcBorders>
            <w:shd w:fill="FFD7D7" w:val="clear"/>
            <w:tcMar>
              <w:top w:type="dxa" w:w="80"/>
              <w:left w:type="dxa" w:w="130"/>
              <w:bottom w:type="dxa" w:w="80"/>
              <w:right w:type="dxa" w:w="130"/>
            </w:tcMar>
          </w:tcPr>
          <w:p>
            <w:pPr>
              <w:jc w:val="center"/>
            </w:pPr>
            <w:r>
              <w:rPr>
                <w:rFonts w:ascii="Arial" w:cs="Arial" w:eastAsia="Arial" w:hAnsi="Arial"/>
                <w:b/>
                <w:bCs/>
                <w:color w:val="C00000"/>
                <w:sz w:val="20"/>
                <w:szCs w:val="20"/>
              </w:rPr>
              <w:t xml:space="preserve">72 hrs</w:t>
            </w:r>
          </w:p>
        </w:tc>
        <w:tc>
          <w:tcPr>
            <w:tcW w:type="dxa" w:w="1400"/>
            <w:tcBorders>
              <w:top w:val="single" w:color="BBBBBB" w:sz="1"/>
              <w:left w:val="single" w:color="BBBBBB" w:sz="1"/>
              <w:bottom w:val="single" w:color="BBBBBB" w:sz="1"/>
              <w:right w:val="single" w:color="BBBBBB" w:sz="1"/>
            </w:tcBorders>
            <w:shd w:fill="FCE4D6" w:val="clear"/>
            <w:tcMar>
              <w:top w:type="dxa" w:w="80"/>
              <w:left w:type="dxa" w:w="130"/>
              <w:bottom w:type="dxa" w:w="80"/>
              <w:right w:type="dxa" w:w="130"/>
            </w:tcMar>
          </w:tcPr>
          <w:p>
            <w:pPr>
              <w:jc w:val="center"/>
            </w:pPr>
            <w:r>
              <w:rPr>
                <w:rFonts w:ascii="Arial" w:cs="Arial" w:eastAsia="Arial" w:hAnsi="Arial"/>
                <w:b/>
                <w:bCs/>
                <w:color w:val="843C0C"/>
                <w:sz w:val="20"/>
                <w:szCs w:val="20"/>
              </w:rPr>
              <w:t xml:space="preserve">7 days</w:t>
            </w:r>
          </w:p>
        </w:tc>
        <w:tc>
          <w:tcPr>
            <w:tcW w:type="dxa" w:w="1400"/>
            <w:tcBorders>
              <w:top w:val="single" w:color="BBBBBB" w:sz="1"/>
              <w:left w:val="single" w:color="BBBBBB" w:sz="1"/>
              <w:bottom w:val="single" w:color="BBBBBB" w:sz="1"/>
              <w:right w:val="single" w:color="BBBBBB" w:sz="1"/>
            </w:tcBorders>
            <w:shd w:fill="FFF2CC" w:val="clear"/>
            <w:tcMar>
              <w:top w:type="dxa" w:w="80"/>
              <w:left w:type="dxa" w:w="130"/>
              <w:bottom w:type="dxa" w:w="80"/>
              <w:right w:type="dxa" w:w="130"/>
            </w:tcMar>
          </w:tcPr>
          <w:p>
            <w:pPr>
              <w:jc w:val="center"/>
            </w:pPr>
            <w:r>
              <w:rPr>
                <w:rFonts w:ascii="Arial" w:cs="Arial" w:eastAsia="Arial" w:hAnsi="Arial"/>
                <w:b/>
                <w:bCs/>
                <w:color w:val="7F4F00"/>
                <w:sz w:val="20"/>
                <w:szCs w:val="20"/>
              </w:rPr>
              <w:t xml:space="preserve">30 days</w:t>
            </w:r>
          </w:p>
        </w:tc>
        <w:tc>
          <w:tcPr>
            <w:tcW w:type="dxa" w:w="1400"/>
            <w:tcBorders>
              <w:top w:val="single" w:color="BBBBBB" w:sz="1"/>
              <w:left w:val="single" w:color="BBBBBB" w:sz="1"/>
              <w:bottom w:val="single" w:color="BBBBBB" w:sz="1"/>
              <w:right w:val="single" w:color="BBBBBB" w:sz="1"/>
            </w:tcBorders>
            <w:shd w:fill="E2EFDA" w:val="clear"/>
            <w:tcMar>
              <w:top w:type="dxa" w:w="80"/>
              <w:left w:type="dxa" w:w="130"/>
              <w:bottom w:type="dxa" w:w="80"/>
              <w:right w:type="dxa" w:w="130"/>
            </w:tcMar>
          </w:tcPr>
          <w:p>
            <w:pPr>
              <w:jc w:val="center"/>
            </w:pPr>
            <w:r>
              <w:rPr>
                <w:rFonts w:ascii="Arial" w:cs="Arial" w:eastAsia="Arial" w:hAnsi="Arial"/>
                <w:b/>
                <w:bCs/>
                <w:color w:val="375623"/>
                <w:sz w:val="20"/>
                <w:szCs w:val="20"/>
              </w:rPr>
              <w:t xml:space="preserve">60 days</w:t>
            </w:r>
          </w:p>
        </w:tc>
        <w:tc>
          <w:tcPr>
            <w:tcW w:type="dxa" w:w="13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pPr>
              <w:jc w:val="left"/>
            </w:pPr>
            <w:r>
              <w:rPr>
                <w:rFonts w:ascii="Arial" w:cs="Arial" w:eastAsia="Arial" w:hAnsi="Arial"/>
                <w:b w:val="false"/>
                <w:bCs w:val="false"/>
                <w:color w:val="404040"/>
                <w:sz w:val="20"/>
                <w:szCs w:val="20"/>
              </w:rPr>
              <w:t xml:space="preserve"/>
            </w:r>
          </w:p>
        </w:tc>
      </w:tr>
      <w:tr>
        <w:tc>
          <w:tcPr>
            <w:tcW w:type="dxa" w:w="2800"/>
            <w:tcBorders>
              <w:top w:val="single" w:color="BBBBBB" w:sz="1"/>
              <w:left w:val="single" w:color="BBBBBB" w:sz="1"/>
              <w:bottom w:val="single" w:color="BBBBBB" w:sz="1"/>
              <w:right w:val="single" w:color="BBBBBB" w:sz="1"/>
            </w:tcBorders>
            <w:shd w:fill="EEF4FB" w:val="clear"/>
            <w:tcMar>
              <w:top w:type="dxa" w:w="80"/>
              <w:left w:type="dxa" w:w="130"/>
              <w:bottom w:type="dxa" w:w="80"/>
              <w:right w:type="dxa" w:w="130"/>
            </w:tcMar>
          </w:tcPr>
          <w:p>
            <w:pPr>
              <w:jc w:val="left"/>
            </w:pPr>
            <w:r>
              <w:rPr>
                <w:rFonts w:ascii="Arial" w:cs="Arial" w:eastAsia="Arial" w:hAnsi="Arial"/>
                <w:b/>
                <w:bCs/>
                <w:color w:val="404040"/>
                <w:sz w:val="20"/>
                <w:szCs w:val="20"/>
              </w:rPr>
              <w:t xml:space="preserve">Post-Incident Review complete</w:t>
            </w:r>
          </w:p>
        </w:tc>
        <w:tc>
          <w:tcPr>
            <w:tcW w:type="dxa" w:w="1400"/>
            <w:tcBorders>
              <w:top w:val="single" w:color="BBBBBB" w:sz="1"/>
              <w:left w:val="single" w:color="BBBBBB" w:sz="1"/>
              <w:bottom w:val="single" w:color="BBBBBB" w:sz="1"/>
              <w:right w:val="single" w:color="BBBBBB" w:sz="1"/>
            </w:tcBorders>
            <w:shd w:fill="FFD7D7" w:val="clear"/>
            <w:tcMar>
              <w:top w:type="dxa" w:w="80"/>
              <w:left w:type="dxa" w:w="130"/>
              <w:bottom w:type="dxa" w:w="80"/>
              <w:right w:type="dxa" w:w="130"/>
            </w:tcMar>
          </w:tcPr>
          <w:p>
            <w:pPr>
              <w:jc w:val="center"/>
            </w:pPr>
            <w:r>
              <w:rPr>
                <w:rFonts w:ascii="Arial" w:cs="Arial" w:eastAsia="Arial" w:hAnsi="Arial"/>
                <w:b/>
                <w:bCs/>
                <w:color w:val="C00000"/>
                <w:sz w:val="20"/>
                <w:szCs w:val="20"/>
              </w:rPr>
              <w:t xml:space="preserve">5 days</w:t>
            </w:r>
          </w:p>
        </w:tc>
        <w:tc>
          <w:tcPr>
            <w:tcW w:type="dxa" w:w="1400"/>
            <w:tcBorders>
              <w:top w:val="single" w:color="BBBBBB" w:sz="1"/>
              <w:left w:val="single" w:color="BBBBBB" w:sz="1"/>
              <w:bottom w:val="single" w:color="BBBBBB" w:sz="1"/>
              <w:right w:val="single" w:color="BBBBBB" w:sz="1"/>
            </w:tcBorders>
            <w:shd w:fill="FCE4D6" w:val="clear"/>
            <w:tcMar>
              <w:top w:type="dxa" w:w="80"/>
              <w:left w:type="dxa" w:w="130"/>
              <w:bottom w:type="dxa" w:w="80"/>
              <w:right w:type="dxa" w:w="130"/>
            </w:tcMar>
          </w:tcPr>
          <w:p>
            <w:pPr>
              <w:jc w:val="center"/>
            </w:pPr>
            <w:r>
              <w:rPr>
                <w:rFonts w:ascii="Arial" w:cs="Arial" w:eastAsia="Arial" w:hAnsi="Arial"/>
                <w:b/>
                <w:bCs/>
                <w:color w:val="843C0C"/>
                <w:sz w:val="20"/>
                <w:szCs w:val="20"/>
              </w:rPr>
              <w:t xml:space="preserve">10 days</w:t>
            </w:r>
          </w:p>
        </w:tc>
        <w:tc>
          <w:tcPr>
            <w:tcW w:type="dxa" w:w="1400"/>
            <w:tcBorders>
              <w:top w:val="single" w:color="BBBBBB" w:sz="1"/>
              <w:left w:val="single" w:color="BBBBBB" w:sz="1"/>
              <w:bottom w:val="single" w:color="BBBBBB" w:sz="1"/>
              <w:right w:val="single" w:color="BBBBBB" w:sz="1"/>
            </w:tcBorders>
            <w:shd w:fill="FFF2CC" w:val="clear"/>
            <w:tcMar>
              <w:top w:type="dxa" w:w="80"/>
              <w:left w:type="dxa" w:w="130"/>
              <w:bottom w:type="dxa" w:w="80"/>
              <w:right w:type="dxa" w:w="130"/>
            </w:tcMar>
          </w:tcPr>
          <w:p>
            <w:pPr>
              <w:jc w:val="center"/>
            </w:pPr>
            <w:r>
              <w:rPr>
                <w:rFonts w:ascii="Arial" w:cs="Arial" w:eastAsia="Arial" w:hAnsi="Arial"/>
                <w:b/>
                <w:bCs/>
                <w:color w:val="7F4F00"/>
                <w:sz w:val="20"/>
                <w:szCs w:val="20"/>
              </w:rPr>
              <w:t xml:space="preserve">Optional</w:t>
            </w:r>
          </w:p>
        </w:tc>
        <w:tc>
          <w:tcPr>
            <w:tcW w:type="dxa" w:w="1400"/>
            <w:tcBorders>
              <w:top w:val="single" w:color="BBBBBB" w:sz="1"/>
              <w:left w:val="single" w:color="BBBBBB" w:sz="1"/>
              <w:bottom w:val="single" w:color="BBBBBB" w:sz="1"/>
              <w:right w:val="single" w:color="BBBBBB" w:sz="1"/>
            </w:tcBorders>
            <w:shd w:fill="E2EFDA" w:val="clear"/>
            <w:tcMar>
              <w:top w:type="dxa" w:w="80"/>
              <w:left w:type="dxa" w:w="130"/>
              <w:bottom w:type="dxa" w:w="80"/>
              <w:right w:type="dxa" w:w="130"/>
            </w:tcMar>
          </w:tcPr>
          <w:p>
            <w:pPr>
              <w:jc w:val="center"/>
            </w:pPr>
            <w:r>
              <w:rPr>
                <w:rFonts w:ascii="Arial" w:cs="Arial" w:eastAsia="Arial" w:hAnsi="Arial"/>
                <w:b/>
                <w:bCs/>
                <w:color w:val="375623"/>
                <w:sz w:val="20"/>
                <w:szCs w:val="20"/>
              </w:rPr>
              <w:t xml:space="preserve">N/A</w:t>
            </w:r>
          </w:p>
        </w:tc>
        <w:tc>
          <w:tcPr>
            <w:tcW w:type="dxa" w:w="1360"/>
            <w:tcBorders>
              <w:top w:val="single" w:color="BBBBBB" w:sz="1"/>
              <w:left w:val="single" w:color="BBBBBB" w:sz="1"/>
              <w:bottom w:val="single" w:color="BBBBBB" w:sz="1"/>
              <w:right w:val="single" w:color="BBBBBB" w:sz="1"/>
            </w:tcBorders>
            <w:shd w:fill="EEF4FB" w:val="clear"/>
            <w:tcMar>
              <w:top w:type="dxa" w:w="80"/>
              <w:left w:type="dxa" w:w="130"/>
              <w:bottom w:type="dxa" w:w="80"/>
              <w:right w:type="dxa" w:w="130"/>
            </w:tcMar>
          </w:tcPr>
          <w:p>
            <w:pPr>
              <w:jc w:val="left"/>
            </w:pPr>
            <w:r>
              <w:rPr>
                <w:rFonts w:ascii="Arial" w:cs="Arial" w:eastAsia="Arial" w:hAnsi="Arial"/>
                <w:b w:val="false"/>
                <w:bCs w:val="false"/>
                <w:color w:val="404040"/>
                <w:sz w:val="20"/>
                <w:szCs w:val="20"/>
              </w:rPr>
              <w:t xml:space="preserve">Presented to AIGC</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pPr>
              <w:jc w:val="left"/>
            </w:pPr>
            <w:r>
              <w:rPr>
                <w:rFonts w:ascii="Arial" w:cs="Arial" w:eastAsia="Arial" w:hAnsi="Arial"/>
                <w:b/>
                <w:bCs/>
                <w:color w:val="404040"/>
                <w:sz w:val="20"/>
                <w:szCs w:val="20"/>
              </w:rPr>
              <w:t xml:space="preserve">Incident formally closed</w:t>
            </w:r>
          </w:p>
        </w:tc>
        <w:tc>
          <w:tcPr>
            <w:tcW w:type="dxa" w:w="1400"/>
            <w:tcBorders>
              <w:top w:val="single" w:color="BBBBBB" w:sz="1"/>
              <w:left w:val="single" w:color="BBBBBB" w:sz="1"/>
              <w:bottom w:val="single" w:color="BBBBBB" w:sz="1"/>
              <w:right w:val="single" w:color="BBBBBB" w:sz="1"/>
            </w:tcBorders>
            <w:shd w:fill="FFD7D7" w:val="clear"/>
            <w:tcMar>
              <w:top w:type="dxa" w:w="80"/>
              <w:left w:type="dxa" w:w="130"/>
              <w:bottom w:type="dxa" w:w="80"/>
              <w:right w:type="dxa" w:w="130"/>
            </w:tcMar>
          </w:tcPr>
          <w:p>
            <w:pPr>
              <w:jc w:val="center"/>
            </w:pPr>
            <w:r>
              <w:rPr>
                <w:rFonts w:ascii="Arial" w:cs="Arial" w:eastAsia="Arial" w:hAnsi="Arial"/>
                <w:b/>
                <w:bCs/>
                <w:color w:val="C00000"/>
                <w:sz w:val="20"/>
                <w:szCs w:val="20"/>
              </w:rPr>
              <w:t xml:space="preserve">7 days</w:t>
            </w:r>
          </w:p>
        </w:tc>
        <w:tc>
          <w:tcPr>
            <w:tcW w:type="dxa" w:w="1400"/>
            <w:tcBorders>
              <w:top w:val="single" w:color="BBBBBB" w:sz="1"/>
              <w:left w:val="single" w:color="BBBBBB" w:sz="1"/>
              <w:bottom w:val="single" w:color="BBBBBB" w:sz="1"/>
              <w:right w:val="single" w:color="BBBBBB" w:sz="1"/>
            </w:tcBorders>
            <w:shd w:fill="FCE4D6" w:val="clear"/>
            <w:tcMar>
              <w:top w:type="dxa" w:w="80"/>
              <w:left w:type="dxa" w:w="130"/>
              <w:bottom w:type="dxa" w:w="80"/>
              <w:right w:type="dxa" w:w="130"/>
            </w:tcMar>
          </w:tcPr>
          <w:p>
            <w:pPr>
              <w:jc w:val="center"/>
            </w:pPr>
            <w:r>
              <w:rPr>
                <w:rFonts w:ascii="Arial" w:cs="Arial" w:eastAsia="Arial" w:hAnsi="Arial"/>
                <w:b/>
                <w:bCs/>
                <w:color w:val="843C0C"/>
                <w:sz w:val="20"/>
                <w:szCs w:val="20"/>
              </w:rPr>
              <w:t xml:space="preserve">14 days</w:t>
            </w:r>
          </w:p>
        </w:tc>
        <w:tc>
          <w:tcPr>
            <w:tcW w:type="dxa" w:w="1400"/>
            <w:tcBorders>
              <w:top w:val="single" w:color="BBBBBB" w:sz="1"/>
              <w:left w:val="single" w:color="BBBBBB" w:sz="1"/>
              <w:bottom w:val="single" w:color="BBBBBB" w:sz="1"/>
              <w:right w:val="single" w:color="BBBBBB" w:sz="1"/>
            </w:tcBorders>
            <w:shd w:fill="FFF2CC" w:val="clear"/>
            <w:tcMar>
              <w:top w:type="dxa" w:w="80"/>
              <w:left w:type="dxa" w:w="130"/>
              <w:bottom w:type="dxa" w:w="80"/>
              <w:right w:type="dxa" w:w="130"/>
            </w:tcMar>
          </w:tcPr>
          <w:p>
            <w:pPr>
              <w:jc w:val="center"/>
            </w:pPr>
            <w:r>
              <w:rPr>
                <w:rFonts w:ascii="Arial" w:cs="Arial" w:eastAsia="Arial" w:hAnsi="Arial"/>
                <w:b/>
                <w:bCs/>
                <w:color w:val="7F4F00"/>
                <w:sz w:val="20"/>
                <w:szCs w:val="20"/>
              </w:rPr>
              <w:t xml:space="preserve">30 days</w:t>
            </w:r>
          </w:p>
        </w:tc>
        <w:tc>
          <w:tcPr>
            <w:tcW w:type="dxa" w:w="1400"/>
            <w:tcBorders>
              <w:top w:val="single" w:color="BBBBBB" w:sz="1"/>
              <w:left w:val="single" w:color="BBBBBB" w:sz="1"/>
              <w:bottom w:val="single" w:color="BBBBBB" w:sz="1"/>
              <w:right w:val="single" w:color="BBBBBB" w:sz="1"/>
            </w:tcBorders>
            <w:shd w:fill="E2EFDA" w:val="clear"/>
            <w:tcMar>
              <w:top w:type="dxa" w:w="80"/>
              <w:left w:type="dxa" w:w="130"/>
              <w:bottom w:type="dxa" w:w="80"/>
              <w:right w:type="dxa" w:w="130"/>
            </w:tcMar>
          </w:tcPr>
          <w:p>
            <w:pPr>
              <w:jc w:val="center"/>
            </w:pPr>
            <w:r>
              <w:rPr>
                <w:rFonts w:ascii="Arial" w:cs="Arial" w:eastAsia="Arial" w:hAnsi="Arial"/>
                <w:b/>
                <w:bCs/>
                <w:color w:val="375623"/>
                <w:sz w:val="20"/>
                <w:szCs w:val="20"/>
              </w:rPr>
              <w:t xml:space="preserve">60 days</w:t>
            </w:r>
          </w:p>
        </w:tc>
        <w:tc>
          <w:tcPr>
            <w:tcW w:type="dxa" w:w="13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pPr>
              <w:jc w:val="left"/>
            </w:pPr>
            <w:r>
              <w:rPr>
                <w:rFonts w:ascii="Arial" w:cs="Arial" w:eastAsia="Arial" w:hAnsi="Arial"/>
                <w:b w:val="false"/>
                <w:bCs w:val="false"/>
                <w:color w:val="404040"/>
                <w:sz w:val="20"/>
                <w:szCs w:val="20"/>
              </w:rPr>
              <w:t xml:space="preserve">After PIR sign-off</w:t>
            </w:r>
          </w:p>
        </w:tc>
      </w:tr>
    </w:tbl>
    <w:p>
      <w:r>
        <w:br w:type="page"/>
      </w:r>
    </w:p>
    <w:p>
      <w:pPr>
        <w:pStyle w:val="Heading1"/>
        <w:spacing w:before="320" w:after="200"/>
      </w:pPr>
      <w:r>
        <w:rPr>
          <w:rFonts w:ascii="Arial" w:cs="Arial" w:eastAsia="Arial" w:hAnsi="Arial"/>
          <w:b/>
          <w:bCs/>
          <w:color w:val="1F3864"/>
          <w:sz w:val="32"/>
          <w:szCs w:val="32"/>
        </w:rPr>
        <w:t xml:space="preserve">6.  Sample Incident Scenarios and Response Procedures</w:t>
      </w:r>
    </w:p>
    <w:p>
      <w:pPr>
        <w:pBdr>
          <w:bottom w:val="single" w:color="2E75B6" w:sz="6" w:space="1"/>
        </w:pBdr>
        <w:spacing w:after="200"/>
      </w:pPr>
      <w:r>
        <w:t xml:space="preserve"/>
      </w:r>
    </w:p>
    <w:p>
      <w:pPr>
        <w:spacing w:after="120" w:line="276"/>
      </w:pPr>
      <w:r>
        <w:rPr>
          <w:rFonts w:ascii="Arial" w:cs="Arial" w:eastAsia="Arial" w:hAnsi="Arial"/>
          <w:i w:val="false"/>
          <w:iCs w:val="false"/>
          <w:color w:val="404040"/>
          <w:sz w:val="22"/>
          <w:szCs w:val="22"/>
        </w:rPr>
        <w:t xml:space="preserve">This section provides worked response procedures for the most likely AI incident types affecting GenStudio. Each scenario includes detection signals, classification rationale, and step-by-step response actions.</w:t>
      </w:r>
    </w:p>
    <w:p>
      <w:pPr>
        <w:spacing w:after="120"/>
      </w:pPr>
      <w:r>
        <w:t xml:space="preserve"/>
      </w:r>
    </w:p>
    <w:p>
      <w:pPr>
        <w:pStyle w:val="Heading2"/>
        <w:spacing w:before="240" w:after="120"/>
      </w:pPr>
      <w:r>
        <w:rPr>
          <w:rFonts w:ascii="Arial" w:cs="Arial" w:eastAsia="Arial" w:hAnsi="Arial"/>
          <w:b/>
          <w:bCs/>
          <w:color w:val="2E75B6"/>
          <w:sz w:val="26"/>
          <w:szCs w:val="26"/>
        </w:rPr>
        <w:t xml:space="preserve">Scenario A: Harmful / Offensive Output Incident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2E75B6" w:sz="1"/>
              <w:left w:val="single" w:color="2E75B6" w:sz="1"/>
              <w:bottom w:val="single" w:color="2E75B6" w:sz="1"/>
              <w:right w:val="single" w:color="2E75B6" w:sz="1"/>
            </w:tcBorders>
            <w:shd w:fill="1F3864" w:val="clear"/>
            <w:tcMar>
              <w:top w:type="dxa" w:w="100"/>
              <w:left w:type="dxa" w:w="130"/>
              <w:bottom w:type="dxa" w:w="100"/>
              <w:right w:type="dxa" w:w="130"/>
            </w:tcMar>
            <w:vAlign w:val="center"/>
          </w:tcPr>
          <w:p>
            <w:pPr>
              <w:jc w:val="center"/>
            </w:pPr>
            <w:r>
              <w:rPr>
                <w:rFonts w:ascii="Arial" w:cs="Arial" w:eastAsia="Arial" w:hAnsi="Arial"/>
                <w:b/>
                <w:bCs/>
                <w:color w:val="FFFFFF"/>
                <w:sz w:val="20"/>
                <w:szCs w:val="20"/>
              </w:rPr>
              <w:t xml:space="preserve">Scenario</w:t>
            </w:r>
          </w:p>
        </w:tc>
        <w:tc>
          <w:tcPr>
            <w:tcW w:type="dxa" w:w="7360"/>
            <w:tcBorders>
              <w:top w:val="single" w:color="2E75B6" w:sz="1"/>
              <w:left w:val="single" w:color="2E75B6" w:sz="1"/>
              <w:bottom w:val="single" w:color="2E75B6" w:sz="1"/>
              <w:right w:val="single" w:color="2E75B6" w:sz="1"/>
            </w:tcBorders>
            <w:shd w:fill="1F3864" w:val="clear"/>
            <w:tcMar>
              <w:top w:type="dxa" w:w="100"/>
              <w:left w:type="dxa" w:w="130"/>
              <w:bottom w:type="dxa" w:w="100"/>
              <w:right w:type="dxa" w:w="130"/>
            </w:tcMar>
            <w:vAlign w:val="center"/>
          </w:tcPr>
          <w:p>
            <w:pPr>
              <w:jc w:val="center"/>
            </w:pPr>
            <w:r>
              <w:rPr>
                <w:rFonts w:ascii="Arial" w:cs="Arial" w:eastAsia="Arial" w:hAnsi="Arial"/>
                <w:b/>
                <w:bCs/>
                <w:color w:val="FFFFFF"/>
                <w:sz w:val="20"/>
                <w:szCs w:val="20"/>
              </w:rPr>
              <w:t xml:space="preserve">A: GenStudio generates hateful, discriminatory, or sexually explicit content in ad copy</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pPr>
              <w:jc w:val="left"/>
            </w:pPr>
            <w:r>
              <w:rPr>
                <w:rFonts w:ascii="Arial" w:cs="Arial" w:eastAsia="Arial" w:hAnsi="Arial"/>
                <w:b/>
                <w:bCs/>
                <w:color w:val="404040"/>
                <w:sz w:val="20"/>
                <w:szCs w:val="20"/>
              </w:rPr>
              <w:t xml:space="preserve">Incident ID Format</w:t>
            </w:r>
          </w:p>
        </w:tc>
        <w:tc>
          <w:tcPr>
            <w:tcW w:type="dxa" w:w="73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pPr>
              <w:jc w:val="left"/>
            </w:pPr>
            <w:r>
              <w:rPr>
                <w:rFonts w:ascii="Arial" w:cs="Arial" w:eastAsia="Arial" w:hAnsi="Arial"/>
                <w:b w:val="false"/>
                <w:bCs w:val="false"/>
                <w:color w:val="404040"/>
                <w:sz w:val="20"/>
                <w:szCs w:val="20"/>
              </w:rPr>
              <w:t xml:space="preserve">AI-INC-YYYY-NNN (e.g., AI-INC-2026-001)</w:t>
            </w:r>
          </w:p>
        </w:tc>
      </w:tr>
      <w:tr>
        <w:tc>
          <w:tcPr>
            <w:tcW w:type="dxa" w:w="2000"/>
            <w:tcBorders>
              <w:top w:val="single" w:color="BBBBBB" w:sz="1"/>
              <w:left w:val="single" w:color="BBBBBB" w:sz="1"/>
              <w:bottom w:val="single" w:color="BBBBBB" w:sz="1"/>
              <w:right w:val="single" w:color="BBBBBB" w:sz="1"/>
            </w:tcBorders>
            <w:shd w:fill="EEF4FB" w:val="clear"/>
            <w:tcMar>
              <w:top w:type="dxa" w:w="80"/>
              <w:left w:type="dxa" w:w="130"/>
              <w:bottom w:type="dxa" w:w="80"/>
              <w:right w:type="dxa" w:w="130"/>
            </w:tcMar>
          </w:tcPr>
          <w:p>
            <w:pPr>
              <w:jc w:val="left"/>
            </w:pPr>
            <w:r>
              <w:rPr>
                <w:rFonts w:ascii="Arial" w:cs="Arial" w:eastAsia="Arial" w:hAnsi="Arial"/>
                <w:b/>
                <w:bCs/>
                <w:color w:val="404040"/>
                <w:sz w:val="20"/>
                <w:szCs w:val="20"/>
              </w:rPr>
              <w:t xml:space="preserve">Initial Severity</w:t>
            </w:r>
          </w:p>
        </w:tc>
        <w:tc>
          <w:tcPr>
            <w:tcW w:type="dxa" w:w="7360"/>
            <w:tcBorders>
              <w:top w:val="single" w:color="BBBBBB" w:sz="1"/>
              <w:left w:val="single" w:color="BBBBBB" w:sz="1"/>
              <w:bottom w:val="single" w:color="BBBBBB" w:sz="1"/>
              <w:right w:val="single" w:color="BBBBBB" w:sz="1"/>
            </w:tcBorders>
            <w:shd w:fill="EEF4FB" w:val="clear"/>
            <w:tcMar>
              <w:top w:type="dxa" w:w="80"/>
              <w:left w:type="dxa" w:w="130"/>
              <w:bottom w:type="dxa" w:w="80"/>
              <w:right w:type="dxa" w:w="130"/>
            </w:tcMar>
          </w:tcPr>
          <w:p>
            <w:pPr>
              <w:jc w:val="left"/>
            </w:pPr>
            <w:r>
              <w:rPr>
                <w:rFonts w:ascii="Arial" w:cs="Arial" w:eastAsia="Arial" w:hAnsi="Arial"/>
                <w:b w:val="false"/>
                <w:bCs w:val="false"/>
                <w:color w:val="404040"/>
                <w:sz w:val="20"/>
                <w:szCs w:val="20"/>
              </w:rPr>
              <w:t xml:space="preserve">P1 (Critical) if content was published or reached users; P2 (High) if contained by safety filters</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pPr>
              <w:jc w:val="left"/>
            </w:pPr>
            <w:r>
              <w:rPr>
                <w:rFonts w:ascii="Arial" w:cs="Arial" w:eastAsia="Arial" w:hAnsi="Arial"/>
                <w:b/>
                <w:bCs/>
                <w:color w:val="404040"/>
                <w:sz w:val="20"/>
                <w:szCs w:val="20"/>
              </w:rPr>
              <w:t xml:space="preserve">NIST RMF Reference</w:t>
            </w:r>
          </w:p>
        </w:tc>
        <w:tc>
          <w:tcPr>
            <w:tcW w:type="dxa" w:w="73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pPr>
              <w:jc w:val="left"/>
            </w:pPr>
            <w:r>
              <w:rPr>
                <w:rFonts w:ascii="Arial" w:cs="Arial" w:eastAsia="Arial" w:hAnsi="Arial"/>
                <w:b w:val="false"/>
                <w:bCs w:val="false"/>
                <w:color w:val="404040"/>
                <w:sz w:val="20"/>
                <w:szCs w:val="20"/>
              </w:rPr>
              <w:t xml:space="preserve">MG-3.2 (AI risk response for high-impact failures); MS-2.6 (ongoing monitoring)</w:t>
            </w:r>
          </w:p>
        </w:tc>
      </w:tr>
      <w:tr>
        <w:tc>
          <w:tcPr>
            <w:tcW w:type="dxa" w:w="2000"/>
            <w:tcBorders>
              <w:top w:val="single" w:color="BBBBBB" w:sz="1"/>
              <w:left w:val="single" w:color="BBBBBB" w:sz="1"/>
              <w:bottom w:val="single" w:color="BBBBBB" w:sz="1"/>
              <w:right w:val="single" w:color="BBBBBB" w:sz="1"/>
            </w:tcBorders>
            <w:shd w:fill="EEF4FB" w:val="clear"/>
            <w:tcMar>
              <w:top w:type="dxa" w:w="80"/>
              <w:left w:type="dxa" w:w="130"/>
              <w:bottom w:type="dxa" w:w="80"/>
              <w:right w:type="dxa" w:w="130"/>
            </w:tcMar>
          </w:tcPr>
          <w:p>
            <w:pPr>
              <w:jc w:val="left"/>
            </w:pPr>
            <w:r>
              <w:rPr>
                <w:rFonts w:ascii="Arial" w:cs="Arial" w:eastAsia="Arial" w:hAnsi="Arial"/>
                <w:b/>
                <w:bCs/>
                <w:color w:val="404040"/>
                <w:sz w:val="20"/>
                <w:szCs w:val="20"/>
              </w:rPr>
              <w:t xml:space="preserve">Detection Signals</w:t>
            </w:r>
          </w:p>
        </w:tc>
        <w:tc>
          <w:tcPr>
            <w:tcW w:type="dxa" w:w="7360"/>
            <w:tcBorders>
              <w:top w:val="single" w:color="BBBBBB" w:sz="1"/>
              <w:left w:val="single" w:color="BBBBBB" w:sz="1"/>
              <w:bottom w:val="single" w:color="BBBBBB" w:sz="1"/>
              <w:right w:val="single" w:color="BBBBBB" w:sz="1"/>
            </w:tcBorders>
            <w:shd w:fill="EEF4FB" w:val="clear"/>
            <w:tcMar>
              <w:top w:type="dxa" w:w="80"/>
              <w:left w:type="dxa" w:w="130"/>
              <w:bottom w:type="dxa" w:w="80"/>
              <w:right w:type="dxa" w:w="130"/>
            </w:tcMar>
          </w:tcPr>
          <w:p>
            <w:pPr>
              <w:jc w:val="left"/>
            </w:pPr>
            <w:r>
              <w:rPr>
                <w:rFonts w:ascii="Arial" w:cs="Arial" w:eastAsia="Arial" w:hAnsi="Arial"/>
                <w:b w:val="false"/>
                <w:bCs w:val="false"/>
                <w:color w:val="404040"/>
                <w:sz w:val="20"/>
                <w:szCs w:val="20"/>
              </w:rPr>
              <w:t xml:space="preserve">Content safety filter alert; user 'Report an Issue' submission; internal QA observation; customer complaint</w:t>
            </w:r>
          </w:p>
        </w:tc>
      </w:tr>
    </w:tbl>
    <w:p>
      <w:pPr>
        <w:spacing w:after="120"/>
      </w:pPr>
      <w:r>
        <w:t xml:space="preserve"/>
      </w:r>
    </w:p>
    <w:p>
      <w:pPr>
        <w:pStyle w:val="Heading3"/>
        <w:spacing w:before="180" w:after="100"/>
      </w:pPr>
      <w:r>
        <w:rPr>
          <w:rFonts w:ascii="Arial" w:cs="Arial" w:eastAsia="Arial" w:hAnsi="Arial"/>
          <w:b/>
          <w:bCs/>
          <w:color w:val="2E75B6"/>
          <w:sz w:val="23"/>
          <w:szCs w:val="23"/>
        </w:rPr>
        <w:t xml:space="preserve">Step-by-Step Response:</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00000" w:sz="1"/>
              <w:left w:val="single" w:color="C00000" w:sz="1"/>
              <w:bottom w:val="single" w:color="C00000" w:sz="1"/>
              <w:right w:val="single" w:color="C00000" w:sz="1"/>
            </w:tcBorders>
            <w:shd w:fill="C00000" w:val="clear"/>
            <w:tcMar>
              <w:top w:type="dxa" w:w="100"/>
              <w:left w:type="dxa" w:w="100"/>
              <w:bottom w:type="dxa" w:w="100"/>
              <w:right w:type="dxa" w:w="100"/>
            </w:tcMar>
            <w:vAlign w:val="center"/>
          </w:tcPr>
          <w:p>
            <w:pPr>
              <w:jc w:val="center"/>
            </w:pPr>
            <w:r>
              <w:rPr>
                <w:rFonts w:ascii="Arial" w:cs="Arial" w:eastAsia="Arial" w:hAnsi="Arial"/>
                <w:b/>
                <w:bCs/>
                <w:color w:val="FFFFFF"/>
                <w:sz w:val="20"/>
                <w:szCs w:val="20"/>
              </w:rPr>
              <w:t xml:space="preserve">STEP
1</w:t>
            </w:r>
          </w:p>
        </w:tc>
        <w:tc>
          <w:tcPr>
            <w:tcW w:type="dxa" w:w="8560"/>
            <w:tcBorders>
              <w:top w:val="single" w:color="C00000" w:sz="1"/>
              <w:left w:val="single" w:color="C00000" w:sz="1"/>
              <w:bottom w:val="single" w:color="C00000" w:sz="1"/>
              <w:right w:val="single" w:color="C00000" w:sz="1"/>
            </w:tcBorders>
            <w:shd w:fill="FFD7D7" w:val="clear"/>
            <w:tcMar>
              <w:top w:type="dxa" w:w="100"/>
              <w:left w:type="dxa" w:w="160"/>
              <w:bottom w:type="dxa" w:w="100"/>
              <w:right w:type="dxa" w:w="140"/>
            </w:tcMar>
          </w:tcPr>
          <w:p>
            <w:pPr>
              <w:spacing w:after="60"/>
            </w:pPr>
            <w:r>
              <w:rPr>
                <w:rFonts w:ascii="Arial" w:cs="Arial" w:eastAsia="Arial" w:hAnsi="Arial"/>
                <w:b/>
                <w:bCs/>
                <w:color w:val="1F3864"/>
                <w:sz w:val="22"/>
                <w:szCs w:val="22"/>
              </w:rPr>
              <w:t xml:space="preserve">Detect &amp; Preserve</w:t>
            </w:r>
          </w:p>
          <w:p>
            <w:pPr>
              <w:spacing w:after="60"/>
            </w:pPr>
            <w:r>
              <w:rPr>
                <w:rFonts w:ascii="Arial" w:cs="Arial" w:eastAsia="Arial" w:hAnsi="Arial"/>
                <w:color w:val="404040"/>
                <w:sz w:val="20"/>
                <w:szCs w:val="20"/>
              </w:rPr>
              <w:t xml:space="preserve">•  First Responder captures screenshot and API request/response logs; does NOT delete outputs.</w:t>
            </w:r>
          </w:p>
          <w:p>
            <w:pPr>
              <w:spacing w:after="60"/>
            </w:pPr>
            <w:r>
              <w:rPr>
                <w:rFonts w:ascii="Arial" w:cs="Arial" w:eastAsia="Arial" w:hAnsi="Arial"/>
                <w:color w:val="404040"/>
                <w:sz w:val="20"/>
                <w:szCs w:val="20"/>
              </w:rPr>
              <w:t xml:space="preserve">•  Submits AI-INC ticket; flags as potential P1/P2; directly contacts AI Governance Lead.</w:t>
            </w:r>
          </w:p>
          <w:p>
            <w:pPr>
              <w:spacing w:after="0"/>
            </w:pPr>
            <w:r>
              <w:rPr>
                <w:rFonts w:ascii="Arial" w:cs="Arial" w:eastAsia="Arial" w:hAnsi="Arial"/>
                <w:color w:val="404040"/>
                <w:sz w:val="20"/>
                <w:szCs w:val="20"/>
              </w:rPr>
              <w:t xml:space="preserve">•  If content is visible in a published customer campaign: immediately alert Customer Success to request customer takedown.</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843C0C" w:sz="1"/>
              <w:left w:val="single" w:color="843C0C" w:sz="1"/>
              <w:bottom w:val="single" w:color="843C0C" w:sz="1"/>
              <w:right w:val="single" w:color="843C0C" w:sz="1"/>
            </w:tcBorders>
            <w:shd w:fill="843C0C" w:val="clear"/>
            <w:tcMar>
              <w:top w:type="dxa" w:w="100"/>
              <w:left w:type="dxa" w:w="100"/>
              <w:bottom w:type="dxa" w:w="100"/>
              <w:right w:type="dxa" w:w="100"/>
            </w:tcMar>
            <w:vAlign w:val="center"/>
          </w:tcPr>
          <w:p>
            <w:pPr>
              <w:jc w:val="center"/>
            </w:pPr>
            <w:r>
              <w:rPr>
                <w:rFonts w:ascii="Arial" w:cs="Arial" w:eastAsia="Arial" w:hAnsi="Arial"/>
                <w:b/>
                <w:bCs/>
                <w:color w:val="FFFFFF"/>
                <w:sz w:val="20"/>
                <w:szCs w:val="20"/>
              </w:rPr>
              <w:t xml:space="preserve">STEP
2</w:t>
            </w:r>
          </w:p>
        </w:tc>
        <w:tc>
          <w:tcPr>
            <w:tcW w:type="dxa" w:w="8560"/>
            <w:tcBorders>
              <w:top w:val="single" w:color="843C0C" w:sz="1"/>
              <w:left w:val="single" w:color="843C0C" w:sz="1"/>
              <w:bottom w:val="single" w:color="843C0C" w:sz="1"/>
              <w:right w:val="single" w:color="843C0C" w:sz="1"/>
            </w:tcBorders>
            <w:shd w:fill="FCE4D6" w:val="clear"/>
            <w:tcMar>
              <w:top w:type="dxa" w:w="100"/>
              <w:left w:type="dxa" w:w="160"/>
              <w:bottom w:type="dxa" w:w="100"/>
              <w:right w:type="dxa" w:w="140"/>
            </w:tcMar>
          </w:tcPr>
          <w:p>
            <w:pPr>
              <w:spacing w:after="60"/>
            </w:pPr>
            <w:r>
              <w:rPr>
                <w:rFonts w:ascii="Arial" w:cs="Arial" w:eastAsia="Arial" w:hAnsi="Arial"/>
                <w:b/>
                <w:bCs/>
                <w:color w:val="1F3864"/>
                <w:sz w:val="22"/>
                <w:szCs w:val="22"/>
              </w:rPr>
              <w:t xml:space="preserve">Classify &amp; Assemble Response Team</w:t>
            </w:r>
          </w:p>
          <w:p>
            <w:pPr>
              <w:spacing w:after="60"/>
            </w:pPr>
            <w:r>
              <w:rPr>
                <w:rFonts w:ascii="Arial" w:cs="Arial" w:eastAsia="Arial" w:hAnsi="Arial"/>
                <w:color w:val="404040"/>
                <w:sz w:val="20"/>
                <w:szCs w:val="20"/>
              </w:rPr>
              <w:t xml:space="preserve">•  IC reviews content sample and classifies severity (P1 if published; P2 if contained).</w:t>
            </w:r>
          </w:p>
          <w:p>
            <w:pPr>
              <w:spacing w:after="60"/>
            </w:pPr>
            <w:r>
              <w:rPr>
                <w:rFonts w:ascii="Arial" w:cs="Arial" w:eastAsia="Arial" w:hAnsi="Arial"/>
                <w:color w:val="404040"/>
                <w:sz w:val="20"/>
                <w:szCs w:val="20"/>
              </w:rPr>
              <w:t xml:space="preserve">•  IC activates #ai-incident-[ID] Slack channel; adds Technical Lead, Security Lead, Legal Counsel, Communications Lead.</w:t>
            </w:r>
          </w:p>
          <w:p>
            <w:pPr>
              <w:spacing w:after="0"/>
            </w:pPr>
            <w:r>
              <w:rPr>
                <w:rFonts w:ascii="Arial" w:cs="Arial" w:eastAsia="Arial" w:hAnsi="Arial"/>
                <w:color w:val="404040"/>
                <w:sz w:val="20"/>
                <w:szCs w:val="20"/>
              </w:rPr>
              <w:t xml:space="preserve">•  IC notifies CPO, CTO, CLO within 1 hr (P1) or 4 hrs (P2).</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7F4F00" w:sz="1"/>
              <w:left w:val="single" w:color="7F4F00" w:sz="1"/>
              <w:bottom w:val="single" w:color="7F4F00" w:sz="1"/>
              <w:right w:val="single" w:color="7F4F00" w:sz="1"/>
            </w:tcBorders>
            <w:shd w:fill="7F4F00" w:val="clear"/>
            <w:tcMar>
              <w:top w:type="dxa" w:w="100"/>
              <w:left w:type="dxa" w:w="100"/>
              <w:bottom w:type="dxa" w:w="100"/>
              <w:right w:type="dxa" w:w="100"/>
            </w:tcMar>
            <w:vAlign w:val="center"/>
          </w:tcPr>
          <w:p>
            <w:pPr>
              <w:jc w:val="center"/>
            </w:pPr>
            <w:r>
              <w:rPr>
                <w:rFonts w:ascii="Arial" w:cs="Arial" w:eastAsia="Arial" w:hAnsi="Arial"/>
                <w:b/>
                <w:bCs/>
                <w:color w:val="FFFFFF"/>
                <w:sz w:val="20"/>
                <w:szCs w:val="20"/>
              </w:rPr>
              <w:t xml:space="preserve">STEP
3</w:t>
            </w:r>
          </w:p>
        </w:tc>
        <w:tc>
          <w:tcPr>
            <w:tcW w:type="dxa" w:w="8560"/>
            <w:tcBorders>
              <w:top w:val="single" w:color="7F4F00" w:sz="1"/>
              <w:left w:val="single" w:color="7F4F00" w:sz="1"/>
              <w:bottom w:val="single" w:color="7F4F00" w:sz="1"/>
              <w:right w:val="single" w:color="7F4F00" w:sz="1"/>
            </w:tcBorders>
            <w:shd w:fill="FFF2CC" w:val="clear"/>
            <w:tcMar>
              <w:top w:type="dxa" w:w="100"/>
              <w:left w:type="dxa" w:w="160"/>
              <w:bottom w:type="dxa" w:w="100"/>
              <w:right w:type="dxa" w:w="140"/>
            </w:tcMar>
          </w:tcPr>
          <w:p>
            <w:pPr>
              <w:spacing w:after="60"/>
            </w:pPr>
            <w:r>
              <w:rPr>
                <w:rFonts w:ascii="Arial" w:cs="Arial" w:eastAsia="Arial" w:hAnsi="Arial"/>
                <w:b/>
                <w:bCs/>
                <w:color w:val="1F3864"/>
                <w:sz w:val="22"/>
                <w:szCs w:val="22"/>
              </w:rPr>
              <w:t xml:space="preserve">Contain</w:t>
            </w:r>
          </w:p>
          <w:p>
            <w:pPr>
              <w:spacing w:after="60"/>
            </w:pPr>
            <w:r>
              <w:rPr>
                <w:rFonts w:ascii="Arial" w:cs="Arial" w:eastAsia="Arial" w:hAnsi="Arial"/>
                <w:color w:val="404040"/>
                <w:sz w:val="20"/>
                <w:szCs w:val="20"/>
              </w:rPr>
              <w:t xml:space="preserve">•  Technical Lead updates content safety filter with emergency rule targeting the harmful output pattern.</w:t>
            </w:r>
          </w:p>
          <w:p>
            <w:pPr>
              <w:spacing w:after="60"/>
            </w:pPr>
            <w:r>
              <w:rPr>
                <w:rFonts w:ascii="Arial" w:cs="Arial" w:eastAsia="Arial" w:hAnsi="Arial"/>
                <w:color w:val="404040"/>
                <w:sz w:val="20"/>
                <w:szCs w:val="20"/>
              </w:rPr>
              <w:t xml:space="preserve">•  If systematic failure: IC and CPO authorise model endpoint suspension; graceful degradation mode activated.</w:t>
            </w:r>
          </w:p>
          <w:p>
            <w:pPr>
              <w:spacing w:after="60"/>
            </w:pPr>
            <w:r>
              <w:rPr>
                <w:rFonts w:ascii="Arial" w:cs="Arial" w:eastAsia="Arial" w:hAnsi="Arial"/>
                <w:color w:val="404040"/>
                <w:sz w:val="20"/>
                <w:szCs w:val="20"/>
              </w:rPr>
              <w:t xml:space="preserve">•  Security Lead preserves all inference logs for the preceding 48 hours.</w:t>
            </w:r>
          </w:p>
          <w:p>
            <w:pPr>
              <w:spacing w:after="0"/>
            </w:pPr>
            <w:r>
              <w:rPr>
                <w:rFonts w:ascii="Arial" w:cs="Arial" w:eastAsia="Arial" w:hAnsi="Arial"/>
                <w:color w:val="404040"/>
                <w:sz w:val="20"/>
                <w:szCs w:val="20"/>
              </w:rPr>
              <w:t xml:space="preserve">•  Legal Counsel confirms whether content constitutes a notifiable event under applicable law.</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2E75B6" w:sz="1"/>
              <w:left w:val="single" w:color="2E75B6" w:sz="1"/>
              <w:bottom w:val="single" w:color="2E75B6" w:sz="1"/>
              <w:right w:val="single" w:color="2E75B6" w:sz="1"/>
            </w:tcBorders>
            <w:shd w:fill="2E75B6" w:val="clear"/>
            <w:tcMar>
              <w:top w:type="dxa" w:w="100"/>
              <w:left w:type="dxa" w:w="100"/>
              <w:bottom w:type="dxa" w:w="100"/>
              <w:right w:type="dxa" w:w="100"/>
            </w:tcMar>
            <w:vAlign w:val="center"/>
          </w:tcPr>
          <w:p>
            <w:pPr>
              <w:jc w:val="center"/>
            </w:pPr>
            <w:r>
              <w:rPr>
                <w:rFonts w:ascii="Arial" w:cs="Arial" w:eastAsia="Arial" w:hAnsi="Arial"/>
                <w:b/>
                <w:bCs/>
                <w:color w:val="FFFFFF"/>
                <w:sz w:val="20"/>
                <w:szCs w:val="20"/>
              </w:rPr>
              <w:t xml:space="preserve">STEP
4</w:t>
            </w:r>
          </w:p>
        </w:tc>
        <w:tc>
          <w:tcPr>
            <w:tcW w:type="dxa" w:w="8560"/>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40"/>
            </w:tcMar>
          </w:tcPr>
          <w:p>
            <w:pPr>
              <w:spacing w:after="60"/>
            </w:pPr>
            <w:r>
              <w:rPr>
                <w:rFonts w:ascii="Arial" w:cs="Arial" w:eastAsia="Arial" w:hAnsi="Arial"/>
                <w:b/>
                <w:bCs/>
                <w:color w:val="1F3864"/>
                <w:sz w:val="22"/>
                <w:szCs w:val="22"/>
              </w:rPr>
              <w:t xml:space="preserve">Investigate</w:t>
            </w:r>
          </w:p>
          <w:p>
            <w:pPr>
              <w:spacing w:after="60"/>
            </w:pPr>
            <w:r>
              <w:rPr>
                <w:rFonts w:ascii="Arial" w:cs="Arial" w:eastAsia="Arial" w:hAnsi="Arial"/>
                <w:color w:val="404040"/>
                <w:sz w:val="20"/>
                <w:szCs w:val="20"/>
              </w:rPr>
              <w:t xml:space="preserve">•  Technical Lead reproduces failure in sandboxed environment; identifies exact prompt conditions and system state.</w:t>
            </w:r>
          </w:p>
          <w:p>
            <w:pPr>
              <w:spacing w:after="60"/>
            </w:pPr>
            <w:r>
              <w:rPr>
                <w:rFonts w:ascii="Arial" w:cs="Arial" w:eastAsia="Arial" w:hAnsi="Arial"/>
                <w:color w:val="404040"/>
                <w:sz w:val="20"/>
                <w:szCs w:val="20"/>
              </w:rPr>
              <w:t xml:space="preserve">•  Reviews whether the output bypassed the content safety filter (filter failure) or was not caught by filter design (filter gap).</w:t>
            </w:r>
          </w:p>
          <w:p>
            <w:pPr>
              <w:spacing w:after="60"/>
            </w:pPr>
            <w:r>
              <w:rPr>
                <w:rFonts w:ascii="Arial" w:cs="Arial" w:eastAsia="Arial" w:hAnsi="Arial"/>
                <w:color w:val="404040"/>
                <w:sz w:val="20"/>
                <w:szCs w:val="20"/>
              </w:rPr>
              <w:t xml:space="preserve">•  Security Lead checks whether the triggering prompt was adversarially crafted (potential prompt injection attack).</w:t>
            </w:r>
          </w:p>
          <w:p>
            <w:pPr>
              <w:spacing w:after="0"/>
            </w:pPr>
            <w:r>
              <w:rPr>
                <w:rFonts w:ascii="Arial" w:cs="Arial" w:eastAsia="Arial" w:hAnsi="Arial"/>
                <w:color w:val="404040"/>
                <w:sz w:val="20"/>
                <w:szCs w:val="20"/>
              </w:rPr>
              <w:t xml:space="preserve">•  Assesses whether the failure is isolated or systematic (run test suite against similar prompt categories).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3E1F5C" w:sz="1"/>
              <w:left w:val="single" w:color="3E1F5C" w:sz="1"/>
              <w:bottom w:val="single" w:color="3E1F5C" w:sz="1"/>
              <w:right w:val="single" w:color="3E1F5C" w:sz="1"/>
            </w:tcBorders>
            <w:shd w:fill="3E1F5C" w:val="clear"/>
            <w:tcMar>
              <w:top w:type="dxa" w:w="100"/>
              <w:left w:type="dxa" w:w="100"/>
              <w:bottom w:type="dxa" w:w="100"/>
              <w:right w:type="dxa" w:w="100"/>
            </w:tcMar>
            <w:vAlign w:val="center"/>
          </w:tcPr>
          <w:p>
            <w:pPr>
              <w:jc w:val="center"/>
            </w:pPr>
            <w:r>
              <w:rPr>
                <w:rFonts w:ascii="Arial" w:cs="Arial" w:eastAsia="Arial" w:hAnsi="Arial"/>
                <w:b/>
                <w:bCs/>
                <w:color w:val="FFFFFF"/>
                <w:sz w:val="20"/>
                <w:szCs w:val="20"/>
              </w:rPr>
              <w:t xml:space="preserve">STEP
5</w:t>
            </w:r>
          </w:p>
        </w:tc>
        <w:tc>
          <w:tcPr>
            <w:tcW w:type="dxa" w:w="8560"/>
            <w:tcBorders>
              <w:top w:val="single" w:color="3E1F5C" w:sz="1"/>
              <w:left w:val="single" w:color="3E1F5C" w:sz="1"/>
              <w:bottom w:val="single" w:color="3E1F5C" w:sz="1"/>
              <w:right w:val="single" w:color="3E1F5C" w:sz="1"/>
            </w:tcBorders>
            <w:shd w:fill="EAD9F7" w:val="clear"/>
            <w:tcMar>
              <w:top w:type="dxa" w:w="100"/>
              <w:left w:type="dxa" w:w="160"/>
              <w:bottom w:type="dxa" w:w="100"/>
              <w:right w:type="dxa" w:w="140"/>
            </w:tcMar>
          </w:tcPr>
          <w:p>
            <w:pPr>
              <w:spacing w:after="60"/>
            </w:pPr>
            <w:r>
              <w:rPr>
                <w:rFonts w:ascii="Arial" w:cs="Arial" w:eastAsia="Arial" w:hAnsi="Arial"/>
                <w:b/>
                <w:bCs/>
                <w:color w:val="1F3864"/>
                <w:sz w:val="22"/>
                <w:szCs w:val="22"/>
              </w:rPr>
              <w:t xml:space="preserve">Communicate</w:t>
            </w:r>
          </w:p>
          <w:p>
            <w:pPr>
              <w:spacing w:after="60"/>
            </w:pPr>
            <w:r>
              <w:rPr>
                <w:rFonts w:ascii="Arial" w:cs="Arial" w:eastAsia="Arial" w:hAnsi="Arial"/>
                <w:color w:val="404040"/>
                <w:sz w:val="20"/>
                <w:szCs w:val="20"/>
              </w:rPr>
              <w:t xml:space="preserve">•  If customer data affected or content was published: Communications Lead sends customer notification within 4 hrs (P1).</w:t>
            </w:r>
          </w:p>
          <w:p>
            <w:pPr>
              <w:spacing w:after="60"/>
            </w:pPr>
            <w:r>
              <w:rPr>
                <w:rFonts w:ascii="Arial" w:cs="Arial" w:eastAsia="Arial" w:hAnsi="Arial"/>
                <w:color w:val="404040"/>
                <w:sz w:val="20"/>
                <w:szCs w:val="20"/>
              </w:rPr>
              <w:t xml:space="preserve">•  CPO approves all customer communications; Legal Counsel reviews before sending.</w:t>
            </w:r>
          </w:p>
          <w:p>
            <w:pPr>
              <w:spacing w:after="60"/>
            </w:pPr>
            <w:r>
              <w:rPr>
                <w:rFonts w:ascii="Arial" w:cs="Arial" w:eastAsia="Arial" w:hAnsi="Arial"/>
                <w:color w:val="404040"/>
                <w:sz w:val="20"/>
                <w:szCs w:val="20"/>
              </w:rPr>
              <w:t xml:space="preserve">•  If media inquiry received: Communications Lead handles with CPO approval; no ad-hoc responses by employees.</w:t>
            </w:r>
          </w:p>
          <w:p>
            <w:pPr>
              <w:spacing w:after="0"/>
            </w:pPr>
            <w:r>
              <w:rPr>
                <w:rFonts w:ascii="Arial" w:cs="Arial" w:eastAsia="Arial" w:hAnsi="Arial"/>
                <w:color w:val="404040"/>
                <w:sz w:val="20"/>
                <w:szCs w:val="20"/>
              </w:rPr>
              <w:t xml:space="preserve">•  All-staff communication issued post-containment to confirm status and provide guidance.</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375623" w:sz="1"/>
              <w:left w:val="single" w:color="375623" w:sz="1"/>
              <w:bottom w:val="single" w:color="375623" w:sz="1"/>
              <w:right w:val="single" w:color="375623" w:sz="1"/>
            </w:tcBorders>
            <w:shd w:fill="375623" w:val="clear"/>
            <w:tcMar>
              <w:top w:type="dxa" w:w="100"/>
              <w:left w:type="dxa" w:w="100"/>
              <w:bottom w:type="dxa" w:w="100"/>
              <w:right w:type="dxa" w:w="100"/>
            </w:tcMar>
            <w:vAlign w:val="center"/>
          </w:tcPr>
          <w:p>
            <w:pPr>
              <w:jc w:val="center"/>
            </w:pPr>
            <w:r>
              <w:rPr>
                <w:rFonts w:ascii="Arial" w:cs="Arial" w:eastAsia="Arial" w:hAnsi="Arial"/>
                <w:b/>
                <w:bCs/>
                <w:color w:val="FFFFFF"/>
                <w:sz w:val="20"/>
                <w:szCs w:val="20"/>
              </w:rPr>
              <w:t xml:space="preserve">STEP
6</w:t>
            </w:r>
          </w:p>
        </w:tc>
        <w:tc>
          <w:tcPr>
            <w:tcW w:type="dxa" w:w="8560"/>
            <w:tcBorders>
              <w:top w:val="single" w:color="375623" w:sz="1"/>
              <w:left w:val="single" w:color="375623" w:sz="1"/>
              <w:bottom w:val="single" w:color="375623" w:sz="1"/>
              <w:right w:val="single" w:color="375623" w:sz="1"/>
            </w:tcBorders>
            <w:shd w:fill="E2EFDA" w:val="clear"/>
            <w:tcMar>
              <w:top w:type="dxa" w:w="100"/>
              <w:left w:type="dxa" w:w="160"/>
              <w:bottom w:type="dxa" w:w="100"/>
              <w:right w:type="dxa" w:w="140"/>
            </w:tcMar>
          </w:tcPr>
          <w:p>
            <w:pPr>
              <w:spacing w:after="60"/>
            </w:pPr>
            <w:r>
              <w:rPr>
                <w:rFonts w:ascii="Arial" w:cs="Arial" w:eastAsia="Arial" w:hAnsi="Arial"/>
                <w:b/>
                <w:bCs/>
                <w:color w:val="1F3864"/>
                <w:sz w:val="22"/>
                <w:szCs w:val="22"/>
              </w:rPr>
              <w:t xml:space="preserve">Remediate &amp; Recover</w:t>
            </w:r>
          </w:p>
          <w:p>
            <w:pPr>
              <w:spacing w:after="60"/>
            </w:pPr>
            <w:r>
              <w:rPr>
                <w:rFonts w:ascii="Arial" w:cs="Arial" w:eastAsia="Arial" w:hAnsi="Arial"/>
                <w:color w:val="404040"/>
                <w:sz w:val="20"/>
                <w:szCs w:val="20"/>
              </w:rPr>
              <w:t xml:space="preserve">•  Technical Lead implements permanent fix (filter update, system prompt hardening, model fine-tuning, or rollback).</w:t>
            </w:r>
          </w:p>
          <w:p>
            <w:pPr>
              <w:spacing w:after="60"/>
            </w:pPr>
            <w:r>
              <w:rPr>
                <w:rFonts w:ascii="Arial" w:cs="Arial" w:eastAsia="Arial" w:hAnsi="Arial"/>
                <w:color w:val="404040"/>
                <w:sz w:val="20"/>
                <w:szCs w:val="20"/>
              </w:rPr>
              <w:t xml:space="preserve">•  Full regression test suite + red-team re-test of the failure scenario before return to production.</w:t>
            </w:r>
          </w:p>
          <w:p>
            <w:pPr>
              <w:spacing w:after="60"/>
            </w:pPr>
            <w:r>
              <w:rPr>
                <w:rFonts w:ascii="Arial" w:cs="Arial" w:eastAsia="Arial" w:hAnsi="Arial"/>
                <w:color w:val="404040"/>
                <w:sz w:val="20"/>
                <w:szCs w:val="20"/>
              </w:rPr>
              <w:t xml:space="preserve">•  Bias assessment re-run if incident involved demographic targeting or discriminatory content.</w:t>
            </w:r>
          </w:p>
          <w:p>
            <w:pPr>
              <w:spacing w:after="0"/>
            </w:pPr>
            <w:r>
              <w:rPr>
                <w:rFonts w:ascii="Arial" w:cs="Arial" w:eastAsia="Arial" w:hAnsi="Arial"/>
                <w:color w:val="404040"/>
                <w:sz w:val="20"/>
                <w:szCs w:val="20"/>
              </w:rPr>
              <w:t xml:space="preserve">•  Return-to-production sign-off from Technical Lead, IC, and CPO (P1) or Technical Lead and IC (P2).</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1F3864" w:sz="1"/>
              <w:left w:val="single" w:color="1F3864" w:sz="1"/>
              <w:bottom w:val="single" w:color="1F3864" w:sz="1"/>
              <w:right w:val="single" w:color="1F3864" w:sz="1"/>
            </w:tcBorders>
            <w:shd w:fill="1F3864" w:val="clear"/>
            <w:tcMar>
              <w:top w:type="dxa" w:w="100"/>
              <w:left w:type="dxa" w:w="100"/>
              <w:bottom w:type="dxa" w:w="100"/>
              <w:right w:type="dxa" w:w="100"/>
            </w:tcMar>
            <w:vAlign w:val="center"/>
          </w:tcPr>
          <w:p>
            <w:pPr>
              <w:jc w:val="center"/>
            </w:pPr>
            <w:r>
              <w:rPr>
                <w:rFonts w:ascii="Arial" w:cs="Arial" w:eastAsia="Arial" w:hAnsi="Arial"/>
                <w:b/>
                <w:bCs/>
                <w:color w:val="FFFFFF"/>
                <w:sz w:val="20"/>
                <w:szCs w:val="20"/>
              </w:rPr>
              <w:t xml:space="preserve">STEP
7</w:t>
            </w:r>
          </w:p>
        </w:tc>
        <w:tc>
          <w:tcPr>
            <w:tcW w:type="dxa" w:w="8560"/>
            <w:tcBorders>
              <w:top w:val="single" w:color="1F3864" w:sz="1"/>
              <w:left w:val="single" w:color="1F3864" w:sz="1"/>
              <w:bottom w:val="single" w:color="1F3864" w:sz="1"/>
              <w:right w:val="single" w:color="1F3864" w:sz="1"/>
            </w:tcBorders>
            <w:shd w:fill="D6E4F0" w:val="clear"/>
            <w:tcMar>
              <w:top w:type="dxa" w:w="100"/>
              <w:left w:type="dxa" w:w="160"/>
              <w:bottom w:type="dxa" w:w="100"/>
              <w:right w:type="dxa" w:w="140"/>
            </w:tcMar>
          </w:tcPr>
          <w:p>
            <w:pPr>
              <w:spacing w:after="60"/>
            </w:pPr>
            <w:r>
              <w:rPr>
                <w:rFonts w:ascii="Arial" w:cs="Arial" w:eastAsia="Arial" w:hAnsi="Arial"/>
                <w:b/>
                <w:bCs/>
                <w:color w:val="1F3864"/>
                <w:sz w:val="22"/>
                <w:szCs w:val="22"/>
              </w:rPr>
              <w:t xml:space="preserve">Post-Incident Review</w:t>
            </w:r>
          </w:p>
          <w:p>
            <w:pPr>
              <w:spacing w:after="60"/>
            </w:pPr>
            <w:r>
              <w:rPr>
                <w:rFonts w:ascii="Arial" w:cs="Arial" w:eastAsia="Arial" w:hAnsi="Arial"/>
                <w:color w:val="404040"/>
                <w:sz w:val="20"/>
                <w:szCs w:val="20"/>
              </w:rPr>
              <w:t xml:space="preserve">•  PIR conducted within 5 days (P1) or 10 days (P2).</w:t>
            </w:r>
          </w:p>
          <w:p>
            <w:pPr>
              <w:spacing w:after="60"/>
            </w:pPr>
            <w:r>
              <w:rPr>
                <w:rFonts w:ascii="Arial" w:cs="Arial" w:eastAsia="Arial" w:hAnsi="Arial"/>
                <w:color w:val="404040"/>
                <w:sz w:val="20"/>
                <w:szCs w:val="20"/>
              </w:rPr>
              <w:t xml:space="preserve">•  Root cause classified (RC-03 System Prompt Failure or RC-05 Adversarial Attack most likely).</w:t>
            </w:r>
          </w:p>
          <w:p>
            <w:pPr>
              <w:spacing w:after="60"/>
            </w:pPr>
            <w:r>
              <w:rPr>
                <w:rFonts w:ascii="Arial" w:cs="Arial" w:eastAsia="Arial" w:hAnsi="Arial"/>
                <w:color w:val="404040"/>
                <w:sz w:val="20"/>
                <w:szCs w:val="20"/>
              </w:rPr>
              <w:t xml:space="preserve">•  Findings presented to AIGC; red-team test suite updated with new scenario.</w:t>
            </w:r>
          </w:p>
          <w:p>
            <w:pPr>
              <w:spacing w:after="0"/>
            </w:pPr>
            <w:r>
              <w:rPr>
                <w:rFonts w:ascii="Arial" w:cs="Arial" w:eastAsia="Arial" w:hAnsi="Arial"/>
                <w:color w:val="404040"/>
                <w:sz w:val="20"/>
                <w:szCs w:val="20"/>
              </w:rPr>
              <w:t xml:space="preserve">•  Model card updated to reflect the incident and resolution.</w:t>
            </w:r>
          </w:p>
        </w:tc>
      </w:tr>
    </w:tbl>
    <w:p>
      <w:r>
        <w:br w:type="page"/>
      </w:r>
    </w:p>
    <w:p>
      <w:pPr>
        <w:pStyle w:val="Heading2"/>
        <w:spacing w:before="240" w:after="120"/>
      </w:pPr>
      <w:r>
        <w:rPr>
          <w:rFonts w:ascii="Arial" w:cs="Arial" w:eastAsia="Arial" w:hAnsi="Arial"/>
          <w:b/>
          <w:bCs/>
          <w:color w:val="2E75B6"/>
          <w:sz w:val="26"/>
          <w:szCs w:val="26"/>
        </w:rPr>
        <w:t xml:space="preserve">Scenario B: Personal Data Breach / PII Leakage Incident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2E75B6" w:sz="1"/>
              <w:left w:val="single" w:color="2E75B6" w:sz="1"/>
              <w:bottom w:val="single" w:color="2E75B6" w:sz="1"/>
              <w:right w:val="single" w:color="2E75B6" w:sz="1"/>
            </w:tcBorders>
            <w:shd w:fill="1F3864" w:val="clear"/>
            <w:tcMar>
              <w:top w:type="dxa" w:w="100"/>
              <w:left w:type="dxa" w:w="130"/>
              <w:bottom w:type="dxa" w:w="100"/>
              <w:right w:type="dxa" w:w="130"/>
            </w:tcMar>
            <w:vAlign w:val="center"/>
          </w:tcPr>
          <w:p>
            <w:pPr>
              <w:jc w:val="center"/>
            </w:pPr>
            <w:r>
              <w:rPr>
                <w:rFonts w:ascii="Arial" w:cs="Arial" w:eastAsia="Arial" w:hAnsi="Arial"/>
                <w:b/>
                <w:bCs/>
                <w:color w:val="FFFFFF"/>
                <w:sz w:val="20"/>
                <w:szCs w:val="20"/>
              </w:rPr>
              <w:t xml:space="preserve">Scenario</w:t>
            </w:r>
          </w:p>
        </w:tc>
        <w:tc>
          <w:tcPr>
            <w:tcW w:type="dxa" w:w="7360"/>
            <w:tcBorders>
              <w:top w:val="single" w:color="2E75B6" w:sz="1"/>
              <w:left w:val="single" w:color="2E75B6" w:sz="1"/>
              <w:bottom w:val="single" w:color="2E75B6" w:sz="1"/>
              <w:right w:val="single" w:color="2E75B6" w:sz="1"/>
            </w:tcBorders>
            <w:shd w:fill="1F3864" w:val="clear"/>
            <w:tcMar>
              <w:top w:type="dxa" w:w="100"/>
              <w:left w:type="dxa" w:w="130"/>
              <w:bottom w:type="dxa" w:w="100"/>
              <w:right w:type="dxa" w:w="130"/>
            </w:tcMar>
            <w:vAlign w:val="center"/>
          </w:tcPr>
          <w:p>
            <w:pPr>
              <w:jc w:val="center"/>
            </w:pPr>
            <w:r>
              <w:rPr>
                <w:rFonts w:ascii="Arial" w:cs="Arial" w:eastAsia="Arial" w:hAnsi="Arial"/>
                <w:b/>
                <w:bCs/>
                <w:color w:val="FFFFFF"/>
                <w:sz w:val="20"/>
                <w:szCs w:val="20"/>
              </w:rPr>
              <w:t xml:space="preserve">B: GenStudio outputs or logs found to contain or expose personal data (PII)</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pPr>
              <w:jc w:val="left"/>
            </w:pPr>
            <w:r>
              <w:rPr>
                <w:rFonts w:ascii="Arial" w:cs="Arial" w:eastAsia="Arial" w:hAnsi="Arial"/>
                <w:b/>
                <w:bCs/>
                <w:color w:val="404040"/>
                <w:sz w:val="20"/>
                <w:szCs w:val="20"/>
              </w:rPr>
              <w:t xml:space="preserve">Incident ID Format</w:t>
            </w:r>
          </w:p>
        </w:tc>
        <w:tc>
          <w:tcPr>
            <w:tcW w:type="dxa" w:w="73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pPr>
              <w:jc w:val="left"/>
            </w:pPr>
            <w:r>
              <w:rPr>
                <w:rFonts w:ascii="Arial" w:cs="Arial" w:eastAsia="Arial" w:hAnsi="Arial"/>
                <w:b w:val="false"/>
                <w:bCs w:val="false"/>
                <w:color w:val="404040"/>
                <w:sz w:val="20"/>
                <w:szCs w:val="20"/>
              </w:rPr>
              <w:t xml:space="preserve">AI-INC-YYYY-NNN</w:t>
            </w:r>
          </w:p>
        </w:tc>
      </w:tr>
      <w:tr>
        <w:tc>
          <w:tcPr>
            <w:tcW w:type="dxa" w:w="2000"/>
            <w:tcBorders>
              <w:top w:val="single" w:color="BBBBBB" w:sz="1"/>
              <w:left w:val="single" w:color="BBBBBB" w:sz="1"/>
              <w:bottom w:val="single" w:color="BBBBBB" w:sz="1"/>
              <w:right w:val="single" w:color="BBBBBB" w:sz="1"/>
            </w:tcBorders>
            <w:shd w:fill="EEF4FB" w:val="clear"/>
            <w:tcMar>
              <w:top w:type="dxa" w:w="80"/>
              <w:left w:type="dxa" w:w="130"/>
              <w:bottom w:type="dxa" w:w="80"/>
              <w:right w:type="dxa" w:w="130"/>
            </w:tcMar>
          </w:tcPr>
          <w:p>
            <w:pPr>
              <w:jc w:val="left"/>
            </w:pPr>
            <w:r>
              <w:rPr>
                <w:rFonts w:ascii="Arial" w:cs="Arial" w:eastAsia="Arial" w:hAnsi="Arial"/>
                <w:b/>
                <w:bCs/>
                <w:color w:val="404040"/>
                <w:sz w:val="20"/>
                <w:szCs w:val="20"/>
              </w:rPr>
              <w:t xml:space="preserve">Initial Severity</w:t>
            </w:r>
          </w:p>
        </w:tc>
        <w:tc>
          <w:tcPr>
            <w:tcW w:type="dxa" w:w="7360"/>
            <w:tcBorders>
              <w:top w:val="single" w:color="BBBBBB" w:sz="1"/>
              <w:left w:val="single" w:color="BBBBBB" w:sz="1"/>
              <w:bottom w:val="single" w:color="BBBBBB" w:sz="1"/>
              <w:right w:val="single" w:color="BBBBBB" w:sz="1"/>
            </w:tcBorders>
            <w:shd w:fill="EEF4FB" w:val="clear"/>
            <w:tcMar>
              <w:top w:type="dxa" w:w="80"/>
              <w:left w:type="dxa" w:w="130"/>
              <w:bottom w:type="dxa" w:w="80"/>
              <w:right w:type="dxa" w:w="130"/>
            </w:tcMar>
          </w:tcPr>
          <w:p>
            <w:pPr>
              <w:jc w:val="left"/>
            </w:pPr>
            <w:r>
              <w:rPr>
                <w:rFonts w:ascii="Arial" w:cs="Arial" w:eastAsia="Arial" w:hAnsi="Arial"/>
                <w:b w:val="false"/>
                <w:bCs w:val="false"/>
                <w:color w:val="404040"/>
                <w:sz w:val="20"/>
                <w:szCs w:val="20"/>
              </w:rPr>
              <w:t xml:space="preserve">P1 (Critical) for confirmed exfiltration or large-scale PII in outputs; P2 (High) for isolated PII in outputs</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pPr>
              <w:jc w:val="left"/>
            </w:pPr>
            <w:r>
              <w:rPr>
                <w:rFonts w:ascii="Arial" w:cs="Arial" w:eastAsia="Arial" w:hAnsi="Arial"/>
                <w:b/>
                <w:bCs/>
                <w:color w:val="404040"/>
                <w:sz w:val="20"/>
                <w:szCs w:val="20"/>
              </w:rPr>
              <w:t xml:space="preserve">NIST RMF Reference</w:t>
            </w:r>
          </w:p>
        </w:tc>
        <w:tc>
          <w:tcPr>
            <w:tcW w:type="dxa" w:w="73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pPr>
              <w:jc w:val="left"/>
            </w:pPr>
            <w:r>
              <w:rPr>
                <w:rFonts w:ascii="Arial" w:cs="Arial" w:eastAsia="Arial" w:hAnsi="Arial"/>
                <w:b w:val="false"/>
                <w:bCs w:val="false"/>
                <w:color w:val="404040"/>
                <w:sz w:val="20"/>
                <w:szCs w:val="20"/>
              </w:rPr>
              <w:t xml:space="preserve">MG-2.4 (data privacy); MG-3.1 (AI risk management)</w:t>
            </w:r>
          </w:p>
        </w:tc>
      </w:tr>
      <w:tr>
        <w:tc>
          <w:tcPr>
            <w:tcW w:type="dxa" w:w="2000"/>
            <w:tcBorders>
              <w:top w:val="single" w:color="BBBBBB" w:sz="1"/>
              <w:left w:val="single" w:color="BBBBBB" w:sz="1"/>
              <w:bottom w:val="single" w:color="BBBBBB" w:sz="1"/>
              <w:right w:val="single" w:color="BBBBBB" w:sz="1"/>
            </w:tcBorders>
            <w:shd w:fill="EEF4FB" w:val="clear"/>
            <w:tcMar>
              <w:top w:type="dxa" w:w="80"/>
              <w:left w:type="dxa" w:w="130"/>
              <w:bottom w:type="dxa" w:w="80"/>
              <w:right w:type="dxa" w:w="130"/>
            </w:tcMar>
          </w:tcPr>
          <w:p>
            <w:pPr>
              <w:jc w:val="left"/>
            </w:pPr>
            <w:r>
              <w:rPr>
                <w:rFonts w:ascii="Arial" w:cs="Arial" w:eastAsia="Arial" w:hAnsi="Arial"/>
                <w:b/>
                <w:bCs/>
                <w:color w:val="404040"/>
                <w:sz w:val="20"/>
                <w:szCs w:val="20"/>
              </w:rPr>
              <w:t xml:space="preserve">Detection Signals</w:t>
            </w:r>
          </w:p>
        </w:tc>
        <w:tc>
          <w:tcPr>
            <w:tcW w:type="dxa" w:w="7360"/>
            <w:tcBorders>
              <w:top w:val="single" w:color="BBBBBB" w:sz="1"/>
              <w:left w:val="single" w:color="BBBBBB" w:sz="1"/>
              <w:bottom w:val="single" w:color="BBBBBB" w:sz="1"/>
              <w:right w:val="single" w:color="BBBBBB" w:sz="1"/>
            </w:tcBorders>
            <w:shd w:fill="EEF4FB" w:val="clear"/>
            <w:tcMar>
              <w:top w:type="dxa" w:w="80"/>
              <w:left w:type="dxa" w:w="130"/>
              <w:bottom w:type="dxa" w:w="80"/>
              <w:right w:type="dxa" w:w="130"/>
            </w:tcMar>
          </w:tcPr>
          <w:p>
            <w:pPr>
              <w:jc w:val="left"/>
            </w:pPr>
            <w:r>
              <w:rPr>
                <w:rFonts w:ascii="Arial" w:cs="Arial" w:eastAsia="Arial" w:hAnsi="Arial"/>
                <w:b w:val="false"/>
                <w:bCs w:val="false"/>
                <w:color w:val="404040"/>
                <w:sz w:val="20"/>
                <w:szCs w:val="20"/>
              </w:rPr>
              <w:t xml:space="preserve">Automated PII detection alert in output post-processor; Security Hub finding; customer reports receiving content with their own or others' PII</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pPr>
              <w:jc w:val="left"/>
            </w:pPr>
            <w:r>
              <w:rPr>
                <w:rFonts w:ascii="Arial" w:cs="Arial" w:eastAsia="Arial" w:hAnsi="Arial"/>
                <w:b/>
                <w:bCs/>
                <w:color w:val="404040"/>
                <w:sz w:val="20"/>
                <w:szCs w:val="20"/>
              </w:rPr>
              <w:t xml:space="preserve">72-hr GDPR Clock</w:t>
            </w:r>
          </w:p>
        </w:tc>
        <w:tc>
          <w:tcPr>
            <w:tcW w:type="dxa" w:w="73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pPr>
              <w:jc w:val="left"/>
            </w:pPr>
            <w:r>
              <w:rPr>
                <w:rFonts w:ascii="Arial" w:cs="Arial" w:eastAsia="Arial" w:hAnsi="Arial"/>
                <w:b w:val="false"/>
                <w:bCs w:val="false"/>
                <w:color w:val="404040"/>
                <w:sz w:val="20"/>
                <w:szCs w:val="20"/>
              </w:rPr>
              <w:t xml:space="preserve">Starts from point AInnovate becomes aware of the breach — log the exact date/time of first awareness immediately</w:t>
            </w:r>
          </w:p>
        </w:tc>
      </w:tr>
    </w:tbl>
    <w:p>
      <w:pPr>
        <w:spacing w:after="120"/>
      </w:pPr>
      <w:r>
        <w:t xml:space="preserve"/>
      </w:r>
    </w:p>
    <w:p>
      <w:pPr>
        <w:pStyle w:val="Heading3"/>
        <w:spacing w:before="180" w:after="100"/>
      </w:pPr>
      <w:r>
        <w:rPr>
          <w:rFonts w:ascii="Arial" w:cs="Arial" w:eastAsia="Arial" w:hAnsi="Arial"/>
          <w:b/>
          <w:bCs/>
          <w:color w:val="2E75B6"/>
          <w:sz w:val="23"/>
          <w:szCs w:val="23"/>
        </w:rPr>
        <w:t xml:space="preserve">Step-by-Step Response:</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00000" w:sz="1"/>
              <w:left w:val="single" w:color="C00000" w:sz="1"/>
              <w:bottom w:val="single" w:color="C00000" w:sz="1"/>
              <w:right w:val="single" w:color="C00000" w:sz="1"/>
            </w:tcBorders>
            <w:shd w:fill="C00000" w:val="clear"/>
            <w:tcMar>
              <w:top w:type="dxa" w:w="100"/>
              <w:left w:type="dxa" w:w="100"/>
              <w:bottom w:type="dxa" w:w="100"/>
              <w:right w:type="dxa" w:w="100"/>
            </w:tcMar>
            <w:vAlign w:val="center"/>
          </w:tcPr>
          <w:p>
            <w:pPr>
              <w:jc w:val="center"/>
            </w:pPr>
            <w:r>
              <w:rPr>
                <w:rFonts w:ascii="Arial" w:cs="Arial" w:eastAsia="Arial" w:hAnsi="Arial"/>
                <w:b/>
                <w:bCs/>
                <w:color w:val="FFFFFF"/>
                <w:sz w:val="20"/>
                <w:szCs w:val="20"/>
              </w:rPr>
              <w:t xml:space="preserve">STEP
1</w:t>
            </w:r>
          </w:p>
        </w:tc>
        <w:tc>
          <w:tcPr>
            <w:tcW w:type="dxa" w:w="8560"/>
            <w:tcBorders>
              <w:top w:val="single" w:color="C00000" w:sz="1"/>
              <w:left w:val="single" w:color="C00000" w:sz="1"/>
              <w:bottom w:val="single" w:color="C00000" w:sz="1"/>
              <w:right w:val="single" w:color="C00000" w:sz="1"/>
            </w:tcBorders>
            <w:shd w:fill="FFD7D7" w:val="clear"/>
            <w:tcMar>
              <w:top w:type="dxa" w:w="100"/>
              <w:left w:type="dxa" w:w="160"/>
              <w:bottom w:type="dxa" w:w="100"/>
              <w:right w:type="dxa" w:w="140"/>
            </w:tcMar>
          </w:tcPr>
          <w:p>
            <w:pPr>
              <w:spacing w:after="60"/>
            </w:pPr>
            <w:r>
              <w:rPr>
                <w:rFonts w:ascii="Arial" w:cs="Arial" w:eastAsia="Arial" w:hAnsi="Arial"/>
                <w:b/>
                <w:bCs/>
                <w:color w:val="1F3864"/>
                <w:sz w:val="22"/>
                <w:szCs w:val="22"/>
              </w:rPr>
              <w:t xml:space="preserve">Detect &amp; Preserve (log exact time)</w:t>
            </w:r>
          </w:p>
          <w:p>
            <w:pPr>
              <w:spacing w:after="60"/>
            </w:pPr>
            <w:r>
              <w:rPr>
                <w:rFonts w:ascii="Arial" w:cs="Arial" w:eastAsia="Arial" w:hAnsi="Arial"/>
                <w:color w:val="404040"/>
                <w:sz w:val="20"/>
                <w:szCs w:val="20"/>
              </w:rPr>
              <w:t xml:space="preserve">•  First Responder records exact date and time of first awareness — this starts the 72-hour GDPR clock.</w:t>
            </w:r>
          </w:p>
          <w:p>
            <w:pPr>
              <w:spacing w:after="60"/>
            </w:pPr>
            <w:r>
              <w:rPr>
                <w:rFonts w:ascii="Arial" w:cs="Arial" w:eastAsia="Arial" w:hAnsi="Arial"/>
                <w:color w:val="404040"/>
                <w:sz w:val="20"/>
                <w:szCs w:val="20"/>
              </w:rPr>
              <w:t xml:space="preserve">•  Does NOT delete any logs or outputs; takes screenshots of PII-containing output samples.</w:t>
            </w:r>
          </w:p>
          <w:p>
            <w:pPr>
              <w:spacing w:after="0"/>
            </w:pPr>
            <w:r>
              <w:rPr>
                <w:rFonts w:ascii="Arial" w:cs="Arial" w:eastAsia="Arial" w:hAnsi="Arial"/>
                <w:color w:val="404040"/>
                <w:sz w:val="20"/>
                <w:szCs w:val="20"/>
              </w:rPr>
              <w:t xml:space="preserve">•  Immediately notifies IC and Security Lead.</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843C0C" w:sz="1"/>
              <w:left w:val="single" w:color="843C0C" w:sz="1"/>
              <w:bottom w:val="single" w:color="843C0C" w:sz="1"/>
              <w:right w:val="single" w:color="843C0C" w:sz="1"/>
            </w:tcBorders>
            <w:shd w:fill="843C0C" w:val="clear"/>
            <w:tcMar>
              <w:top w:type="dxa" w:w="100"/>
              <w:left w:type="dxa" w:w="100"/>
              <w:bottom w:type="dxa" w:w="100"/>
              <w:right w:type="dxa" w:w="100"/>
            </w:tcMar>
            <w:vAlign w:val="center"/>
          </w:tcPr>
          <w:p>
            <w:pPr>
              <w:jc w:val="center"/>
            </w:pPr>
            <w:r>
              <w:rPr>
                <w:rFonts w:ascii="Arial" w:cs="Arial" w:eastAsia="Arial" w:hAnsi="Arial"/>
                <w:b/>
                <w:bCs/>
                <w:color w:val="FFFFFF"/>
                <w:sz w:val="20"/>
                <w:szCs w:val="20"/>
              </w:rPr>
              <w:t xml:space="preserve">STEP
2</w:t>
            </w:r>
          </w:p>
        </w:tc>
        <w:tc>
          <w:tcPr>
            <w:tcW w:type="dxa" w:w="8560"/>
            <w:tcBorders>
              <w:top w:val="single" w:color="843C0C" w:sz="1"/>
              <w:left w:val="single" w:color="843C0C" w:sz="1"/>
              <w:bottom w:val="single" w:color="843C0C" w:sz="1"/>
              <w:right w:val="single" w:color="843C0C" w:sz="1"/>
            </w:tcBorders>
            <w:shd w:fill="FCE4D6" w:val="clear"/>
            <w:tcMar>
              <w:top w:type="dxa" w:w="100"/>
              <w:left w:type="dxa" w:w="160"/>
              <w:bottom w:type="dxa" w:w="100"/>
              <w:right w:type="dxa" w:w="140"/>
            </w:tcMar>
          </w:tcPr>
          <w:p>
            <w:pPr>
              <w:spacing w:after="60"/>
            </w:pPr>
            <w:r>
              <w:rPr>
                <w:rFonts w:ascii="Arial" w:cs="Arial" w:eastAsia="Arial" w:hAnsi="Arial"/>
                <w:b/>
                <w:bCs/>
                <w:color w:val="1F3864"/>
                <w:sz w:val="22"/>
                <w:szCs w:val="22"/>
              </w:rPr>
              <w:t xml:space="preserve">Assess Scope and Classify</w:t>
            </w:r>
          </w:p>
          <w:p>
            <w:pPr>
              <w:spacing w:after="60"/>
            </w:pPr>
            <w:r>
              <w:rPr>
                <w:rFonts w:ascii="Arial" w:cs="Arial" w:eastAsia="Arial" w:hAnsi="Arial"/>
                <w:color w:val="404040"/>
                <w:sz w:val="20"/>
                <w:szCs w:val="20"/>
              </w:rPr>
              <w:t xml:space="preserve">•  Security Lead reviews AWS CloudTrail and inference logs to determine: what PII was exposed, how many data subjects affected, and whether data left AInnovate's control.</w:t>
            </w:r>
          </w:p>
          <w:p>
            <w:pPr>
              <w:spacing w:after="60"/>
            </w:pPr>
            <w:r>
              <w:rPr>
                <w:rFonts w:ascii="Arial" w:cs="Arial" w:eastAsia="Arial" w:hAnsi="Arial"/>
                <w:color w:val="404040"/>
                <w:sz w:val="20"/>
                <w:szCs w:val="20"/>
              </w:rPr>
              <w:t xml:space="preserve">•  Data Privacy Lead determines applicable legal basis and notification obligations.</w:t>
            </w:r>
          </w:p>
          <w:p>
            <w:pPr>
              <w:spacing w:after="0"/>
            </w:pPr>
            <w:r>
              <w:rPr>
                <w:rFonts w:ascii="Arial" w:cs="Arial" w:eastAsia="Arial" w:hAnsi="Arial"/>
                <w:color w:val="404040"/>
                <w:sz w:val="20"/>
                <w:szCs w:val="20"/>
              </w:rPr>
              <w:t xml:space="preserve">•  IC classifies as P1 (if data left AInnovate's control or &gt; 100 data subjects) or P2 (contained, &lt; 100 subjects).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7F4F00" w:sz="1"/>
              <w:left w:val="single" w:color="7F4F00" w:sz="1"/>
              <w:bottom w:val="single" w:color="7F4F00" w:sz="1"/>
              <w:right w:val="single" w:color="7F4F00" w:sz="1"/>
            </w:tcBorders>
            <w:shd w:fill="7F4F00" w:val="clear"/>
            <w:tcMar>
              <w:top w:type="dxa" w:w="100"/>
              <w:left w:type="dxa" w:w="100"/>
              <w:bottom w:type="dxa" w:w="100"/>
              <w:right w:type="dxa" w:w="100"/>
            </w:tcMar>
            <w:vAlign w:val="center"/>
          </w:tcPr>
          <w:p>
            <w:pPr>
              <w:jc w:val="center"/>
            </w:pPr>
            <w:r>
              <w:rPr>
                <w:rFonts w:ascii="Arial" w:cs="Arial" w:eastAsia="Arial" w:hAnsi="Arial"/>
                <w:b/>
                <w:bCs/>
                <w:color w:val="FFFFFF"/>
                <w:sz w:val="20"/>
                <w:szCs w:val="20"/>
              </w:rPr>
              <w:t xml:space="preserve">STEP
3</w:t>
            </w:r>
          </w:p>
        </w:tc>
        <w:tc>
          <w:tcPr>
            <w:tcW w:type="dxa" w:w="8560"/>
            <w:tcBorders>
              <w:top w:val="single" w:color="7F4F00" w:sz="1"/>
              <w:left w:val="single" w:color="7F4F00" w:sz="1"/>
              <w:bottom w:val="single" w:color="7F4F00" w:sz="1"/>
              <w:right w:val="single" w:color="7F4F00" w:sz="1"/>
            </w:tcBorders>
            <w:shd w:fill="FFF2CC" w:val="clear"/>
            <w:tcMar>
              <w:top w:type="dxa" w:w="100"/>
              <w:left w:type="dxa" w:w="160"/>
              <w:bottom w:type="dxa" w:w="100"/>
              <w:right w:type="dxa" w:w="140"/>
            </w:tcMar>
          </w:tcPr>
          <w:p>
            <w:pPr>
              <w:spacing w:after="60"/>
            </w:pPr>
            <w:r>
              <w:rPr>
                <w:rFonts w:ascii="Arial" w:cs="Arial" w:eastAsia="Arial" w:hAnsi="Arial"/>
                <w:b/>
                <w:bCs/>
                <w:color w:val="1F3864"/>
                <w:sz w:val="22"/>
                <w:szCs w:val="22"/>
              </w:rPr>
              <w:t xml:space="preserve">Contain the Breach</w:t>
            </w:r>
          </w:p>
          <w:p>
            <w:pPr>
              <w:spacing w:after="60"/>
            </w:pPr>
            <w:r>
              <w:rPr>
                <w:rFonts w:ascii="Arial" w:cs="Arial" w:eastAsia="Arial" w:hAnsi="Arial"/>
                <w:color w:val="404040"/>
                <w:sz w:val="20"/>
                <w:szCs w:val="20"/>
              </w:rPr>
              <w:t xml:space="preserve">•  Security Lead revokes API keys/access associated with the breach; applies AWS WAF rules if exfiltration in progress.</w:t>
            </w:r>
          </w:p>
          <w:p>
            <w:pPr>
              <w:spacing w:after="60"/>
            </w:pPr>
            <w:r>
              <w:rPr>
                <w:rFonts w:ascii="Arial" w:cs="Arial" w:eastAsia="Arial" w:hAnsi="Arial"/>
                <w:color w:val="404040"/>
                <w:sz w:val="20"/>
                <w:szCs w:val="20"/>
              </w:rPr>
              <w:t xml:space="preserve">•  Technical Lead suspends the affected inference endpoint if PII is being generated in outputs.</w:t>
            </w:r>
          </w:p>
          <w:p>
            <w:pPr>
              <w:spacing w:after="60"/>
            </w:pPr>
            <w:r>
              <w:rPr>
                <w:rFonts w:ascii="Arial" w:cs="Arial" w:eastAsia="Arial" w:hAnsi="Arial"/>
                <w:color w:val="404040"/>
                <w:sz w:val="20"/>
                <w:szCs w:val="20"/>
              </w:rPr>
              <w:t xml:space="preserve">•  Data Privacy Lead ensures inference logs are secured (access restricted to incident team) and log retention paused.</w:t>
            </w:r>
          </w:p>
          <w:p>
            <w:pPr>
              <w:spacing w:after="0"/>
            </w:pPr>
            <w:r>
              <w:rPr>
                <w:rFonts w:ascii="Arial" w:cs="Arial" w:eastAsia="Arial" w:hAnsi="Arial"/>
                <w:color w:val="404040"/>
                <w:sz w:val="20"/>
                <w:szCs w:val="20"/>
              </w:rPr>
              <w:t xml:space="preserve">•  PII detection filter in output pipeline strengthened immediately as interim control.</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2E75B6" w:sz="1"/>
              <w:left w:val="single" w:color="2E75B6" w:sz="1"/>
              <w:bottom w:val="single" w:color="2E75B6" w:sz="1"/>
              <w:right w:val="single" w:color="2E75B6" w:sz="1"/>
            </w:tcBorders>
            <w:shd w:fill="2E75B6" w:val="clear"/>
            <w:tcMar>
              <w:top w:type="dxa" w:w="100"/>
              <w:left w:type="dxa" w:w="100"/>
              <w:bottom w:type="dxa" w:w="100"/>
              <w:right w:type="dxa" w:w="100"/>
            </w:tcMar>
            <w:vAlign w:val="center"/>
          </w:tcPr>
          <w:p>
            <w:pPr>
              <w:jc w:val="center"/>
            </w:pPr>
            <w:r>
              <w:rPr>
                <w:rFonts w:ascii="Arial" w:cs="Arial" w:eastAsia="Arial" w:hAnsi="Arial"/>
                <w:b/>
                <w:bCs/>
                <w:color w:val="FFFFFF"/>
                <w:sz w:val="20"/>
                <w:szCs w:val="20"/>
              </w:rPr>
              <w:t xml:space="preserve">STEP
4</w:t>
            </w:r>
          </w:p>
        </w:tc>
        <w:tc>
          <w:tcPr>
            <w:tcW w:type="dxa" w:w="8560"/>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40"/>
            </w:tcMar>
          </w:tcPr>
          <w:p>
            <w:pPr>
              <w:spacing w:after="60"/>
            </w:pPr>
            <w:r>
              <w:rPr>
                <w:rFonts w:ascii="Arial" w:cs="Arial" w:eastAsia="Arial" w:hAnsi="Arial"/>
                <w:b/>
                <w:bCs/>
                <w:color w:val="1F3864"/>
                <w:sz w:val="22"/>
                <w:szCs w:val="22"/>
              </w:rPr>
              <w:t xml:space="preserve">Notify Regulators and Affected Parties</w:t>
            </w:r>
          </w:p>
          <w:p>
            <w:pPr>
              <w:spacing w:after="60"/>
            </w:pPr>
            <w:r>
              <w:rPr>
                <w:rFonts w:ascii="Arial" w:cs="Arial" w:eastAsia="Arial" w:hAnsi="Arial"/>
                <w:color w:val="404040"/>
                <w:sz w:val="20"/>
                <w:szCs w:val="20"/>
              </w:rPr>
              <w:t xml:space="preserve">•  Data Privacy Lead + Legal Counsel complete ICO notification via ico.org.uk online portal within 72 hours of awareness.</w:t>
            </w:r>
          </w:p>
          <w:p>
            <w:pPr>
              <w:spacing w:after="60"/>
            </w:pPr>
            <w:r>
              <w:rPr>
                <w:rFonts w:ascii="Arial" w:cs="Arial" w:eastAsia="Arial" w:hAnsi="Arial"/>
                <w:color w:val="404040"/>
                <w:sz w:val="20"/>
                <w:szCs w:val="20"/>
              </w:rPr>
              <w:t xml:space="preserve">•  ICO notification includes: nature of breach, categories of data, approximate number of data subjects, likely consequences, and measures taken.</w:t>
            </w:r>
          </w:p>
          <w:p>
            <w:pPr>
              <w:spacing w:after="60"/>
            </w:pPr>
            <w:r>
              <w:rPr>
                <w:rFonts w:ascii="Arial" w:cs="Arial" w:eastAsia="Arial" w:hAnsi="Arial"/>
                <w:color w:val="404040"/>
                <w:sz w:val="20"/>
                <w:szCs w:val="20"/>
              </w:rPr>
              <w:t xml:space="preserve">•  If high risk to data subjects: Data Privacy Lead coordinates individual notifications to affected data subjects (GDPR Art. 34).</w:t>
            </w:r>
          </w:p>
          <w:p>
            <w:pPr>
              <w:spacing w:after="0"/>
            </w:pPr>
            <w:r>
              <w:rPr>
                <w:rFonts w:ascii="Arial" w:cs="Arial" w:eastAsia="Arial" w:hAnsi="Arial"/>
                <w:color w:val="404040"/>
                <w:sz w:val="20"/>
                <w:szCs w:val="20"/>
              </w:rPr>
              <w:t xml:space="preserve">•  For EU data subjects: Data Privacy Lead assesses notification obligation to lead supervisory authority under EU GDPR.</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3E1F5C" w:sz="1"/>
              <w:left w:val="single" w:color="3E1F5C" w:sz="1"/>
              <w:bottom w:val="single" w:color="3E1F5C" w:sz="1"/>
              <w:right w:val="single" w:color="3E1F5C" w:sz="1"/>
            </w:tcBorders>
            <w:shd w:fill="3E1F5C" w:val="clear"/>
            <w:tcMar>
              <w:top w:type="dxa" w:w="100"/>
              <w:left w:type="dxa" w:w="100"/>
              <w:bottom w:type="dxa" w:w="100"/>
              <w:right w:type="dxa" w:w="100"/>
            </w:tcMar>
            <w:vAlign w:val="center"/>
          </w:tcPr>
          <w:p>
            <w:pPr>
              <w:jc w:val="center"/>
            </w:pPr>
            <w:r>
              <w:rPr>
                <w:rFonts w:ascii="Arial" w:cs="Arial" w:eastAsia="Arial" w:hAnsi="Arial"/>
                <w:b/>
                <w:bCs/>
                <w:color w:val="FFFFFF"/>
                <w:sz w:val="20"/>
                <w:szCs w:val="20"/>
              </w:rPr>
              <w:t xml:space="preserve">STEP
5</w:t>
            </w:r>
          </w:p>
        </w:tc>
        <w:tc>
          <w:tcPr>
            <w:tcW w:type="dxa" w:w="8560"/>
            <w:tcBorders>
              <w:top w:val="single" w:color="3E1F5C" w:sz="1"/>
              <w:left w:val="single" w:color="3E1F5C" w:sz="1"/>
              <w:bottom w:val="single" w:color="3E1F5C" w:sz="1"/>
              <w:right w:val="single" w:color="3E1F5C" w:sz="1"/>
            </w:tcBorders>
            <w:shd w:fill="EAD9F7" w:val="clear"/>
            <w:tcMar>
              <w:top w:type="dxa" w:w="100"/>
              <w:left w:type="dxa" w:w="160"/>
              <w:bottom w:type="dxa" w:w="100"/>
              <w:right w:type="dxa" w:w="140"/>
            </w:tcMar>
          </w:tcPr>
          <w:p>
            <w:pPr>
              <w:spacing w:after="60"/>
            </w:pPr>
            <w:r>
              <w:rPr>
                <w:rFonts w:ascii="Arial" w:cs="Arial" w:eastAsia="Arial" w:hAnsi="Arial"/>
                <w:b/>
                <w:bCs/>
                <w:color w:val="1F3864"/>
                <w:sz w:val="22"/>
                <w:szCs w:val="22"/>
              </w:rPr>
              <w:t xml:space="preserve">Investigate and Remediate</w:t>
            </w:r>
          </w:p>
          <w:p>
            <w:pPr>
              <w:spacing w:after="60"/>
            </w:pPr>
            <w:r>
              <w:rPr>
                <w:rFonts w:ascii="Arial" w:cs="Arial" w:eastAsia="Arial" w:hAnsi="Arial"/>
                <w:color w:val="404040"/>
                <w:sz w:val="20"/>
                <w:szCs w:val="20"/>
              </w:rPr>
              <w:t xml:space="preserve">•  Technical Lead conducts RCA: was PII present in training data (memorisation) or in inference logs (storage failure)?</w:t>
            </w:r>
          </w:p>
          <w:p>
            <w:pPr>
              <w:spacing w:after="60"/>
            </w:pPr>
            <w:r>
              <w:rPr>
                <w:rFonts w:ascii="Arial" w:cs="Arial" w:eastAsia="Arial" w:hAnsi="Arial"/>
                <w:color w:val="404040"/>
                <w:sz w:val="20"/>
                <w:szCs w:val="20"/>
              </w:rPr>
              <w:t xml:space="preserve">•  Data Steward reviews fine-tuning dataset de-identification pipeline for gaps; re-runs PII scrubbing if needed.</w:t>
            </w:r>
          </w:p>
          <w:p>
            <w:pPr>
              <w:spacing w:after="60"/>
            </w:pPr>
            <w:r>
              <w:rPr>
                <w:rFonts w:ascii="Arial" w:cs="Arial" w:eastAsia="Arial" w:hAnsi="Arial"/>
                <w:color w:val="404040"/>
                <w:sz w:val="20"/>
                <w:szCs w:val="20"/>
              </w:rPr>
              <w:t xml:space="preserve">•  Security Lead implements enhanced PII masking in inference logs; audits all S3 bucket permissions.</w:t>
            </w:r>
          </w:p>
          <w:p>
            <w:pPr>
              <w:spacing w:after="0"/>
            </w:pPr>
            <w:r>
              <w:rPr>
                <w:rFonts w:ascii="Arial" w:cs="Arial" w:eastAsia="Arial" w:hAnsi="Arial"/>
                <w:color w:val="404040"/>
                <w:sz w:val="20"/>
                <w:szCs w:val="20"/>
              </w:rPr>
              <w:t xml:space="preserve">•  Full re-deployment with enhanced PII controls; bias and privacy re-assessment before return to production.</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375623" w:sz="1"/>
              <w:left w:val="single" w:color="375623" w:sz="1"/>
              <w:bottom w:val="single" w:color="375623" w:sz="1"/>
              <w:right w:val="single" w:color="375623" w:sz="1"/>
            </w:tcBorders>
            <w:shd w:fill="375623" w:val="clear"/>
            <w:tcMar>
              <w:top w:type="dxa" w:w="100"/>
              <w:left w:type="dxa" w:w="100"/>
              <w:bottom w:type="dxa" w:w="100"/>
              <w:right w:type="dxa" w:w="100"/>
            </w:tcMar>
            <w:vAlign w:val="center"/>
          </w:tcPr>
          <w:p>
            <w:pPr>
              <w:jc w:val="center"/>
            </w:pPr>
            <w:r>
              <w:rPr>
                <w:rFonts w:ascii="Arial" w:cs="Arial" w:eastAsia="Arial" w:hAnsi="Arial"/>
                <w:b/>
                <w:bCs/>
                <w:color w:val="FFFFFF"/>
                <w:sz w:val="20"/>
                <w:szCs w:val="20"/>
              </w:rPr>
              <w:t xml:space="preserve">STEP
6</w:t>
            </w:r>
          </w:p>
        </w:tc>
        <w:tc>
          <w:tcPr>
            <w:tcW w:type="dxa" w:w="8560"/>
            <w:tcBorders>
              <w:top w:val="single" w:color="375623" w:sz="1"/>
              <w:left w:val="single" w:color="375623" w:sz="1"/>
              <w:bottom w:val="single" w:color="375623" w:sz="1"/>
              <w:right w:val="single" w:color="375623" w:sz="1"/>
            </w:tcBorders>
            <w:shd w:fill="E2EFDA" w:val="clear"/>
            <w:tcMar>
              <w:top w:type="dxa" w:w="100"/>
              <w:left w:type="dxa" w:w="160"/>
              <w:bottom w:type="dxa" w:w="100"/>
              <w:right w:type="dxa" w:w="140"/>
            </w:tcMar>
          </w:tcPr>
          <w:p>
            <w:pPr>
              <w:spacing w:after="60"/>
            </w:pPr>
            <w:r>
              <w:rPr>
                <w:rFonts w:ascii="Arial" w:cs="Arial" w:eastAsia="Arial" w:hAnsi="Arial"/>
                <w:b/>
                <w:bCs/>
                <w:color w:val="1F3864"/>
                <w:sz w:val="22"/>
                <w:szCs w:val="22"/>
              </w:rPr>
              <w:t xml:space="preserve">Post-Incident Review and DPIA Update</w:t>
            </w:r>
          </w:p>
          <w:p>
            <w:pPr>
              <w:spacing w:after="60"/>
            </w:pPr>
            <w:r>
              <w:rPr>
                <w:rFonts w:ascii="Arial" w:cs="Arial" w:eastAsia="Arial" w:hAnsi="Arial"/>
                <w:color w:val="404040"/>
                <w:sz w:val="20"/>
                <w:szCs w:val="20"/>
              </w:rPr>
              <w:t xml:space="preserve">•  PIR completed within 5 days; root cause classified RC-02 (data issue) or RC-04 (infrastructure failure).</w:t>
            </w:r>
          </w:p>
          <w:p>
            <w:pPr>
              <w:spacing w:after="60"/>
            </w:pPr>
            <w:r>
              <w:rPr>
                <w:rFonts w:ascii="Arial" w:cs="Arial" w:eastAsia="Arial" w:hAnsi="Arial"/>
                <w:color w:val="404040"/>
                <w:sz w:val="20"/>
                <w:szCs w:val="20"/>
              </w:rPr>
              <w:t xml:space="preserve">•  DPIA for GenStudio updated to reflect the breach and new controls implemented.</w:t>
            </w:r>
          </w:p>
          <w:p>
            <w:pPr>
              <w:spacing w:after="60"/>
            </w:pPr>
            <w:r>
              <w:rPr>
                <w:rFonts w:ascii="Arial" w:cs="Arial" w:eastAsia="Arial" w:hAnsi="Arial"/>
                <w:color w:val="404040"/>
                <w:sz w:val="20"/>
                <w:szCs w:val="20"/>
              </w:rPr>
              <w:t xml:space="preserve">•  Model card updated; AI Model Registry entry updated.</w:t>
            </w:r>
          </w:p>
          <w:p>
            <w:pPr>
              <w:spacing w:after="0"/>
            </w:pPr>
            <w:r>
              <w:rPr>
                <w:rFonts w:ascii="Arial" w:cs="Arial" w:eastAsia="Arial" w:hAnsi="Arial"/>
                <w:color w:val="404040"/>
                <w:sz w:val="20"/>
                <w:szCs w:val="20"/>
              </w:rPr>
              <w:t xml:space="preserve">•  Findings shared with AIGC; Board notified in next quarterly update.</w:t>
            </w:r>
          </w:p>
        </w:tc>
      </w:tr>
    </w:tbl>
    <w:p>
      <w:r>
        <w:br w:type="page"/>
      </w:r>
    </w:p>
    <w:p>
      <w:pPr>
        <w:pStyle w:val="Heading2"/>
        <w:spacing w:before="240" w:after="120"/>
      </w:pPr>
      <w:r>
        <w:rPr>
          <w:rFonts w:ascii="Arial" w:cs="Arial" w:eastAsia="Arial" w:hAnsi="Arial"/>
          <w:b/>
          <w:bCs/>
          <w:color w:val="2E75B6"/>
          <w:sz w:val="26"/>
          <w:szCs w:val="26"/>
        </w:rPr>
        <w:t xml:space="preserve">Scenario C: Systematic Bias Detection in Production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2E75B6" w:sz="1"/>
              <w:left w:val="single" w:color="2E75B6" w:sz="1"/>
              <w:bottom w:val="single" w:color="2E75B6" w:sz="1"/>
              <w:right w:val="single" w:color="2E75B6" w:sz="1"/>
            </w:tcBorders>
            <w:shd w:fill="1F3864" w:val="clear"/>
            <w:tcMar>
              <w:top w:type="dxa" w:w="100"/>
              <w:left w:type="dxa" w:w="130"/>
              <w:bottom w:type="dxa" w:w="100"/>
              <w:right w:type="dxa" w:w="130"/>
            </w:tcMar>
            <w:vAlign w:val="center"/>
          </w:tcPr>
          <w:p>
            <w:pPr>
              <w:jc w:val="center"/>
            </w:pPr>
            <w:r>
              <w:rPr>
                <w:rFonts w:ascii="Arial" w:cs="Arial" w:eastAsia="Arial" w:hAnsi="Arial"/>
                <w:b/>
                <w:bCs/>
                <w:color w:val="FFFFFF"/>
                <w:sz w:val="20"/>
                <w:szCs w:val="20"/>
              </w:rPr>
              <w:t xml:space="preserve">Scenario</w:t>
            </w:r>
          </w:p>
        </w:tc>
        <w:tc>
          <w:tcPr>
            <w:tcW w:type="dxa" w:w="7360"/>
            <w:tcBorders>
              <w:top w:val="single" w:color="2E75B6" w:sz="1"/>
              <w:left w:val="single" w:color="2E75B6" w:sz="1"/>
              <w:bottom w:val="single" w:color="2E75B6" w:sz="1"/>
              <w:right w:val="single" w:color="2E75B6" w:sz="1"/>
            </w:tcBorders>
            <w:shd w:fill="1F3864" w:val="clear"/>
            <w:tcMar>
              <w:top w:type="dxa" w:w="100"/>
              <w:left w:type="dxa" w:w="130"/>
              <w:bottom w:type="dxa" w:w="100"/>
              <w:right w:type="dxa" w:w="130"/>
            </w:tcMar>
            <w:vAlign w:val="center"/>
          </w:tcPr>
          <w:p>
            <w:pPr>
              <w:jc w:val="center"/>
            </w:pPr>
            <w:r>
              <w:rPr>
                <w:rFonts w:ascii="Arial" w:cs="Arial" w:eastAsia="Arial" w:hAnsi="Arial"/>
                <w:b/>
                <w:bCs/>
                <w:color w:val="FFFFFF"/>
                <w:sz w:val="20"/>
                <w:szCs w:val="20"/>
              </w:rPr>
              <w:t xml:space="preserve">C: Post-deployment monitoring detects bias metrics exceeding thresholds in production outputs</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pPr>
              <w:jc w:val="left"/>
            </w:pPr>
            <w:r>
              <w:rPr>
                <w:rFonts w:ascii="Arial" w:cs="Arial" w:eastAsia="Arial" w:hAnsi="Arial"/>
                <w:b/>
                <w:bCs/>
                <w:color w:val="404040"/>
                <w:sz w:val="20"/>
                <w:szCs w:val="20"/>
              </w:rPr>
              <w:t xml:space="preserve">Incident ID Format</w:t>
            </w:r>
          </w:p>
        </w:tc>
        <w:tc>
          <w:tcPr>
            <w:tcW w:type="dxa" w:w="73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pPr>
              <w:jc w:val="left"/>
            </w:pPr>
            <w:r>
              <w:rPr>
                <w:rFonts w:ascii="Arial" w:cs="Arial" w:eastAsia="Arial" w:hAnsi="Arial"/>
                <w:b w:val="false"/>
                <w:bCs w:val="false"/>
                <w:color w:val="404040"/>
                <w:sz w:val="20"/>
                <w:szCs w:val="20"/>
              </w:rPr>
              <w:t xml:space="preserve">AI-INC-YYYY-NNN</w:t>
            </w:r>
          </w:p>
        </w:tc>
      </w:tr>
      <w:tr>
        <w:tc>
          <w:tcPr>
            <w:tcW w:type="dxa" w:w="2000"/>
            <w:tcBorders>
              <w:top w:val="single" w:color="BBBBBB" w:sz="1"/>
              <w:left w:val="single" w:color="BBBBBB" w:sz="1"/>
              <w:bottom w:val="single" w:color="BBBBBB" w:sz="1"/>
              <w:right w:val="single" w:color="BBBBBB" w:sz="1"/>
            </w:tcBorders>
            <w:shd w:fill="EEF4FB" w:val="clear"/>
            <w:tcMar>
              <w:top w:type="dxa" w:w="80"/>
              <w:left w:type="dxa" w:w="130"/>
              <w:bottom w:type="dxa" w:w="80"/>
              <w:right w:type="dxa" w:w="130"/>
            </w:tcMar>
          </w:tcPr>
          <w:p>
            <w:pPr>
              <w:jc w:val="left"/>
            </w:pPr>
            <w:r>
              <w:rPr>
                <w:rFonts w:ascii="Arial" w:cs="Arial" w:eastAsia="Arial" w:hAnsi="Arial"/>
                <w:b/>
                <w:bCs/>
                <w:color w:val="404040"/>
                <w:sz w:val="20"/>
                <w:szCs w:val="20"/>
              </w:rPr>
              <w:t xml:space="preserve">Initial Severity</w:t>
            </w:r>
          </w:p>
        </w:tc>
        <w:tc>
          <w:tcPr>
            <w:tcW w:type="dxa" w:w="7360"/>
            <w:tcBorders>
              <w:top w:val="single" w:color="BBBBBB" w:sz="1"/>
              <w:left w:val="single" w:color="BBBBBB" w:sz="1"/>
              <w:bottom w:val="single" w:color="BBBBBB" w:sz="1"/>
              <w:right w:val="single" w:color="BBBBBB" w:sz="1"/>
            </w:tcBorders>
            <w:shd w:fill="EEF4FB" w:val="clear"/>
            <w:tcMar>
              <w:top w:type="dxa" w:w="80"/>
              <w:left w:type="dxa" w:w="130"/>
              <w:bottom w:type="dxa" w:w="80"/>
              <w:right w:type="dxa" w:w="130"/>
            </w:tcMar>
          </w:tcPr>
          <w:p>
            <w:pPr>
              <w:jc w:val="left"/>
            </w:pPr>
            <w:r>
              <w:rPr>
                <w:rFonts w:ascii="Arial" w:cs="Arial" w:eastAsia="Arial" w:hAnsi="Arial"/>
                <w:b w:val="false"/>
                <w:bCs w:val="false"/>
                <w:color w:val="404040"/>
                <w:sz w:val="20"/>
                <w:szCs w:val="20"/>
              </w:rPr>
              <w:t xml:space="preserve">P2 (High) — systematic bias requires prompt response even without confirmed individual harm</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pPr>
              <w:jc w:val="left"/>
            </w:pPr>
            <w:r>
              <w:rPr>
                <w:rFonts w:ascii="Arial" w:cs="Arial" w:eastAsia="Arial" w:hAnsi="Arial"/>
                <w:b/>
                <w:bCs/>
                <w:color w:val="404040"/>
                <w:sz w:val="20"/>
                <w:szCs w:val="20"/>
              </w:rPr>
              <w:t xml:space="preserve">NIST RMF Reference</w:t>
            </w:r>
          </w:p>
        </w:tc>
        <w:tc>
          <w:tcPr>
            <w:tcW w:type="dxa" w:w="73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pPr>
              <w:jc w:val="left"/>
            </w:pPr>
            <w:r>
              <w:rPr>
                <w:rFonts w:ascii="Arial" w:cs="Arial" w:eastAsia="Arial" w:hAnsi="Arial"/>
                <w:b w:val="false"/>
                <w:bCs w:val="false"/>
                <w:color w:val="404040"/>
                <w:sz w:val="20"/>
                <w:szCs w:val="20"/>
              </w:rPr>
              <w:t xml:space="preserve">MS-2.3 (bias evaluation); MG-2.2 (risk treatment); MP-4.1 (impact assessment)</w:t>
            </w:r>
          </w:p>
        </w:tc>
      </w:tr>
      <w:tr>
        <w:tc>
          <w:tcPr>
            <w:tcW w:type="dxa" w:w="2000"/>
            <w:tcBorders>
              <w:top w:val="single" w:color="BBBBBB" w:sz="1"/>
              <w:left w:val="single" w:color="BBBBBB" w:sz="1"/>
              <w:bottom w:val="single" w:color="BBBBBB" w:sz="1"/>
              <w:right w:val="single" w:color="BBBBBB" w:sz="1"/>
            </w:tcBorders>
            <w:shd w:fill="EEF4FB" w:val="clear"/>
            <w:tcMar>
              <w:top w:type="dxa" w:w="80"/>
              <w:left w:type="dxa" w:w="130"/>
              <w:bottom w:type="dxa" w:w="80"/>
              <w:right w:type="dxa" w:w="130"/>
            </w:tcMar>
          </w:tcPr>
          <w:p>
            <w:pPr>
              <w:jc w:val="left"/>
            </w:pPr>
            <w:r>
              <w:rPr>
                <w:rFonts w:ascii="Arial" w:cs="Arial" w:eastAsia="Arial" w:hAnsi="Arial"/>
                <w:b/>
                <w:bCs/>
                <w:color w:val="404040"/>
                <w:sz w:val="20"/>
                <w:szCs w:val="20"/>
              </w:rPr>
              <w:t xml:space="preserve">Detection Signals</w:t>
            </w:r>
          </w:p>
        </w:tc>
        <w:tc>
          <w:tcPr>
            <w:tcW w:type="dxa" w:w="7360"/>
            <w:tcBorders>
              <w:top w:val="single" w:color="BBBBBB" w:sz="1"/>
              <w:left w:val="single" w:color="BBBBBB" w:sz="1"/>
              <w:bottom w:val="single" w:color="BBBBBB" w:sz="1"/>
              <w:right w:val="single" w:color="BBBBBB" w:sz="1"/>
            </w:tcBorders>
            <w:shd w:fill="EEF4FB" w:val="clear"/>
            <w:tcMar>
              <w:top w:type="dxa" w:w="80"/>
              <w:left w:type="dxa" w:w="130"/>
              <w:bottom w:type="dxa" w:w="80"/>
              <w:right w:type="dxa" w:w="130"/>
            </w:tcMar>
          </w:tcPr>
          <w:p>
            <w:pPr>
              <w:jc w:val="left"/>
            </w:pPr>
            <w:r>
              <w:rPr>
                <w:rFonts w:ascii="Arial" w:cs="Arial" w:eastAsia="Arial" w:hAnsi="Arial"/>
                <w:b w:val="false"/>
                <w:bCs w:val="false"/>
                <w:color w:val="404040"/>
                <w:sz w:val="20"/>
                <w:szCs w:val="20"/>
              </w:rPr>
              <w:t xml:space="preserve">Production bias monitoring dashboard alert; scheduled bias re-assessment FAIL result; customer complaint about discriminatory copy</w:t>
            </w:r>
          </w:p>
        </w:tc>
      </w:tr>
    </w:tbl>
    <w:p>
      <w:pPr>
        <w:spacing w:after="120"/>
      </w:pPr>
      <w:r>
        <w:t xml:space="preserve"/>
      </w:r>
    </w:p>
    <w:p>
      <w:pPr>
        <w:pStyle w:val="Heading3"/>
        <w:spacing w:before="180" w:after="100"/>
      </w:pPr>
      <w:r>
        <w:rPr>
          <w:rFonts w:ascii="Arial" w:cs="Arial" w:eastAsia="Arial" w:hAnsi="Arial"/>
          <w:b/>
          <w:bCs/>
          <w:color w:val="2E75B6"/>
          <w:sz w:val="23"/>
          <w:szCs w:val="23"/>
        </w:rPr>
        <w:t xml:space="preserve">Step-by-Step Response:</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843C0C" w:sz="1"/>
              <w:left w:val="single" w:color="843C0C" w:sz="1"/>
              <w:bottom w:val="single" w:color="843C0C" w:sz="1"/>
              <w:right w:val="single" w:color="843C0C" w:sz="1"/>
            </w:tcBorders>
            <w:shd w:fill="843C0C" w:val="clear"/>
            <w:tcMar>
              <w:top w:type="dxa" w:w="100"/>
              <w:left w:type="dxa" w:w="100"/>
              <w:bottom w:type="dxa" w:w="100"/>
              <w:right w:type="dxa" w:w="100"/>
            </w:tcMar>
            <w:vAlign w:val="center"/>
          </w:tcPr>
          <w:p>
            <w:pPr>
              <w:jc w:val="center"/>
            </w:pPr>
            <w:r>
              <w:rPr>
                <w:rFonts w:ascii="Arial" w:cs="Arial" w:eastAsia="Arial" w:hAnsi="Arial"/>
                <w:b/>
                <w:bCs/>
                <w:color w:val="FFFFFF"/>
                <w:sz w:val="20"/>
                <w:szCs w:val="20"/>
              </w:rPr>
              <w:t xml:space="preserve">STEP
1</w:t>
            </w:r>
          </w:p>
        </w:tc>
        <w:tc>
          <w:tcPr>
            <w:tcW w:type="dxa" w:w="8560"/>
            <w:tcBorders>
              <w:top w:val="single" w:color="843C0C" w:sz="1"/>
              <w:left w:val="single" w:color="843C0C" w:sz="1"/>
              <w:bottom w:val="single" w:color="843C0C" w:sz="1"/>
              <w:right w:val="single" w:color="843C0C" w:sz="1"/>
            </w:tcBorders>
            <w:shd w:fill="FCE4D6" w:val="clear"/>
            <w:tcMar>
              <w:top w:type="dxa" w:w="100"/>
              <w:left w:type="dxa" w:w="160"/>
              <w:bottom w:type="dxa" w:w="100"/>
              <w:right w:type="dxa" w:w="140"/>
            </w:tcMar>
          </w:tcPr>
          <w:p>
            <w:pPr>
              <w:spacing w:after="60"/>
            </w:pPr>
            <w:r>
              <w:rPr>
                <w:rFonts w:ascii="Arial" w:cs="Arial" w:eastAsia="Arial" w:hAnsi="Arial"/>
                <w:b/>
                <w:bCs/>
                <w:color w:val="1F3864"/>
                <w:sz w:val="22"/>
                <w:szCs w:val="22"/>
              </w:rPr>
              <w:t xml:space="preserve">Detect and Document</w:t>
            </w:r>
          </w:p>
          <w:p>
            <w:pPr>
              <w:spacing w:after="60"/>
            </w:pPr>
            <w:r>
              <w:rPr>
                <w:rFonts w:ascii="Arial" w:cs="Arial" w:eastAsia="Arial" w:hAnsi="Arial"/>
                <w:color w:val="404040"/>
                <w:sz w:val="20"/>
                <w:szCs w:val="20"/>
              </w:rPr>
              <w:t xml:space="preserve">•  AI Governance Lead (or automated monitoring) identifies metric(s) exceeding threshold.</w:t>
            </w:r>
          </w:p>
          <w:p>
            <w:pPr>
              <w:spacing w:after="60"/>
            </w:pPr>
            <w:r>
              <w:rPr>
                <w:rFonts w:ascii="Arial" w:cs="Arial" w:eastAsia="Arial" w:hAnsi="Arial"/>
                <w:color w:val="404040"/>
                <w:sz w:val="20"/>
                <w:szCs w:val="20"/>
              </w:rPr>
              <w:t xml:space="preserve">•  Records exact metric values, dimensions affected, and sample outputs exhibiting bias.</w:t>
            </w:r>
          </w:p>
          <w:p>
            <w:pPr>
              <w:spacing w:after="0"/>
            </w:pPr>
            <w:r>
              <w:rPr>
                <w:rFonts w:ascii="Arial" w:cs="Arial" w:eastAsia="Arial" w:hAnsi="Arial"/>
                <w:color w:val="404040"/>
                <w:sz w:val="20"/>
                <w:szCs w:val="20"/>
              </w:rPr>
              <w:t xml:space="preserve">•  Opens AI-INC ticket classified P2; assembles response team including Technical Lead and Data Steward.</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7F4F00" w:sz="1"/>
              <w:left w:val="single" w:color="7F4F00" w:sz="1"/>
              <w:bottom w:val="single" w:color="7F4F00" w:sz="1"/>
              <w:right w:val="single" w:color="7F4F00" w:sz="1"/>
            </w:tcBorders>
            <w:shd w:fill="7F4F00" w:val="clear"/>
            <w:tcMar>
              <w:top w:type="dxa" w:w="100"/>
              <w:left w:type="dxa" w:w="100"/>
              <w:bottom w:type="dxa" w:w="100"/>
              <w:right w:type="dxa" w:w="100"/>
            </w:tcMar>
            <w:vAlign w:val="center"/>
          </w:tcPr>
          <w:p>
            <w:pPr>
              <w:jc w:val="center"/>
            </w:pPr>
            <w:r>
              <w:rPr>
                <w:rFonts w:ascii="Arial" w:cs="Arial" w:eastAsia="Arial" w:hAnsi="Arial"/>
                <w:b/>
                <w:bCs/>
                <w:color w:val="FFFFFF"/>
                <w:sz w:val="20"/>
                <w:szCs w:val="20"/>
              </w:rPr>
              <w:t xml:space="preserve">STEP
2</w:t>
            </w:r>
          </w:p>
        </w:tc>
        <w:tc>
          <w:tcPr>
            <w:tcW w:type="dxa" w:w="8560"/>
            <w:tcBorders>
              <w:top w:val="single" w:color="7F4F00" w:sz="1"/>
              <w:left w:val="single" w:color="7F4F00" w:sz="1"/>
              <w:bottom w:val="single" w:color="7F4F00" w:sz="1"/>
              <w:right w:val="single" w:color="7F4F00" w:sz="1"/>
            </w:tcBorders>
            <w:shd w:fill="FFF2CC" w:val="clear"/>
            <w:tcMar>
              <w:top w:type="dxa" w:w="100"/>
              <w:left w:type="dxa" w:w="160"/>
              <w:bottom w:type="dxa" w:w="100"/>
              <w:right w:type="dxa" w:w="140"/>
            </w:tcMar>
          </w:tcPr>
          <w:p>
            <w:pPr>
              <w:spacing w:after="60"/>
            </w:pPr>
            <w:r>
              <w:rPr>
                <w:rFonts w:ascii="Arial" w:cs="Arial" w:eastAsia="Arial" w:hAnsi="Arial"/>
                <w:b/>
                <w:bCs/>
                <w:color w:val="1F3864"/>
                <w:sz w:val="22"/>
                <w:szCs w:val="22"/>
              </w:rPr>
              <w:t xml:space="preserve">Validate Finding</w:t>
            </w:r>
          </w:p>
          <w:p>
            <w:pPr>
              <w:spacing w:after="60"/>
            </w:pPr>
            <w:r>
              <w:rPr>
                <w:rFonts w:ascii="Arial" w:cs="Arial" w:eastAsia="Arial" w:hAnsi="Arial"/>
                <w:color w:val="404040"/>
                <w:sz w:val="20"/>
                <w:szCs w:val="20"/>
              </w:rPr>
              <w:t xml:space="preserve">•  Technical Lead runs targeted bias assessment on production outputs for the affected dimension.</w:t>
            </w:r>
          </w:p>
          <w:p>
            <w:pPr>
              <w:spacing w:after="60"/>
            </w:pPr>
            <w:r>
              <w:rPr>
                <w:rFonts w:ascii="Arial" w:cs="Arial" w:eastAsia="Arial" w:hAnsi="Arial"/>
                <w:color w:val="404040"/>
                <w:sz w:val="20"/>
                <w:szCs w:val="20"/>
              </w:rPr>
              <w:t xml:space="preserve">•  AI Governance Lead and Data Steward review sample outputs to confirm the bias is genuine (not a measurement artefact).</w:t>
            </w:r>
          </w:p>
          <w:p>
            <w:pPr>
              <w:spacing w:after="0"/>
            </w:pPr>
            <w:r>
              <w:rPr>
                <w:rFonts w:ascii="Arial" w:cs="Arial" w:eastAsia="Arial" w:hAnsi="Arial"/>
                <w:color w:val="404040"/>
                <w:sz w:val="20"/>
                <w:szCs w:val="20"/>
              </w:rPr>
              <w:t xml:space="preserve">•  Determine whether bias is new (model drift) or was present but not detected pre-deployment.</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2E75B6" w:sz="1"/>
              <w:left w:val="single" w:color="2E75B6" w:sz="1"/>
              <w:bottom w:val="single" w:color="2E75B6" w:sz="1"/>
              <w:right w:val="single" w:color="2E75B6" w:sz="1"/>
            </w:tcBorders>
            <w:shd w:fill="2E75B6" w:val="clear"/>
            <w:tcMar>
              <w:top w:type="dxa" w:w="100"/>
              <w:left w:type="dxa" w:w="100"/>
              <w:bottom w:type="dxa" w:w="100"/>
              <w:right w:type="dxa" w:w="100"/>
            </w:tcMar>
            <w:vAlign w:val="center"/>
          </w:tcPr>
          <w:p>
            <w:pPr>
              <w:jc w:val="center"/>
            </w:pPr>
            <w:r>
              <w:rPr>
                <w:rFonts w:ascii="Arial" w:cs="Arial" w:eastAsia="Arial" w:hAnsi="Arial"/>
                <w:b/>
                <w:bCs/>
                <w:color w:val="FFFFFF"/>
                <w:sz w:val="20"/>
                <w:szCs w:val="20"/>
              </w:rPr>
              <w:t xml:space="preserve">STEP
3</w:t>
            </w:r>
          </w:p>
        </w:tc>
        <w:tc>
          <w:tcPr>
            <w:tcW w:type="dxa" w:w="8560"/>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40"/>
            </w:tcMar>
          </w:tcPr>
          <w:p>
            <w:pPr>
              <w:spacing w:after="60"/>
            </w:pPr>
            <w:r>
              <w:rPr>
                <w:rFonts w:ascii="Arial" w:cs="Arial" w:eastAsia="Arial" w:hAnsi="Arial"/>
                <w:b/>
                <w:bCs/>
                <w:color w:val="1F3864"/>
                <w:sz w:val="22"/>
                <w:szCs w:val="22"/>
              </w:rPr>
              <w:t xml:space="preserve">Contain — Restrict Affected Feature</w:t>
            </w:r>
          </w:p>
          <w:p>
            <w:pPr>
              <w:spacing w:after="60"/>
            </w:pPr>
            <w:r>
              <w:rPr>
                <w:rFonts w:ascii="Arial" w:cs="Arial" w:eastAsia="Arial" w:hAnsi="Arial"/>
                <w:color w:val="404040"/>
                <w:sz w:val="20"/>
                <w:szCs w:val="20"/>
              </w:rPr>
              <w:t xml:space="preserve">•  IC and Technical Lead implement short-term containment: add explicit fairness instruction to system prompt for affected dimension.</w:t>
            </w:r>
          </w:p>
          <w:p>
            <w:pPr>
              <w:spacing w:after="60"/>
            </w:pPr>
            <w:r>
              <w:rPr>
                <w:rFonts w:ascii="Arial" w:cs="Arial" w:eastAsia="Arial" w:hAnsi="Arial"/>
                <w:color w:val="404040"/>
                <w:sz w:val="20"/>
                <w:szCs w:val="20"/>
              </w:rPr>
              <w:t xml:space="preserve">•  Consider temporarily restricting prompts that explicitly reference the biased demographic dimension pending full remediation.</w:t>
            </w:r>
          </w:p>
          <w:p>
            <w:pPr>
              <w:spacing w:after="0"/>
            </w:pPr>
            <w:r>
              <w:rPr>
                <w:rFonts w:ascii="Arial" w:cs="Arial" w:eastAsia="Arial" w:hAnsi="Arial"/>
                <w:color w:val="404040"/>
                <w:sz w:val="20"/>
                <w:szCs w:val="20"/>
              </w:rPr>
              <w:t xml:space="preserve">•  Increase monitoring frequency for all bias-related metrics.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3E1F5C" w:sz="1"/>
              <w:left w:val="single" w:color="3E1F5C" w:sz="1"/>
              <w:bottom w:val="single" w:color="3E1F5C" w:sz="1"/>
              <w:right w:val="single" w:color="3E1F5C" w:sz="1"/>
            </w:tcBorders>
            <w:shd w:fill="3E1F5C" w:val="clear"/>
            <w:tcMar>
              <w:top w:type="dxa" w:w="100"/>
              <w:left w:type="dxa" w:w="100"/>
              <w:bottom w:type="dxa" w:w="100"/>
              <w:right w:type="dxa" w:w="100"/>
            </w:tcMar>
            <w:vAlign w:val="center"/>
          </w:tcPr>
          <w:p>
            <w:pPr>
              <w:jc w:val="center"/>
            </w:pPr>
            <w:r>
              <w:rPr>
                <w:rFonts w:ascii="Arial" w:cs="Arial" w:eastAsia="Arial" w:hAnsi="Arial"/>
                <w:b/>
                <w:bCs/>
                <w:color w:val="FFFFFF"/>
                <w:sz w:val="20"/>
                <w:szCs w:val="20"/>
              </w:rPr>
              <w:t xml:space="preserve">STEP
4</w:t>
            </w:r>
          </w:p>
        </w:tc>
        <w:tc>
          <w:tcPr>
            <w:tcW w:type="dxa" w:w="8560"/>
            <w:tcBorders>
              <w:top w:val="single" w:color="3E1F5C" w:sz="1"/>
              <w:left w:val="single" w:color="3E1F5C" w:sz="1"/>
              <w:bottom w:val="single" w:color="3E1F5C" w:sz="1"/>
              <w:right w:val="single" w:color="3E1F5C" w:sz="1"/>
            </w:tcBorders>
            <w:shd w:fill="EAD9F7" w:val="clear"/>
            <w:tcMar>
              <w:top w:type="dxa" w:w="100"/>
              <w:left w:type="dxa" w:w="160"/>
              <w:bottom w:type="dxa" w:w="100"/>
              <w:right w:type="dxa" w:w="140"/>
            </w:tcMar>
          </w:tcPr>
          <w:p>
            <w:pPr>
              <w:spacing w:after="60"/>
            </w:pPr>
            <w:r>
              <w:rPr>
                <w:rFonts w:ascii="Arial" w:cs="Arial" w:eastAsia="Arial" w:hAnsi="Arial"/>
                <w:b/>
                <w:bCs/>
                <w:color w:val="1F3864"/>
                <w:sz w:val="22"/>
                <w:szCs w:val="22"/>
              </w:rPr>
              <w:t xml:space="preserve">Investigate Root Cause</w:t>
            </w:r>
          </w:p>
          <w:p>
            <w:pPr>
              <w:spacing w:after="60"/>
            </w:pPr>
            <w:r>
              <w:rPr>
                <w:rFonts w:ascii="Arial" w:cs="Arial" w:eastAsia="Arial" w:hAnsi="Arial"/>
                <w:color w:val="404040"/>
                <w:sz w:val="20"/>
                <w:szCs w:val="20"/>
              </w:rPr>
              <w:t xml:space="preserve">•  Data Steward reviews fine-tuning data for representation imbalance in the affected demographic dimension.</w:t>
            </w:r>
          </w:p>
          <w:p>
            <w:pPr>
              <w:spacing w:after="60"/>
            </w:pPr>
            <w:r>
              <w:rPr>
                <w:rFonts w:ascii="Arial" w:cs="Arial" w:eastAsia="Arial" w:hAnsi="Arial"/>
                <w:color w:val="404040"/>
                <w:sz w:val="20"/>
                <w:szCs w:val="20"/>
              </w:rPr>
              <w:t xml:space="preserve">•  Technical Lead assesses whether model drift explains the increase (comparison against baseline evaluation scores).</w:t>
            </w:r>
          </w:p>
          <w:p>
            <w:pPr>
              <w:spacing w:after="0"/>
            </w:pPr>
            <w:r>
              <w:rPr>
                <w:rFonts w:ascii="Arial" w:cs="Arial" w:eastAsia="Arial" w:hAnsi="Arial"/>
                <w:color w:val="404040"/>
                <w:sz w:val="20"/>
                <w:szCs w:val="20"/>
              </w:rPr>
              <w:t xml:space="preserve">•  AI Governance Lead classifies root cause (RC-02 Training Data or RC-03 Prompt Design most likely).</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375623" w:sz="1"/>
              <w:left w:val="single" w:color="375623" w:sz="1"/>
              <w:bottom w:val="single" w:color="375623" w:sz="1"/>
              <w:right w:val="single" w:color="375623" w:sz="1"/>
            </w:tcBorders>
            <w:shd w:fill="375623" w:val="clear"/>
            <w:tcMar>
              <w:top w:type="dxa" w:w="100"/>
              <w:left w:type="dxa" w:w="100"/>
              <w:bottom w:type="dxa" w:w="100"/>
              <w:right w:type="dxa" w:w="100"/>
            </w:tcMar>
            <w:vAlign w:val="center"/>
          </w:tcPr>
          <w:p>
            <w:pPr>
              <w:jc w:val="center"/>
            </w:pPr>
            <w:r>
              <w:rPr>
                <w:rFonts w:ascii="Arial" w:cs="Arial" w:eastAsia="Arial" w:hAnsi="Arial"/>
                <w:b/>
                <w:bCs/>
                <w:color w:val="FFFFFF"/>
                <w:sz w:val="20"/>
                <w:szCs w:val="20"/>
              </w:rPr>
              <w:t xml:space="preserve">STEP
5</w:t>
            </w:r>
          </w:p>
        </w:tc>
        <w:tc>
          <w:tcPr>
            <w:tcW w:type="dxa" w:w="8560"/>
            <w:tcBorders>
              <w:top w:val="single" w:color="375623" w:sz="1"/>
              <w:left w:val="single" w:color="375623" w:sz="1"/>
              <w:bottom w:val="single" w:color="375623" w:sz="1"/>
              <w:right w:val="single" w:color="375623" w:sz="1"/>
            </w:tcBorders>
            <w:shd w:fill="E2EFDA" w:val="clear"/>
            <w:tcMar>
              <w:top w:type="dxa" w:w="100"/>
              <w:left w:type="dxa" w:w="160"/>
              <w:bottom w:type="dxa" w:w="100"/>
              <w:right w:type="dxa" w:w="140"/>
            </w:tcMar>
          </w:tcPr>
          <w:p>
            <w:pPr>
              <w:spacing w:after="60"/>
            </w:pPr>
            <w:r>
              <w:rPr>
                <w:rFonts w:ascii="Arial" w:cs="Arial" w:eastAsia="Arial" w:hAnsi="Arial"/>
                <w:b/>
                <w:bCs/>
                <w:color w:val="1F3864"/>
                <w:sz w:val="22"/>
                <w:szCs w:val="22"/>
              </w:rPr>
              <w:t xml:space="preserve">Remediate per Bias Methodology</w:t>
            </w:r>
          </w:p>
          <w:p>
            <w:pPr>
              <w:spacing w:after="60"/>
            </w:pPr>
            <w:r>
              <w:rPr>
                <w:rFonts w:ascii="Arial" w:cs="Arial" w:eastAsia="Arial" w:hAnsi="Arial"/>
                <w:color w:val="404040"/>
                <w:sz w:val="20"/>
                <w:szCs w:val="20"/>
              </w:rPr>
              <w:t xml:space="preserve">•  Apply appropriate remediation technique per AIN-GOV-002 Section 7 (system prompt adjustment, data augmentation, or fine-tune refresh).</w:t>
            </w:r>
          </w:p>
          <w:p>
            <w:pPr>
              <w:spacing w:after="60"/>
            </w:pPr>
            <w:r>
              <w:rPr>
                <w:rFonts w:ascii="Arial" w:cs="Arial" w:eastAsia="Arial" w:hAnsi="Arial"/>
                <w:color w:val="404040"/>
                <w:sz w:val="20"/>
                <w:szCs w:val="20"/>
              </w:rPr>
              <w:t xml:space="preserve">•  Run full bias assessment post-remediation to confirm all metrics are within threshold before returning to full production.</w:t>
            </w:r>
          </w:p>
          <w:p>
            <w:pPr>
              <w:spacing w:after="0"/>
            </w:pPr>
            <w:r>
              <w:rPr>
                <w:rFonts w:ascii="Arial" w:cs="Arial" w:eastAsia="Arial" w:hAnsi="Arial"/>
                <w:color w:val="404040"/>
                <w:sz w:val="20"/>
                <w:szCs w:val="20"/>
              </w:rPr>
              <w:t xml:space="preserve">•  IC and Technical Lead sign off on return to production.</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1F3864" w:sz="1"/>
              <w:left w:val="single" w:color="1F3864" w:sz="1"/>
              <w:bottom w:val="single" w:color="1F3864" w:sz="1"/>
              <w:right w:val="single" w:color="1F3864" w:sz="1"/>
            </w:tcBorders>
            <w:shd w:fill="1F3864" w:val="clear"/>
            <w:tcMar>
              <w:top w:type="dxa" w:w="100"/>
              <w:left w:type="dxa" w:w="100"/>
              <w:bottom w:type="dxa" w:w="100"/>
              <w:right w:type="dxa" w:w="100"/>
            </w:tcMar>
            <w:vAlign w:val="center"/>
          </w:tcPr>
          <w:p>
            <w:pPr>
              <w:jc w:val="center"/>
            </w:pPr>
            <w:r>
              <w:rPr>
                <w:rFonts w:ascii="Arial" w:cs="Arial" w:eastAsia="Arial" w:hAnsi="Arial"/>
                <w:b/>
                <w:bCs/>
                <w:color w:val="FFFFFF"/>
                <w:sz w:val="20"/>
                <w:szCs w:val="20"/>
              </w:rPr>
              <w:t xml:space="preserve">STEP
6</w:t>
            </w:r>
          </w:p>
        </w:tc>
        <w:tc>
          <w:tcPr>
            <w:tcW w:type="dxa" w:w="8560"/>
            <w:tcBorders>
              <w:top w:val="single" w:color="1F3864" w:sz="1"/>
              <w:left w:val="single" w:color="1F3864" w:sz="1"/>
              <w:bottom w:val="single" w:color="1F3864" w:sz="1"/>
              <w:right w:val="single" w:color="1F3864" w:sz="1"/>
            </w:tcBorders>
            <w:shd w:fill="D6E4F0" w:val="clear"/>
            <w:tcMar>
              <w:top w:type="dxa" w:w="100"/>
              <w:left w:type="dxa" w:w="160"/>
              <w:bottom w:type="dxa" w:w="100"/>
              <w:right w:type="dxa" w:w="140"/>
            </w:tcMar>
          </w:tcPr>
          <w:p>
            <w:pPr>
              <w:spacing w:after="60"/>
            </w:pPr>
            <w:r>
              <w:rPr>
                <w:rFonts w:ascii="Arial" w:cs="Arial" w:eastAsia="Arial" w:hAnsi="Arial"/>
                <w:b/>
                <w:bCs/>
                <w:color w:val="1F3864"/>
                <w:sz w:val="22"/>
                <w:szCs w:val="22"/>
              </w:rPr>
              <w:t xml:space="preserve">Communicate and Record</w:t>
            </w:r>
          </w:p>
          <w:p>
            <w:pPr>
              <w:spacing w:after="60"/>
            </w:pPr>
            <w:r>
              <w:rPr>
                <w:rFonts w:ascii="Arial" w:cs="Arial" w:eastAsia="Arial" w:hAnsi="Arial"/>
                <w:color w:val="404040"/>
                <w:sz w:val="20"/>
                <w:szCs w:val="20"/>
              </w:rPr>
              <w:t xml:space="preserve">•  AIGC notified of P2 incident and resolution within 4 hours of detection.</w:t>
            </w:r>
          </w:p>
          <w:p>
            <w:pPr>
              <w:spacing w:after="60"/>
            </w:pPr>
            <w:r>
              <w:rPr>
                <w:rFonts w:ascii="Arial" w:cs="Arial" w:eastAsia="Arial" w:hAnsi="Arial"/>
                <w:color w:val="404040"/>
                <w:sz w:val="20"/>
                <w:szCs w:val="20"/>
              </w:rPr>
              <w:t xml:space="preserve">•  If customers received biased outputs in published campaigns: Communications Lead reaches out to affected accounts.</w:t>
            </w:r>
          </w:p>
          <w:p>
            <w:pPr>
              <w:spacing w:after="60"/>
            </w:pPr>
            <w:r>
              <w:rPr>
                <w:rFonts w:ascii="Arial" w:cs="Arial" w:eastAsia="Arial" w:hAnsi="Arial"/>
                <w:color w:val="404040"/>
                <w:sz w:val="20"/>
                <w:szCs w:val="20"/>
              </w:rPr>
              <w:t xml:space="preserve">•  Model card updated; bias assessment report updated (BAR update issued).</w:t>
            </w:r>
          </w:p>
          <w:p>
            <w:pPr>
              <w:spacing w:after="0"/>
            </w:pPr>
            <w:r>
              <w:rPr>
                <w:rFonts w:ascii="Arial" w:cs="Arial" w:eastAsia="Arial" w:hAnsi="Arial"/>
                <w:color w:val="404040"/>
                <w:sz w:val="20"/>
                <w:szCs w:val="20"/>
              </w:rPr>
              <w:t xml:space="preserve">•  PIR completed within 10 days; findings fed into next scheduled bias assessment cycle.</w:t>
            </w:r>
          </w:p>
        </w:tc>
      </w:tr>
    </w:tbl>
    <w:p>
      <w:r>
        <w:br w:type="page"/>
      </w:r>
    </w:p>
    <w:p>
      <w:pPr>
        <w:pStyle w:val="Heading2"/>
        <w:spacing w:before="240" w:after="120"/>
      </w:pPr>
      <w:r>
        <w:rPr>
          <w:rFonts w:ascii="Arial" w:cs="Arial" w:eastAsia="Arial" w:hAnsi="Arial"/>
          <w:b/>
          <w:bCs/>
          <w:color w:val="2E75B6"/>
          <w:sz w:val="26"/>
          <w:szCs w:val="26"/>
        </w:rPr>
        <w:t xml:space="preserve">Scenario D: Model Performance Degradation / Service Outage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2E75B6" w:sz="1"/>
              <w:left w:val="single" w:color="2E75B6" w:sz="1"/>
              <w:bottom w:val="single" w:color="2E75B6" w:sz="1"/>
              <w:right w:val="single" w:color="2E75B6" w:sz="1"/>
            </w:tcBorders>
            <w:shd w:fill="1F3864" w:val="clear"/>
            <w:tcMar>
              <w:top w:type="dxa" w:w="100"/>
              <w:left w:type="dxa" w:w="130"/>
              <w:bottom w:type="dxa" w:w="100"/>
              <w:right w:type="dxa" w:w="130"/>
            </w:tcMar>
            <w:vAlign w:val="center"/>
          </w:tcPr>
          <w:p>
            <w:pPr>
              <w:jc w:val="center"/>
            </w:pPr>
            <w:r>
              <w:rPr>
                <w:rFonts w:ascii="Arial" w:cs="Arial" w:eastAsia="Arial" w:hAnsi="Arial"/>
                <w:b/>
                <w:bCs/>
                <w:color w:val="FFFFFF"/>
                <w:sz w:val="20"/>
                <w:szCs w:val="20"/>
              </w:rPr>
              <w:t xml:space="preserve">Scenario</w:t>
            </w:r>
          </w:p>
        </w:tc>
        <w:tc>
          <w:tcPr>
            <w:tcW w:type="dxa" w:w="7360"/>
            <w:tcBorders>
              <w:top w:val="single" w:color="2E75B6" w:sz="1"/>
              <w:left w:val="single" w:color="2E75B6" w:sz="1"/>
              <w:bottom w:val="single" w:color="2E75B6" w:sz="1"/>
              <w:right w:val="single" w:color="2E75B6" w:sz="1"/>
            </w:tcBorders>
            <w:shd w:fill="1F3864" w:val="clear"/>
            <w:tcMar>
              <w:top w:type="dxa" w:w="100"/>
              <w:left w:type="dxa" w:w="130"/>
              <w:bottom w:type="dxa" w:w="100"/>
              <w:right w:type="dxa" w:w="130"/>
            </w:tcMar>
            <w:vAlign w:val="center"/>
          </w:tcPr>
          <w:p>
            <w:pPr>
              <w:jc w:val="center"/>
            </w:pPr>
            <w:r>
              <w:rPr>
                <w:rFonts w:ascii="Arial" w:cs="Arial" w:eastAsia="Arial" w:hAnsi="Arial"/>
                <w:b/>
                <w:bCs/>
                <w:color w:val="FFFFFF"/>
                <w:sz w:val="20"/>
                <w:szCs w:val="20"/>
              </w:rPr>
              <w:t xml:space="preserve">D: GenStudio API unavailability or significant quality degradation affecting customers</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pPr>
              <w:jc w:val="left"/>
            </w:pPr>
            <w:r>
              <w:rPr>
                <w:rFonts w:ascii="Arial" w:cs="Arial" w:eastAsia="Arial" w:hAnsi="Arial"/>
                <w:b/>
                <w:bCs/>
                <w:color w:val="404040"/>
                <w:sz w:val="20"/>
                <w:szCs w:val="20"/>
              </w:rPr>
              <w:t xml:space="preserve">Incident ID Format</w:t>
            </w:r>
          </w:p>
        </w:tc>
        <w:tc>
          <w:tcPr>
            <w:tcW w:type="dxa" w:w="73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pPr>
              <w:jc w:val="left"/>
            </w:pPr>
            <w:r>
              <w:rPr>
                <w:rFonts w:ascii="Arial" w:cs="Arial" w:eastAsia="Arial" w:hAnsi="Arial"/>
                <w:b w:val="false"/>
                <w:bCs w:val="false"/>
                <w:color w:val="404040"/>
                <w:sz w:val="20"/>
                <w:szCs w:val="20"/>
              </w:rPr>
              <w:t xml:space="preserve">AI-INC-YYYY-NNN</w:t>
            </w:r>
          </w:p>
        </w:tc>
      </w:tr>
      <w:tr>
        <w:tc>
          <w:tcPr>
            <w:tcW w:type="dxa" w:w="2000"/>
            <w:tcBorders>
              <w:top w:val="single" w:color="BBBBBB" w:sz="1"/>
              <w:left w:val="single" w:color="BBBBBB" w:sz="1"/>
              <w:bottom w:val="single" w:color="BBBBBB" w:sz="1"/>
              <w:right w:val="single" w:color="BBBBBB" w:sz="1"/>
            </w:tcBorders>
            <w:shd w:fill="EEF4FB" w:val="clear"/>
            <w:tcMar>
              <w:top w:type="dxa" w:w="80"/>
              <w:left w:type="dxa" w:w="130"/>
              <w:bottom w:type="dxa" w:w="80"/>
              <w:right w:type="dxa" w:w="130"/>
            </w:tcMar>
          </w:tcPr>
          <w:p>
            <w:pPr>
              <w:jc w:val="left"/>
            </w:pPr>
            <w:r>
              <w:rPr>
                <w:rFonts w:ascii="Arial" w:cs="Arial" w:eastAsia="Arial" w:hAnsi="Arial"/>
                <w:b/>
                <w:bCs/>
                <w:color w:val="404040"/>
                <w:sz w:val="20"/>
                <w:szCs w:val="20"/>
              </w:rPr>
              <w:t xml:space="preserve">Initial Severity</w:t>
            </w:r>
          </w:p>
        </w:tc>
        <w:tc>
          <w:tcPr>
            <w:tcW w:type="dxa" w:w="7360"/>
            <w:tcBorders>
              <w:top w:val="single" w:color="BBBBBB" w:sz="1"/>
              <w:left w:val="single" w:color="BBBBBB" w:sz="1"/>
              <w:bottom w:val="single" w:color="BBBBBB" w:sz="1"/>
              <w:right w:val="single" w:color="BBBBBB" w:sz="1"/>
            </w:tcBorders>
            <w:shd w:fill="EEF4FB" w:val="clear"/>
            <w:tcMar>
              <w:top w:type="dxa" w:w="80"/>
              <w:left w:type="dxa" w:w="130"/>
              <w:bottom w:type="dxa" w:w="80"/>
              <w:right w:type="dxa" w:w="130"/>
            </w:tcMar>
          </w:tcPr>
          <w:p>
            <w:pPr>
              <w:jc w:val="left"/>
            </w:pPr>
            <w:r>
              <w:rPr>
                <w:rFonts w:ascii="Arial" w:cs="Arial" w:eastAsia="Arial" w:hAnsi="Arial"/>
                <w:b w:val="false"/>
                <w:bCs w:val="false"/>
                <w:color w:val="404040"/>
                <w:sz w:val="20"/>
                <w:szCs w:val="20"/>
              </w:rPr>
              <w:t xml:space="preserve">P2 (High) if &gt; 25% of requests affected; P3 (Medium) if isolated or &lt; 25%</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pPr>
              <w:jc w:val="left"/>
            </w:pPr>
            <w:r>
              <w:rPr>
                <w:rFonts w:ascii="Arial" w:cs="Arial" w:eastAsia="Arial" w:hAnsi="Arial"/>
                <w:b/>
                <w:bCs/>
                <w:color w:val="404040"/>
                <w:sz w:val="20"/>
                <w:szCs w:val="20"/>
              </w:rPr>
              <w:t xml:space="preserve">NIST RMF Reference</w:t>
            </w:r>
          </w:p>
        </w:tc>
        <w:tc>
          <w:tcPr>
            <w:tcW w:type="dxa" w:w="73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pPr>
              <w:jc w:val="left"/>
            </w:pPr>
            <w:r>
              <w:rPr>
                <w:rFonts w:ascii="Arial" w:cs="Arial" w:eastAsia="Arial" w:hAnsi="Arial"/>
                <w:b w:val="false"/>
                <w:bCs w:val="false"/>
                <w:color w:val="404040"/>
                <w:sz w:val="20"/>
                <w:szCs w:val="20"/>
              </w:rPr>
              <w:t xml:space="preserve">MG-3.1 (operational risk); MG-4.1 (performance monitoring)</w:t>
            </w:r>
          </w:p>
        </w:tc>
      </w:tr>
      <w:tr>
        <w:tc>
          <w:tcPr>
            <w:tcW w:type="dxa" w:w="2000"/>
            <w:tcBorders>
              <w:top w:val="single" w:color="BBBBBB" w:sz="1"/>
              <w:left w:val="single" w:color="BBBBBB" w:sz="1"/>
              <w:bottom w:val="single" w:color="BBBBBB" w:sz="1"/>
              <w:right w:val="single" w:color="BBBBBB" w:sz="1"/>
            </w:tcBorders>
            <w:shd w:fill="EEF4FB" w:val="clear"/>
            <w:tcMar>
              <w:top w:type="dxa" w:w="80"/>
              <w:left w:type="dxa" w:w="130"/>
              <w:bottom w:type="dxa" w:w="80"/>
              <w:right w:type="dxa" w:w="130"/>
            </w:tcMar>
          </w:tcPr>
          <w:p>
            <w:pPr>
              <w:jc w:val="left"/>
            </w:pPr>
            <w:r>
              <w:rPr>
                <w:rFonts w:ascii="Arial" w:cs="Arial" w:eastAsia="Arial" w:hAnsi="Arial"/>
                <w:b/>
                <w:bCs/>
                <w:color w:val="404040"/>
                <w:sz w:val="20"/>
                <w:szCs w:val="20"/>
              </w:rPr>
              <w:t xml:space="preserve">Detection Signals</w:t>
            </w:r>
          </w:p>
        </w:tc>
        <w:tc>
          <w:tcPr>
            <w:tcW w:type="dxa" w:w="7360"/>
            <w:tcBorders>
              <w:top w:val="single" w:color="BBBBBB" w:sz="1"/>
              <w:left w:val="single" w:color="BBBBBB" w:sz="1"/>
              <w:bottom w:val="single" w:color="BBBBBB" w:sz="1"/>
              <w:right w:val="single" w:color="BBBBBB" w:sz="1"/>
            </w:tcBorders>
            <w:shd w:fill="EEF4FB" w:val="clear"/>
            <w:tcMar>
              <w:top w:type="dxa" w:w="80"/>
              <w:left w:type="dxa" w:w="130"/>
              <w:bottom w:type="dxa" w:w="80"/>
              <w:right w:type="dxa" w:w="130"/>
            </w:tcMar>
          </w:tcPr>
          <w:p>
            <w:pPr>
              <w:jc w:val="left"/>
            </w:pPr>
            <w:r>
              <w:rPr>
                <w:rFonts w:ascii="Arial" w:cs="Arial" w:eastAsia="Arial" w:hAnsi="Arial"/>
                <w:b w:val="false"/>
                <w:bCs w:val="false"/>
                <w:color w:val="404040"/>
                <w:sz w:val="20"/>
                <w:szCs w:val="20"/>
              </w:rPr>
              <w:t xml:space="preserve">AWS CloudWatch alarm (latency &gt; 5s, error rate &gt; 1%); customer-reported errors; ROUGE-L drift alert &gt; 5%</w:t>
            </w:r>
          </w:p>
        </w:tc>
      </w:tr>
    </w:tbl>
    <w:p>
      <w:pPr>
        <w:spacing w:after="120"/>
      </w:pPr>
      <w:r>
        <w:t xml:space="preserve"/>
      </w:r>
    </w:p>
    <w:p>
      <w:pPr>
        <w:pStyle w:val="Heading3"/>
        <w:spacing w:before="180" w:after="100"/>
      </w:pPr>
      <w:r>
        <w:rPr>
          <w:rFonts w:ascii="Arial" w:cs="Arial" w:eastAsia="Arial" w:hAnsi="Arial"/>
          <w:b/>
          <w:bCs/>
          <w:color w:val="2E75B6"/>
          <w:sz w:val="23"/>
          <w:szCs w:val="23"/>
        </w:rPr>
        <w:t xml:space="preserve">Step-by-Step Response:</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7F4F00" w:sz="1"/>
              <w:left w:val="single" w:color="7F4F00" w:sz="1"/>
              <w:bottom w:val="single" w:color="7F4F00" w:sz="1"/>
              <w:right w:val="single" w:color="7F4F00" w:sz="1"/>
            </w:tcBorders>
            <w:shd w:fill="7F4F00" w:val="clear"/>
            <w:tcMar>
              <w:top w:type="dxa" w:w="100"/>
              <w:left w:type="dxa" w:w="100"/>
              <w:bottom w:type="dxa" w:w="100"/>
              <w:right w:type="dxa" w:w="100"/>
            </w:tcMar>
            <w:vAlign w:val="center"/>
          </w:tcPr>
          <w:p>
            <w:pPr>
              <w:jc w:val="center"/>
            </w:pPr>
            <w:r>
              <w:rPr>
                <w:rFonts w:ascii="Arial" w:cs="Arial" w:eastAsia="Arial" w:hAnsi="Arial"/>
                <w:b/>
                <w:bCs/>
                <w:color w:val="FFFFFF"/>
                <w:sz w:val="20"/>
                <w:szCs w:val="20"/>
              </w:rPr>
              <w:t xml:space="preserve">STEP
1</w:t>
            </w:r>
          </w:p>
        </w:tc>
        <w:tc>
          <w:tcPr>
            <w:tcW w:type="dxa" w:w="8560"/>
            <w:tcBorders>
              <w:top w:val="single" w:color="7F4F00" w:sz="1"/>
              <w:left w:val="single" w:color="7F4F00" w:sz="1"/>
              <w:bottom w:val="single" w:color="7F4F00" w:sz="1"/>
              <w:right w:val="single" w:color="7F4F00" w:sz="1"/>
            </w:tcBorders>
            <w:shd w:fill="FFF2CC" w:val="clear"/>
            <w:tcMar>
              <w:top w:type="dxa" w:w="100"/>
              <w:left w:type="dxa" w:w="160"/>
              <w:bottom w:type="dxa" w:w="100"/>
              <w:right w:type="dxa" w:w="140"/>
            </w:tcMar>
          </w:tcPr>
          <w:p>
            <w:pPr>
              <w:spacing w:after="60"/>
            </w:pPr>
            <w:r>
              <w:rPr>
                <w:rFonts w:ascii="Arial" w:cs="Arial" w:eastAsia="Arial" w:hAnsi="Arial"/>
                <w:b/>
                <w:bCs/>
                <w:color w:val="1F3864"/>
                <w:sz w:val="22"/>
                <w:szCs w:val="22"/>
              </w:rPr>
              <w:t xml:space="preserve">Detect via Monitoring</w:t>
            </w:r>
          </w:p>
          <w:p>
            <w:pPr>
              <w:spacing w:after="60"/>
            </w:pPr>
            <w:r>
              <w:rPr>
                <w:rFonts w:ascii="Arial" w:cs="Arial" w:eastAsia="Arial" w:hAnsi="Arial"/>
                <w:color w:val="404040"/>
                <w:sz w:val="20"/>
                <w:szCs w:val="20"/>
              </w:rPr>
              <w:t xml:space="preserve">•  AWS CloudWatch alarm or customer report triggers IC notification.</w:t>
            </w:r>
          </w:p>
          <w:p>
            <w:pPr>
              <w:spacing w:after="60"/>
            </w:pPr>
            <w:r>
              <w:rPr>
                <w:rFonts w:ascii="Arial" w:cs="Arial" w:eastAsia="Arial" w:hAnsi="Arial"/>
                <w:color w:val="404040"/>
                <w:sz w:val="20"/>
                <w:szCs w:val="20"/>
              </w:rPr>
              <w:t xml:space="preserve">•  IC confirms scope: % of requests affected, which endpoints, duration of degradation.</w:t>
            </w:r>
          </w:p>
          <w:p>
            <w:pPr>
              <w:spacing w:after="0"/>
            </w:pPr>
            <w:r>
              <w:rPr>
                <w:rFonts w:ascii="Arial" w:cs="Arial" w:eastAsia="Arial" w:hAnsi="Arial"/>
                <w:color w:val="404040"/>
                <w:sz w:val="20"/>
                <w:szCs w:val="20"/>
              </w:rPr>
              <w:t xml:space="preserve">•  Opens P2 or P3 incident; Technical Lead and Security Lead engaged.</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2E75B6" w:sz="1"/>
              <w:left w:val="single" w:color="2E75B6" w:sz="1"/>
              <w:bottom w:val="single" w:color="2E75B6" w:sz="1"/>
              <w:right w:val="single" w:color="2E75B6" w:sz="1"/>
            </w:tcBorders>
            <w:shd w:fill="2E75B6" w:val="clear"/>
            <w:tcMar>
              <w:top w:type="dxa" w:w="100"/>
              <w:left w:type="dxa" w:w="100"/>
              <w:bottom w:type="dxa" w:w="100"/>
              <w:right w:type="dxa" w:w="100"/>
            </w:tcMar>
            <w:vAlign w:val="center"/>
          </w:tcPr>
          <w:p>
            <w:pPr>
              <w:jc w:val="center"/>
            </w:pPr>
            <w:r>
              <w:rPr>
                <w:rFonts w:ascii="Arial" w:cs="Arial" w:eastAsia="Arial" w:hAnsi="Arial"/>
                <w:b/>
                <w:bCs/>
                <w:color w:val="FFFFFF"/>
                <w:sz w:val="20"/>
                <w:szCs w:val="20"/>
              </w:rPr>
              <w:t xml:space="preserve">STEP
2</w:t>
            </w:r>
          </w:p>
        </w:tc>
        <w:tc>
          <w:tcPr>
            <w:tcW w:type="dxa" w:w="8560"/>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40"/>
            </w:tcMar>
          </w:tcPr>
          <w:p>
            <w:pPr>
              <w:spacing w:after="60"/>
            </w:pPr>
            <w:r>
              <w:rPr>
                <w:rFonts w:ascii="Arial" w:cs="Arial" w:eastAsia="Arial" w:hAnsi="Arial"/>
                <w:b/>
                <w:bCs/>
                <w:color w:val="1F3864"/>
                <w:sz w:val="22"/>
                <w:szCs w:val="22"/>
              </w:rPr>
              <w:t xml:space="preserve">Contain — Activate Graceful Degradation</w:t>
            </w:r>
          </w:p>
          <w:p>
            <w:pPr>
              <w:spacing w:after="60"/>
            </w:pPr>
            <w:r>
              <w:rPr>
                <w:rFonts w:ascii="Arial" w:cs="Arial" w:eastAsia="Arial" w:hAnsi="Arial"/>
                <w:color w:val="404040"/>
                <w:sz w:val="20"/>
                <w:szCs w:val="20"/>
              </w:rPr>
              <w:t xml:space="preserve">•  Technical Lead activates cached-suggestion fallback mode to maintain service continuity during investigation.</w:t>
            </w:r>
          </w:p>
          <w:p>
            <w:pPr>
              <w:spacing w:after="60"/>
            </w:pPr>
            <w:r>
              <w:rPr>
                <w:rFonts w:ascii="Arial" w:cs="Arial" w:eastAsia="Arial" w:hAnsi="Arial"/>
                <w:color w:val="404040"/>
                <w:sz w:val="20"/>
                <w:szCs w:val="20"/>
              </w:rPr>
              <w:t xml:space="preserve">•  If AWS infrastructure failure: Security Lead engages AWS Business Support; failover to secondary AZ.</w:t>
            </w:r>
          </w:p>
          <w:p>
            <w:pPr>
              <w:spacing w:after="0"/>
            </w:pPr>
            <w:r>
              <w:rPr>
                <w:rFonts w:ascii="Arial" w:cs="Arial" w:eastAsia="Arial" w:hAnsi="Arial"/>
                <w:color w:val="404040"/>
                <w:sz w:val="20"/>
                <w:szCs w:val="20"/>
              </w:rPr>
              <w:t xml:space="preserve">•  Customer-facing status page updated (if available) or Customer Success notified to manage customer communications.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3E1F5C" w:sz="1"/>
              <w:left w:val="single" w:color="3E1F5C" w:sz="1"/>
              <w:bottom w:val="single" w:color="3E1F5C" w:sz="1"/>
              <w:right w:val="single" w:color="3E1F5C" w:sz="1"/>
            </w:tcBorders>
            <w:shd w:fill="3E1F5C" w:val="clear"/>
            <w:tcMar>
              <w:top w:type="dxa" w:w="100"/>
              <w:left w:type="dxa" w:w="100"/>
              <w:bottom w:type="dxa" w:w="100"/>
              <w:right w:type="dxa" w:w="100"/>
            </w:tcMar>
            <w:vAlign w:val="center"/>
          </w:tcPr>
          <w:p>
            <w:pPr>
              <w:jc w:val="center"/>
            </w:pPr>
            <w:r>
              <w:rPr>
                <w:rFonts w:ascii="Arial" w:cs="Arial" w:eastAsia="Arial" w:hAnsi="Arial"/>
                <w:b/>
                <w:bCs/>
                <w:color w:val="FFFFFF"/>
                <w:sz w:val="20"/>
                <w:szCs w:val="20"/>
              </w:rPr>
              <w:t xml:space="preserve">STEP
3</w:t>
            </w:r>
          </w:p>
        </w:tc>
        <w:tc>
          <w:tcPr>
            <w:tcW w:type="dxa" w:w="8560"/>
            <w:tcBorders>
              <w:top w:val="single" w:color="3E1F5C" w:sz="1"/>
              <w:left w:val="single" w:color="3E1F5C" w:sz="1"/>
              <w:bottom w:val="single" w:color="3E1F5C" w:sz="1"/>
              <w:right w:val="single" w:color="3E1F5C" w:sz="1"/>
            </w:tcBorders>
            <w:shd w:fill="EAD9F7" w:val="clear"/>
            <w:tcMar>
              <w:top w:type="dxa" w:w="100"/>
              <w:left w:type="dxa" w:w="160"/>
              <w:bottom w:type="dxa" w:w="100"/>
              <w:right w:type="dxa" w:w="140"/>
            </w:tcMar>
          </w:tcPr>
          <w:p>
            <w:pPr>
              <w:spacing w:after="60"/>
            </w:pPr>
            <w:r>
              <w:rPr>
                <w:rFonts w:ascii="Arial" w:cs="Arial" w:eastAsia="Arial" w:hAnsi="Arial"/>
                <w:b/>
                <w:bCs/>
                <w:color w:val="1F3864"/>
                <w:sz w:val="22"/>
                <w:szCs w:val="22"/>
              </w:rPr>
              <w:t xml:space="preserve">Diagnose and Restore</w:t>
            </w:r>
          </w:p>
          <w:p>
            <w:pPr>
              <w:spacing w:after="60"/>
            </w:pPr>
            <w:r>
              <w:rPr>
                <w:rFonts w:ascii="Arial" w:cs="Arial" w:eastAsia="Arial" w:hAnsi="Arial"/>
                <w:color w:val="404040"/>
                <w:sz w:val="20"/>
                <w:szCs w:val="20"/>
              </w:rPr>
              <w:t xml:space="preserve">•  Technical Lead checks AWS SageMaker endpoint health; reviews recent deployments for regressions.</w:t>
            </w:r>
          </w:p>
          <w:p>
            <w:pPr>
              <w:spacing w:after="60"/>
            </w:pPr>
            <w:r>
              <w:rPr>
                <w:rFonts w:ascii="Arial" w:cs="Arial" w:eastAsia="Arial" w:hAnsi="Arial"/>
                <w:color w:val="404040"/>
                <w:sz w:val="20"/>
                <w:szCs w:val="20"/>
              </w:rPr>
              <w:t xml:space="preserve">•  If model drift: rollback to last known-good model checkpoint and run regression suite.</w:t>
            </w:r>
          </w:p>
          <w:p>
            <w:pPr>
              <w:spacing w:after="0"/>
            </w:pPr>
            <w:r>
              <w:rPr>
                <w:rFonts w:ascii="Arial" w:cs="Arial" w:eastAsia="Arial" w:hAnsi="Arial"/>
                <w:color w:val="404040"/>
                <w:sz w:val="20"/>
                <w:szCs w:val="20"/>
              </w:rPr>
              <w:t xml:space="preserve">•  If infrastructure issue: coordinate with AWS support for resolution; review RCA from AWS post-incident report.</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375623" w:sz="1"/>
              <w:left w:val="single" w:color="375623" w:sz="1"/>
              <w:bottom w:val="single" w:color="375623" w:sz="1"/>
              <w:right w:val="single" w:color="375623" w:sz="1"/>
            </w:tcBorders>
            <w:shd w:fill="375623" w:val="clear"/>
            <w:tcMar>
              <w:top w:type="dxa" w:w="100"/>
              <w:left w:type="dxa" w:w="100"/>
              <w:bottom w:type="dxa" w:w="100"/>
              <w:right w:type="dxa" w:w="100"/>
            </w:tcMar>
            <w:vAlign w:val="center"/>
          </w:tcPr>
          <w:p>
            <w:pPr>
              <w:jc w:val="center"/>
            </w:pPr>
            <w:r>
              <w:rPr>
                <w:rFonts w:ascii="Arial" w:cs="Arial" w:eastAsia="Arial" w:hAnsi="Arial"/>
                <w:b/>
                <w:bCs/>
                <w:color w:val="FFFFFF"/>
                <w:sz w:val="20"/>
                <w:szCs w:val="20"/>
              </w:rPr>
              <w:t xml:space="preserve">STEP
4</w:t>
            </w:r>
          </w:p>
        </w:tc>
        <w:tc>
          <w:tcPr>
            <w:tcW w:type="dxa" w:w="8560"/>
            <w:tcBorders>
              <w:top w:val="single" w:color="375623" w:sz="1"/>
              <w:left w:val="single" w:color="375623" w:sz="1"/>
              <w:bottom w:val="single" w:color="375623" w:sz="1"/>
              <w:right w:val="single" w:color="375623" w:sz="1"/>
            </w:tcBorders>
            <w:shd w:fill="E2EFDA" w:val="clear"/>
            <w:tcMar>
              <w:top w:type="dxa" w:w="100"/>
              <w:left w:type="dxa" w:w="160"/>
              <w:bottom w:type="dxa" w:w="100"/>
              <w:right w:type="dxa" w:w="140"/>
            </w:tcMar>
          </w:tcPr>
          <w:p>
            <w:pPr>
              <w:spacing w:after="60"/>
            </w:pPr>
            <w:r>
              <w:rPr>
                <w:rFonts w:ascii="Arial" w:cs="Arial" w:eastAsia="Arial" w:hAnsi="Arial"/>
                <w:b/>
                <w:bCs/>
                <w:color w:val="1F3864"/>
                <w:sz w:val="22"/>
                <w:szCs w:val="22"/>
              </w:rPr>
              <w:t xml:space="preserve">Validate and Return to Service</w:t>
            </w:r>
          </w:p>
          <w:p>
            <w:pPr>
              <w:spacing w:after="60"/>
            </w:pPr>
            <w:r>
              <w:rPr>
                <w:rFonts w:ascii="Arial" w:cs="Arial" w:eastAsia="Arial" w:hAnsi="Arial"/>
                <w:color w:val="404040"/>
                <w:sz w:val="20"/>
                <w:szCs w:val="20"/>
              </w:rPr>
              <w:t xml:space="preserve">•  Confirm all performance metrics are within SLA thresholds.</w:t>
            </w:r>
          </w:p>
          <w:p>
            <w:pPr>
              <w:spacing w:after="60"/>
            </w:pPr>
            <w:r>
              <w:rPr>
                <w:rFonts w:ascii="Arial" w:cs="Arial" w:eastAsia="Arial" w:hAnsi="Arial"/>
                <w:color w:val="404040"/>
                <w:sz w:val="20"/>
                <w:szCs w:val="20"/>
              </w:rPr>
              <w:t xml:space="preserve">•  Disable graceful degradation mode and restore full GenStudio functionality.</w:t>
            </w:r>
          </w:p>
          <w:p>
            <w:pPr>
              <w:spacing w:after="0"/>
            </w:pPr>
            <w:r>
              <w:rPr>
                <w:rFonts w:ascii="Arial" w:cs="Arial" w:eastAsia="Arial" w:hAnsi="Arial"/>
                <w:color w:val="404040"/>
                <w:sz w:val="20"/>
                <w:szCs w:val="20"/>
              </w:rPr>
              <w:t xml:space="preserve">•  Monitor closely for 24 hours post-restoration; maintain enhanced alerting.</w:t>
            </w:r>
          </w:p>
        </w:tc>
      </w:tr>
    </w:tbl>
    <w:p>
      <w:r>
        <w:br w:type="page"/>
      </w:r>
    </w:p>
    <w:p>
      <w:pPr>
        <w:pStyle w:val="Heading1"/>
        <w:spacing w:before="320" w:after="200"/>
      </w:pPr>
      <w:r>
        <w:rPr>
          <w:rFonts w:ascii="Arial" w:cs="Arial" w:eastAsia="Arial" w:hAnsi="Arial"/>
          <w:b/>
          <w:bCs/>
          <w:color w:val="1F3864"/>
          <w:sz w:val="32"/>
          <w:szCs w:val="32"/>
        </w:rPr>
        <w:t xml:space="preserve">7.  Incident Log, Metrics and Continuous Improvement</w:t>
      </w:r>
    </w:p>
    <w:p>
      <w:pPr>
        <w:pBdr>
          <w:bottom w:val="single" w:color="2E75B6" w:sz="6" w:space="1"/>
        </w:pBdr>
        <w:spacing w:after="200"/>
      </w:pPr>
      <w:r>
        <w:t xml:space="preserve"/>
      </w:r>
    </w:p>
    <w:p>
      <w:pPr>
        <w:pStyle w:val="Heading2"/>
        <w:spacing w:before="240" w:after="120"/>
      </w:pPr>
      <w:r>
        <w:rPr>
          <w:rFonts w:ascii="Arial" w:cs="Arial" w:eastAsia="Arial" w:hAnsi="Arial"/>
          <w:b/>
          <w:bCs/>
          <w:color w:val="2E75B6"/>
          <w:sz w:val="26"/>
          <w:szCs w:val="26"/>
        </w:rPr>
        <w:t xml:space="preserve">7.1  AI Incident Log</w:t>
      </w:r>
    </w:p>
    <w:p>
      <w:pPr>
        <w:spacing w:after="120" w:line="276"/>
      </w:pPr>
      <w:r>
        <w:rPr>
          <w:rFonts w:ascii="Arial" w:cs="Arial" w:eastAsia="Arial" w:hAnsi="Arial"/>
          <w:i w:val="false"/>
          <w:iCs w:val="false"/>
          <w:color w:val="404040"/>
          <w:sz w:val="22"/>
          <w:szCs w:val="22"/>
        </w:rPr>
        <w:t xml:space="preserve">The AI Governance Lead maintains a centralised AI Incident Log in the Company's incident management system (Jira Service Management). The Log is reviewed at every AIGC quarterly meeting. Each entry captures:</w:t>
      </w:r>
    </w:p>
    <w:p>
      <w:pPr>
        <w:pStyle w:val="ListParagraph"/>
        <w:numPr>
          <w:ilvl w:val="0"/>
          <w:numId w:val="2"/>
        </w:numPr>
        <w:spacing w:after="80" w:line="264"/>
      </w:pPr>
      <w:r>
        <w:rPr>
          <w:rFonts w:ascii="Arial" w:cs="Arial" w:eastAsia="Arial" w:hAnsi="Arial"/>
          <w:b w:val="false"/>
          <w:bCs w:val="false"/>
          <w:color w:val="404040"/>
          <w:sz w:val="22"/>
          <w:szCs w:val="22"/>
        </w:rPr>
        <w:t xml:space="preserve">Incident ID, date/time of detection, and date/time of closure</w:t>
      </w:r>
    </w:p>
    <w:p>
      <w:pPr>
        <w:pStyle w:val="ListParagraph"/>
        <w:numPr>
          <w:ilvl w:val="0"/>
          <w:numId w:val="2"/>
        </w:numPr>
        <w:spacing w:after="80" w:line="264"/>
      </w:pPr>
      <w:r>
        <w:rPr>
          <w:rFonts w:ascii="Arial" w:cs="Arial" w:eastAsia="Arial" w:hAnsi="Arial"/>
          <w:b w:val="false"/>
          <w:bCs w:val="false"/>
          <w:color w:val="404040"/>
          <w:sz w:val="22"/>
          <w:szCs w:val="22"/>
        </w:rPr>
        <w:t xml:space="preserve">Severity classification (initial and final)</w:t>
      </w:r>
    </w:p>
    <w:p>
      <w:pPr>
        <w:pStyle w:val="ListParagraph"/>
        <w:numPr>
          <w:ilvl w:val="0"/>
          <w:numId w:val="2"/>
        </w:numPr>
        <w:spacing w:after="80" w:line="264"/>
      </w:pPr>
      <w:r>
        <w:rPr>
          <w:rFonts w:ascii="Arial" w:cs="Arial" w:eastAsia="Arial" w:hAnsi="Arial"/>
          <w:b w:val="false"/>
          <w:bCs w:val="false"/>
          <w:color w:val="404040"/>
          <w:sz w:val="22"/>
          <w:szCs w:val="22"/>
        </w:rPr>
        <w:t xml:space="preserve">Brief description of the incident and affected system(s)</w:t>
      </w:r>
    </w:p>
    <w:p>
      <w:pPr>
        <w:pStyle w:val="ListParagraph"/>
        <w:numPr>
          <w:ilvl w:val="0"/>
          <w:numId w:val="2"/>
        </w:numPr>
        <w:spacing w:after="80" w:line="264"/>
      </w:pPr>
      <w:r>
        <w:rPr>
          <w:rFonts w:ascii="Arial" w:cs="Arial" w:eastAsia="Arial" w:hAnsi="Arial"/>
          <w:b w:val="false"/>
          <w:bCs w:val="false"/>
          <w:color w:val="404040"/>
          <w:sz w:val="22"/>
          <w:szCs w:val="22"/>
        </w:rPr>
        <w:t xml:space="preserve">Root cause category (RC-01 through RC-08)</w:t>
      </w:r>
    </w:p>
    <w:p>
      <w:pPr>
        <w:pStyle w:val="ListParagraph"/>
        <w:numPr>
          <w:ilvl w:val="0"/>
          <w:numId w:val="2"/>
        </w:numPr>
        <w:spacing w:after="80" w:line="264"/>
      </w:pPr>
      <w:r>
        <w:rPr>
          <w:rFonts w:ascii="Arial" w:cs="Arial" w:eastAsia="Arial" w:hAnsi="Arial"/>
          <w:b w:val="false"/>
          <w:bCs w:val="false"/>
          <w:color w:val="404040"/>
          <w:sz w:val="22"/>
          <w:szCs w:val="22"/>
        </w:rPr>
        <w:t xml:space="preserve">Containment and remediation actions taken</w:t>
      </w:r>
    </w:p>
    <w:p>
      <w:pPr>
        <w:pStyle w:val="ListParagraph"/>
        <w:numPr>
          <w:ilvl w:val="0"/>
          <w:numId w:val="2"/>
        </w:numPr>
        <w:spacing w:after="80" w:line="264"/>
      </w:pPr>
      <w:r>
        <w:rPr>
          <w:rFonts w:ascii="Arial" w:cs="Arial" w:eastAsia="Arial" w:hAnsi="Arial"/>
          <w:b w:val="false"/>
          <w:bCs w:val="false"/>
          <w:color w:val="404040"/>
          <w:sz w:val="22"/>
          <w:szCs w:val="22"/>
        </w:rPr>
        <w:t xml:space="preserve">Regulatory notifications made</w:t>
      </w:r>
    </w:p>
    <w:p>
      <w:pPr>
        <w:pStyle w:val="ListParagraph"/>
        <w:numPr>
          <w:ilvl w:val="0"/>
          <w:numId w:val="2"/>
        </w:numPr>
        <w:spacing w:after="80" w:line="264"/>
      </w:pPr>
      <w:r>
        <w:rPr>
          <w:rFonts w:ascii="Arial" w:cs="Arial" w:eastAsia="Arial" w:hAnsi="Arial"/>
          <w:b w:val="false"/>
          <w:bCs w:val="false"/>
          <w:color w:val="404040"/>
          <w:sz w:val="22"/>
          <w:szCs w:val="22"/>
        </w:rPr>
        <w:t xml:space="preserve">PIR completion status and key findings</w:t>
      </w:r>
    </w:p>
    <w:p>
      <w:pPr>
        <w:spacing w:after="120"/>
      </w:pPr>
      <w:r>
        <w:t xml:space="preserve"/>
      </w:r>
    </w:p>
    <w:p>
      <w:pPr>
        <w:pStyle w:val="Heading2"/>
        <w:spacing w:before="240" w:after="120"/>
      </w:pPr>
      <w:r>
        <w:rPr>
          <w:rFonts w:ascii="Arial" w:cs="Arial" w:eastAsia="Arial" w:hAnsi="Arial"/>
          <w:b/>
          <w:bCs/>
          <w:color w:val="2E75B6"/>
          <w:sz w:val="26"/>
          <w:szCs w:val="26"/>
        </w:rPr>
        <w:t xml:space="preserve">7.2  Key Performance Indicators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c>
          <w:tcPr>
            <w:tcW w:type="dxa" w:w="3200"/>
            <w:tcBorders>
              <w:top w:val="single" w:color="2E75B6" w:sz="1"/>
              <w:left w:val="single" w:color="2E75B6" w:sz="1"/>
              <w:bottom w:val="single" w:color="2E75B6" w:sz="1"/>
              <w:right w:val="single" w:color="2E75B6" w:sz="1"/>
            </w:tcBorders>
            <w:shd w:fill="1F3864" w:val="clear"/>
            <w:tcMar>
              <w:top w:type="dxa" w:w="100"/>
              <w:left w:type="dxa" w:w="130"/>
              <w:bottom w:type="dxa" w:w="100"/>
              <w:right w:type="dxa" w:w="130"/>
            </w:tcMar>
            <w:vAlign w:val="center"/>
          </w:tcPr>
          <w:p>
            <w:pPr>
              <w:jc w:val="center"/>
            </w:pPr>
            <w:r>
              <w:rPr>
                <w:rFonts w:ascii="Arial" w:cs="Arial" w:eastAsia="Arial" w:hAnsi="Arial"/>
                <w:b/>
                <w:bCs/>
                <w:color w:val="FFFFFF"/>
                <w:sz w:val="20"/>
                <w:szCs w:val="20"/>
              </w:rPr>
              <w:t xml:space="preserve">KPI</w:t>
            </w:r>
          </w:p>
        </w:tc>
        <w:tc>
          <w:tcPr>
            <w:tcW w:type="dxa" w:w="3200"/>
            <w:tcBorders>
              <w:top w:val="single" w:color="2E75B6" w:sz="1"/>
              <w:left w:val="single" w:color="2E75B6" w:sz="1"/>
              <w:bottom w:val="single" w:color="2E75B6" w:sz="1"/>
              <w:right w:val="single" w:color="2E75B6" w:sz="1"/>
            </w:tcBorders>
            <w:shd w:fill="1F3864" w:val="clear"/>
            <w:tcMar>
              <w:top w:type="dxa" w:w="100"/>
              <w:left w:type="dxa" w:w="130"/>
              <w:bottom w:type="dxa" w:w="100"/>
              <w:right w:type="dxa" w:w="130"/>
            </w:tcMar>
            <w:vAlign w:val="center"/>
          </w:tcPr>
          <w:p>
            <w:pPr>
              <w:jc w:val="center"/>
            </w:pPr>
            <w:r>
              <w:rPr>
                <w:rFonts w:ascii="Arial" w:cs="Arial" w:eastAsia="Arial" w:hAnsi="Arial"/>
                <w:b/>
                <w:bCs/>
                <w:color w:val="FFFFFF"/>
                <w:sz w:val="20"/>
                <w:szCs w:val="20"/>
              </w:rPr>
              <w:t xml:space="preserve">Target</w:t>
            </w:r>
          </w:p>
        </w:tc>
        <w:tc>
          <w:tcPr>
            <w:tcW w:type="dxa" w:w="2960"/>
            <w:tcBorders>
              <w:top w:val="single" w:color="2E75B6" w:sz="1"/>
              <w:left w:val="single" w:color="2E75B6" w:sz="1"/>
              <w:bottom w:val="single" w:color="2E75B6" w:sz="1"/>
              <w:right w:val="single" w:color="2E75B6" w:sz="1"/>
            </w:tcBorders>
            <w:shd w:fill="1F3864" w:val="clear"/>
            <w:tcMar>
              <w:top w:type="dxa" w:w="100"/>
              <w:left w:type="dxa" w:w="130"/>
              <w:bottom w:type="dxa" w:w="100"/>
              <w:right w:type="dxa" w:w="130"/>
            </w:tcMar>
            <w:vAlign w:val="center"/>
          </w:tcPr>
          <w:p>
            <w:pPr>
              <w:jc w:val="center"/>
            </w:pPr>
            <w:r>
              <w:rPr>
                <w:rFonts w:ascii="Arial" w:cs="Arial" w:eastAsia="Arial" w:hAnsi="Arial"/>
                <w:b/>
                <w:bCs/>
                <w:color w:val="FFFFFF"/>
                <w:sz w:val="20"/>
                <w:szCs w:val="20"/>
              </w:rPr>
              <w:t xml:space="preserve">Measurement Frequency</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pPr>
              <w:jc w:val="left"/>
            </w:pPr>
            <w:r>
              <w:rPr>
                <w:rFonts w:ascii="Arial" w:cs="Arial" w:eastAsia="Arial" w:hAnsi="Arial"/>
                <w:b/>
                <w:bCs/>
                <w:color w:val="404040"/>
                <w:sz w:val="20"/>
                <w:szCs w:val="20"/>
              </w:rPr>
              <w:t xml:space="preserve">Mean Time to Detect (MTTD) — P1/P2</w:t>
            </w:r>
          </w:p>
        </w:tc>
        <w:tc>
          <w:tcPr>
            <w:tcW w:type="dxa" w:w="32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pPr>
              <w:jc w:val="center"/>
            </w:pPr>
            <w:r>
              <w:rPr>
                <w:rFonts w:ascii="Arial" w:cs="Arial" w:eastAsia="Arial" w:hAnsi="Arial"/>
                <w:b w:val="false"/>
                <w:bCs w:val="false"/>
                <w:color w:val="404040"/>
                <w:sz w:val="20"/>
                <w:szCs w:val="20"/>
              </w:rPr>
              <w:t xml:space="preserve">&lt; 4 hours from occurrence</w:t>
            </w:r>
          </w:p>
        </w:tc>
        <w:tc>
          <w:tcPr>
            <w:tcW w:type="dxa" w:w="29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pPr>
              <w:jc w:val="center"/>
            </w:pPr>
            <w:r>
              <w:rPr>
                <w:rFonts w:ascii="Arial" w:cs="Arial" w:eastAsia="Arial" w:hAnsi="Arial"/>
                <w:b w:val="false"/>
                <w:bCs w:val="false"/>
                <w:color w:val="404040"/>
                <w:sz w:val="20"/>
                <w:szCs w:val="20"/>
              </w:rPr>
              <w:t xml:space="preserve">Monthly</w:t>
            </w:r>
          </w:p>
        </w:tc>
      </w:tr>
      <w:tr>
        <w:tc>
          <w:tcPr>
            <w:tcW w:type="dxa" w:w="3200"/>
            <w:tcBorders>
              <w:top w:val="single" w:color="BBBBBB" w:sz="1"/>
              <w:left w:val="single" w:color="BBBBBB" w:sz="1"/>
              <w:bottom w:val="single" w:color="BBBBBB" w:sz="1"/>
              <w:right w:val="single" w:color="BBBBBB" w:sz="1"/>
            </w:tcBorders>
            <w:shd w:fill="EEF4FB" w:val="clear"/>
            <w:tcMar>
              <w:top w:type="dxa" w:w="80"/>
              <w:left w:type="dxa" w:w="130"/>
              <w:bottom w:type="dxa" w:w="80"/>
              <w:right w:type="dxa" w:w="130"/>
            </w:tcMar>
          </w:tcPr>
          <w:p>
            <w:pPr>
              <w:jc w:val="left"/>
            </w:pPr>
            <w:r>
              <w:rPr>
                <w:rFonts w:ascii="Arial" w:cs="Arial" w:eastAsia="Arial" w:hAnsi="Arial"/>
                <w:b/>
                <w:bCs/>
                <w:color w:val="404040"/>
                <w:sz w:val="20"/>
                <w:szCs w:val="20"/>
              </w:rPr>
              <w:t xml:space="preserve">Mean Time to Contain (MTTC) — P1</w:t>
            </w:r>
          </w:p>
        </w:tc>
        <w:tc>
          <w:tcPr>
            <w:tcW w:type="dxa" w:w="3200"/>
            <w:tcBorders>
              <w:top w:val="single" w:color="BBBBBB" w:sz="1"/>
              <w:left w:val="single" w:color="BBBBBB" w:sz="1"/>
              <w:bottom w:val="single" w:color="BBBBBB" w:sz="1"/>
              <w:right w:val="single" w:color="BBBBBB" w:sz="1"/>
            </w:tcBorders>
            <w:shd w:fill="EEF4FB" w:val="clear"/>
            <w:tcMar>
              <w:top w:type="dxa" w:w="80"/>
              <w:left w:type="dxa" w:w="130"/>
              <w:bottom w:type="dxa" w:w="80"/>
              <w:right w:type="dxa" w:w="130"/>
            </w:tcMar>
          </w:tcPr>
          <w:p>
            <w:pPr>
              <w:jc w:val="center"/>
            </w:pPr>
            <w:r>
              <w:rPr>
                <w:rFonts w:ascii="Arial" w:cs="Arial" w:eastAsia="Arial" w:hAnsi="Arial"/>
                <w:b w:val="false"/>
                <w:bCs w:val="false"/>
                <w:color w:val="404040"/>
                <w:sz w:val="20"/>
                <w:szCs w:val="20"/>
              </w:rPr>
              <w:t xml:space="preserve">&lt; 2 hours from detection</w:t>
            </w:r>
          </w:p>
        </w:tc>
        <w:tc>
          <w:tcPr>
            <w:tcW w:type="dxa" w:w="2960"/>
            <w:tcBorders>
              <w:top w:val="single" w:color="BBBBBB" w:sz="1"/>
              <w:left w:val="single" w:color="BBBBBB" w:sz="1"/>
              <w:bottom w:val="single" w:color="BBBBBB" w:sz="1"/>
              <w:right w:val="single" w:color="BBBBBB" w:sz="1"/>
            </w:tcBorders>
            <w:shd w:fill="EEF4FB" w:val="clear"/>
            <w:tcMar>
              <w:top w:type="dxa" w:w="80"/>
              <w:left w:type="dxa" w:w="130"/>
              <w:bottom w:type="dxa" w:w="80"/>
              <w:right w:type="dxa" w:w="130"/>
            </w:tcMar>
          </w:tcPr>
          <w:p>
            <w:pPr>
              <w:jc w:val="center"/>
            </w:pPr>
            <w:r>
              <w:rPr>
                <w:rFonts w:ascii="Arial" w:cs="Arial" w:eastAsia="Arial" w:hAnsi="Arial"/>
                <w:b w:val="false"/>
                <w:bCs w:val="false"/>
                <w:color w:val="404040"/>
                <w:sz w:val="20"/>
                <w:szCs w:val="20"/>
              </w:rPr>
              <w:t xml:space="preserve">Per incident</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pPr>
              <w:jc w:val="left"/>
            </w:pPr>
            <w:r>
              <w:rPr>
                <w:rFonts w:ascii="Arial" w:cs="Arial" w:eastAsia="Arial" w:hAnsi="Arial"/>
                <w:b/>
                <w:bCs/>
                <w:color w:val="404040"/>
                <w:sz w:val="20"/>
                <w:szCs w:val="20"/>
              </w:rPr>
              <w:t xml:space="preserve">PIR Completion Rate — P1/P2</w:t>
            </w:r>
          </w:p>
        </w:tc>
        <w:tc>
          <w:tcPr>
            <w:tcW w:type="dxa" w:w="32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pPr>
              <w:jc w:val="center"/>
            </w:pPr>
            <w:r>
              <w:rPr>
                <w:rFonts w:ascii="Arial" w:cs="Arial" w:eastAsia="Arial" w:hAnsi="Arial"/>
                <w:b w:val="false"/>
                <w:bCs w:val="false"/>
                <w:color w:val="404040"/>
                <w:sz w:val="20"/>
                <w:szCs w:val="20"/>
              </w:rPr>
              <w:t xml:space="preserve">100% within defined SLA</w:t>
            </w:r>
          </w:p>
        </w:tc>
        <w:tc>
          <w:tcPr>
            <w:tcW w:type="dxa" w:w="29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pPr>
              <w:jc w:val="center"/>
            </w:pPr>
            <w:r>
              <w:rPr>
                <w:rFonts w:ascii="Arial" w:cs="Arial" w:eastAsia="Arial" w:hAnsi="Arial"/>
                <w:b w:val="false"/>
                <w:bCs w:val="false"/>
                <w:color w:val="404040"/>
                <w:sz w:val="20"/>
                <w:szCs w:val="20"/>
              </w:rPr>
              <w:t xml:space="preserve">Monthly</w:t>
            </w:r>
          </w:p>
        </w:tc>
      </w:tr>
      <w:tr>
        <w:tc>
          <w:tcPr>
            <w:tcW w:type="dxa" w:w="3200"/>
            <w:tcBorders>
              <w:top w:val="single" w:color="BBBBBB" w:sz="1"/>
              <w:left w:val="single" w:color="BBBBBB" w:sz="1"/>
              <w:bottom w:val="single" w:color="BBBBBB" w:sz="1"/>
              <w:right w:val="single" w:color="BBBBBB" w:sz="1"/>
            </w:tcBorders>
            <w:shd w:fill="EEF4FB" w:val="clear"/>
            <w:tcMar>
              <w:top w:type="dxa" w:w="80"/>
              <w:left w:type="dxa" w:w="130"/>
              <w:bottom w:type="dxa" w:w="80"/>
              <w:right w:type="dxa" w:w="130"/>
            </w:tcMar>
          </w:tcPr>
          <w:p>
            <w:pPr>
              <w:jc w:val="left"/>
            </w:pPr>
            <w:r>
              <w:rPr>
                <w:rFonts w:ascii="Arial" w:cs="Arial" w:eastAsia="Arial" w:hAnsi="Arial"/>
                <w:b/>
                <w:bCs/>
                <w:color w:val="404040"/>
                <w:sz w:val="20"/>
                <w:szCs w:val="20"/>
              </w:rPr>
              <w:t xml:space="preserve">Repeat Incident Rate (same root cause)</w:t>
            </w:r>
          </w:p>
        </w:tc>
        <w:tc>
          <w:tcPr>
            <w:tcW w:type="dxa" w:w="3200"/>
            <w:tcBorders>
              <w:top w:val="single" w:color="BBBBBB" w:sz="1"/>
              <w:left w:val="single" w:color="BBBBBB" w:sz="1"/>
              <w:bottom w:val="single" w:color="BBBBBB" w:sz="1"/>
              <w:right w:val="single" w:color="BBBBBB" w:sz="1"/>
            </w:tcBorders>
            <w:shd w:fill="EEF4FB" w:val="clear"/>
            <w:tcMar>
              <w:top w:type="dxa" w:w="80"/>
              <w:left w:type="dxa" w:w="130"/>
              <w:bottom w:type="dxa" w:w="80"/>
              <w:right w:type="dxa" w:w="130"/>
            </w:tcMar>
          </w:tcPr>
          <w:p>
            <w:pPr>
              <w:jc w:val="center"/>
            </w:pPr>
            <w:r>
              <w:rPr>
                <w:rFonts w:ascii="Arial" w:cs="Arial" w:eastAsia="Arial" w:hAnsi="Arial"/>
                <w:b w:val="false"/>
                <w:bCs w:val="false"/>
                <w:color w:val="404040"/>
                <w:sz w:val="20"/>
                <w:szCs w:val="20"/>
              </w:rPr>
              <w:t xml:space="preserve">&lt; 10% quarter-on-quarter</w:t>
            </w:r>
          </w:p>
        </w:tc>
        <w:tc>
          <w:tcPr>
            <w:tcW w:type="dxa" w:w="2960"/>
            <w:tcBorders>
              <w:top w:val="single" w:color="BBBBBB" w:sz="1"/>
              <w:left w:val="single" w:color="BBBBBB" w:sz="1"/>
              <w:bottom w:val="single" w:color="BBBBBB" w:sz="1"/>
              <w:right w:val="single" w:color="BBBBBB" w:sz="1"/>
            </w:tcBorders>
            <w:shd w:fill="EEF4FB" w:val="clear"/>
            <w:tcMar>
              <w:top w:type="dxa" w:w="80"/>
              <w:left w:type="dxa" w:w="130"/>
              <w:bottom w:type="dxa" w:w="80"/>
              <w:right w:type="dxa" w:w="130"/>
            </w:tcMar>
          </w:tcPr>
          <w:p>
            <w:pPr>
              <w:jc w:val="center"/>
            </w:pPr>
            <w:r>
              <w:rPr>
                <w:rFonts w:ascii="Arial" w:cs="Arial" w:eastAsia="Arial" w:hAnsi="Arial"/>
                <w:b w:val="false"/>
                <w:bCs w:val="false"/>
                <w:color w:val="404040"/>
                <w:sz w:val="20"/>
                <w:szCs w:val="20"/>
              </w:rPr>
              <w:t xml:space="preserve">Quarterly</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pPr>
              <w:jc w:val="left"/>
            </w:pPr>
            <w:r>
              <w:rPr>
                <w:rFonts w:ascii="Arial" w:cs="Arial" w:eastAsia="Arial" w:hAnsi="Arial"/>
                <w:b/>
                <w:bCs/>
                <w:color w:val="404040"/>
                <w:sz w:val="20"/>
                <w:szCs w:val="20"/>
              </w:rPr>
              <w:t xml:space="preserve">Regulatory Notification Compliance</w:t>
            </w:r>
          </w:p>
        </w:tc>
        <w:tc>
          <w:tcPr>
            <w:tcW w:type="dxa" w:w="32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pPr>
              <w:jc w:val="center"/>
            </w:pPr>
            <w:r>
              <w:rPr>
                <w:rFonts w:ascii="Arial" w:cs="Arial" w:eastAsia="Arial" w:hAnsi="Arial"/>
                <w:b w:val="false"/>
                <w:bCs w:val="false"/>
                <w:color w:val="404040"/>
                <w:sz w:val="20"/>
                <w:szCs w:val="20"/>
              </w:rPr>
              <w:t xml:space="preserve">100% within statutory deadline</w:t>
            </w:r>
          </w:p>
        </w:tc>
        <w:tc>
          <w:tcPr>
            <w:tcW w:type="dxa" w:w="29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pPr>
              <w:jc w:val="center"/>
            </w:pPr>
            <w:r>
              <w:rPr>
                <w:rFonts w:ascii="Arial" w:cs="Arial" w:eastAsia="Arial" w:hAnsi="Arial"/>
                <w:b w:val="false"/>
                <w:bCs w:val="false"/>
                <w:color w:val="404040"/>
                <w:sz w:val="20"/>
                <w:szCs w:val="20"/>
              </w:rPr>
              <w:t xml:space="preserve">Per incident</w:t>
            </w:r>
          </w:p>
        </w:tc>
      </w:tr>
      <w:tr>
        <w:tc>
          <w:tcPr>
            <w:tcW w:type="dxa" w:w="3200"/>
            <w:tcBorders>
              <w:top w:val="single" w:color="BBBBBB" w:sz="1"/>
              <w:left w:val="single" w:color="BBBBBB" w:sz="1"/>
              <w:bottom w:val="single" w:color="BBBBBB" w:sz="1"/>
              <w:right w:val="single" w:color="BBBBBB" w:sz="1"/>
            </w:tcBorders>
            <w:shd w:fill="EEF4FB" w:val="clear"/>
            <w:tcMar>
              <w:top w:type="dxa" w:w="80"/>
              <w:left w:type="dxa" w:w="130"/>
              <w:bottom w:type="dxa" w:w="80"/>
              <w:right w:type="dxa" w:w="130"/>
            </w:tcMar>
          </w:tcPr>
          <w:p>
            <w:pPr>
              <w:jc w:val="left"/>
            </w:pPr>
            <w:r>
              <w:rPr>
                <w:rFonts w:ascii="Arial" w:cs="Arial" w:eastAsia="Arial" w:hAnsi="Arial"/>
                <w:b/>
                <w:bCs/>
                <w:color w:val="404040"/>
                <w:sz w:val="20"/>
                <w:szCs w:val="20"/>
              </w:rPr>
              <w:t xml:space="preserve">Customer Notification Timeliness — P1</w:t>
            </w:r>
          </w:p>
        </w:tc>
        <w:tc>
          <w:tcPr>
            <w:tcW w:type="dxa" w:w="3200"/>
            <w:tcBorders>
              <w:top w:val="single" w:color="BBBBBB" w:sz="1"/>
              <w:left w:val="single" w:color="BBBBBB" w:sz="1"/>
              <w:bottom w:val="single" w:color="BBBBBB" w:sz="1"/>
              <w:right w:val="single" w:color="BBBBBB" w:sz="1"/>
            </w:tcBorders>
            <w:shd w:fill="EEF4FB" w:val="clear"/>
            <w:tcMar>
              <w:top w:type="dxa" w:w="80"/>
              <w:left w:type="dxa" w:w="130"/>
              <w:bottom w:type="dxa" w:w="80"/>
              <w:right w:type="dxa" w:w="130"/>
            </w:tcMar>
          </w:tcPr>
          <w:p>
            <w:pPr>
              <w:jc w:val="center"/>
            </w:pPr>
            <w:r>
              <w:rPr>
                <w:rFonts w:ascii="Arial" w:cs="Arial" w:eastAsia="Arial" w:hAnsi="Arial"/>
                <w:b w:val="false"/>
                <w:bCs w:val="false"/>
                <w:color w:val="404040"/>
                <w:sz w:val="20"/>
                <w:szCs w:val="20"/>
              </w:rPr>
              <w:t xml:space="preserve">100% within 4 hours</w:t>
            </w:r>
          </w:p>
        </w:tc>
        <w:tc>
          <w:tcPr>
            <w:tcW w:type="dxa" w:w="2960"/>
            <w:tcBorders>
              <w:top w:val="single" w:color="BBBBBB" w:sz="1"/>
              <w:left w:val="single" w:color="BBBBBB" w:sz="1"/>
              <w:bottom w:val="single" w:color="BBBBBB" w:sz="1"/>
              <w:right w:val="single" w:color="BBBBBB" w:sz="1"/>
            </w:tcBorders>
            <w:shd w:fill="EEF4FB" w:val="clear"/>
            <w:tcMar>
              <w:top w:type="dxa" w:w="80"/>
              <w:left w:type="dxa" w:w="130"/>
              <w:bottom w:type="dxa" w:w="80"/>
              <w:right w:type="dxa" w:w="130"/>
            </w:tcMar>
          </w:tcPr>
          <w:p>
            <w:pPr>
              <w:jc w:val="center"/>
            </w:pPr>
            <w:r>
              <w:rPr>
                <w:rFonts w:ascii="Arial" w:cs="Arial" w:eastAsia="Arial" w:hAnsi="Arial"/>
                <w:b w:val="false"/>
                <w:bCs w:val="false"/>
                <w:color w:val="404040"/>
                <w:sz w:val="20"/>
                <w:szCs w:val="20"/>
              </w:rPr>
              <w:t xml:space="preserve">Per incident</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pPr>
              <w:jc w:val="left"/>
            </w:pPr>
            <w:r>
              <w:rPr>
                <w:rFonts w:ascii="Arial" w:cs="Arial" w:eastAsia="Arial" w:hAnsi="Arial"/>
                <w:b/>
                <w:bCs/>
                <w:color w:val="404040"/>
                <w:sz w:val="20"/>
                <w:szCs w:val="20"/>
              </w:rPr>
              <w:t xml:space="preserve">Incidents resulting in model suspension</w:t>
            </w:r>
          </w:p>
        </w:tc>
        <w:tc>
          <w:tcPr>
            <w:tcW w:type="dxa" w:w="32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pPr>
              <w:jc w:val="center"/>
            </w:pPr>
            <w:r>
              <w:rPr>
                <w:rFonts w:ascii="Arial" w:cs="Arial" w:eastAsia="Arial" w:hAnsi="Arial"/>
                <w:b w:val="false"/>
                <w:bCs w:val="false"/>
                <w:color w:val="404040"/>
                <w:sz w:val="20"/>
                <w:szCs w:val="20"/>
              </w:rPr>
              <w:t xml:space="preserve">&lt; 2 per year</w:t>
            </w:r>
          </w:p>
        </w:tc>
        <w:tc>
          <w:tcPr>
            <w:tcW w:type="dxa" w:w="29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pPr>
              <w:jc w:val="center"/>
            </w:pPr>
            <w:r>
              <w:rPr>
                <w:rFonts w:ascii="Arial" w:cs="Arial" w:eastAsia="Arial" w:hAnsi="Arial"/>
                <w:b w:val="false"/>
                <w:bCs w:val="false"/>
                <w:color w:val="404040"/>
                <w:sz w:val="20"/>
                <w:szCs w:val="20"/>
              </w:rPr>
              <w:t xml:space="preserve">Annually</w:t>
            </w:r>
          </w:p>
        </w:tc>
      </w:tr>
    </w:tbl>
    <w:p>
      <w:pPr>
        <w:spacing w:after="200"/>
      </w:pPr>
      <w:r>
        <w:t xml:space="preserve"/>
      </w:r>
    </w:p>
    <w:p>
      <w:pPr>
        <w:pStyle w:val="Heading2"/>
        <w:spacing w:before="240" w:after="120"/>
      </w:pPr>
      <w:r>
        <w:rPr>
          <w:rFonts w:ascii="Arial" w:cs="Arial" w:eastAsia="Arial" w:hAnsi="Arial"/>
          <w:b/>
          <w:bCs/>
          <w:color w:val="2E75B6"/>
          <w:sz w:val="26"/>
          <w:szCs w:val="26"/>
        </w:rPr>
        <w:t xml:space="preserve">7.3  Plan Review and Testing</w:t>
      </w:r>
    </w:p>
    <w:p>
      <w:pPr>
        <w:spacing w:after="120" w:line="276"/>
      </w:pPr>
      <w:r>
        <w:rPr>
          <w:rFonts w:ascii="Arial" w:cs="Arial" w:eastAsia="Arial" w:hAnsi="Arial"/>
          <w:i w:val="false"/>
          <w:iCs w:val="false"/>
          <w:color w:val="404040"/>
          <w:sz w:val="22"/>
          <w:szCs w:val="22"/>
        </w:rPr>
        <w:t xml:space="preserve">This Plan shall be reviewed at least annually by the AI Governance Lead and AIGC. In addition:</w:t>
      </w:r>
    </w:p>
    <w:p>
      <w:pPr>
        <w:pStyle w:val="ListParagraph"/>
        <w:numPr>
          <w:ilvl w:val="0"/>
          <w:numId w:val="2"/>
        </w:numPr>
        <w:spacing w:after="80" w:line="264"/>
      </w:pPr>
      <w:r>
        <w:rPr>
          <w:rFonts w:ascii="Arial" w:cs="Arial" w:eastAsia="Arial" w:hAnsi="Arial"/>
          <w:b w:val="false"/>
          <w:bCs w:val="false"/>
          <w:color w:val="404040"/>
          <w:sz w:val="22"/>
          <w:szCs w:val="22"/>
        </w:rPr>
        <w:t xml:space="preserve">A tabletop exercise simulating a P1 or P2 AI incident scenario shall be conducted at least annually, with key response team members participating;</w:t>
      </w:r>
    </w:p>
    <w:p>
      <w:pPr>
        <w:pStyle w:val="ListParagraph"/>
        <w:numPr>
          <w:ilvl w:val="0"/>
          <w:numId w:val="2"/>
        </w:numPr>
        <w:spacing w:after="80" w:line="264"/>
      </w:pPr>
      <w:r>
        <w:rPr>
          <w:rFonts w:ascii="Arial" w:cs="Arial" w:eastAsia="Arial" w:hAnsi="Arial"/>
          <w:b w:val="false"/>
          <w:bCs w:val="false"/>
          <w:color w:val="404040"/>
          <w:sz w:val="22"/>
          <w:szCs w:val="22"/>
        </w:rPr>
        <w:t xml:space="preserve">The Plan shall be updated following any P1 or P2 incident where the response revealed gaps;</w:t>
      </w:r>
    </w:p>
    <w:p>
      <w:pPr>
        <w:pStyle w:val="ListParagraph"/>
        <w:numPr>
          <w:ilvl w:val="0"/>
          <w:numId w:val="2"/>
        </w:numPr>
        <w:spacing w:after="80" w:line="264"/>
      </w:pPr>
      <w:r>
        <w:rPr>
          <w:rFonts w:ascii="Arial" w:cs="Arial" w:eastAsia="Arial" w:hAnsi="Arial"/>
          <w:b w:val="false"/>
          <w:bCs w:val="false"/>
          <w:color w:val="404040"/>
          <w:sz w:val="22"/>
          <w:szCs w:val="22"/>
        </w:rPr>
        <w:t xml:space="preserve">New incident scenarios shall be added to Section 6 as new AI products or capabilities are introduced.</w:t>
      </w:r>
    </w:p>
    <w:p>
      <w:pPr>
        <w:spacing w:after="200"/>
      </w:pPr>
      <w:r>
        <w:t xml:space="preserve"/>
      </w:r>
    </w:p>
    <w:p>
      <w:pPr>
        <w:spacing w:after="80"/>
        <w:jc w:val="center"/>
      </w:pPr>
      <w:r>
        <w:rPr>
          <w:rFonts w:ascii="Arial" w:cs="Arial" w:eastAsia="Arial" w:hAnsi="Arial"/>
          <w:b/>
          <w:bCs/>
          <w:i/>
          <w:iCs/>
          <w:color w:val="1F3864"/>
          <w:sz w:val="20"/>
          <w:szCs w:val="20"/>
        </w:rPr>
        <w:t xml:space="preserve">— END OF DOCUMENT —</w:t>
      </w:r>
    </w:p>
    <w:p>
      <w:pPr>
        <w:jc w:val="center"/>
      </w:pPr>
      <w:r>
        <w:rPr>
          <w:rFonts w:ascii="Arial" w:cs="Arial" w:eastAsia="Arial" w:hAnsi="Arial"/>
          <w:color w:val="404040"/>
          <w:sz w:val="18"/>
          <w:szCs w:val="18"/>
        </w:rPr>
        <w:t xml:space="preserve">AInnovate Inc.  |  AIN-GOV-004  |  Version 1.0  |  01 February 2026  |  Prepared by Mihir Trivedi, AI Governance Lead</w:t>
      </w:r>
    </w:p>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720"/>
      </w:tabs>
      <w:spacing w:before="80"/>
    </w:pPr>
    <w:r>
      <w:rPr>
        <w:rFonts w:ascii="Arial" w:cs="Arial" w:eastAsia="Arial" w:hAnsi="Arial"/>
        <w:color w:val="404040"/>
        <w:sz w:val="18"/>
        <w:szCs w:val="18"/>
      </w:rPr>
      <w:t xml:space="preserve">Prepared by Mihir Trivedi, AI Governance Lead  |  © 2026 AInnovate Inc.</w:t>
    </w:r>
    <w:r>
      <w:rPr>
        <w:rFonts w:ascii="Arial" w:cs="Arial" w:eastAsia="Arial" w:hAnsi="Arial"/>
        <w:color w:val="404040"/>
        <w:sz w:val="18"/>
        <w:szCs w:val="18"/>
      </w:rPr>
      <w:t xml:space="preserve">	Page </w:t>
    </w:r>
    <w:r>
      <w:rPr>
        <w:rFonts w:ascii="Arial" w:cs="Arial" w:eastAsia="Arial" w:hAnsi="Arial"/>
        <w:color w:val="40404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tabs>
        <w:tab w:val="right" w:pos="9720"/>
      </w:tabs>
      <w:spacing w:after="120"/>
    </w:pPr>
    <w:r>
      <w:rPr>
        <w:rFonts w:ascii="Arial" w:cs="Arial" w:eastAsia="Arial" w:hAnsi="Arial"/>
        <w:color w:val="404040"/>
        <w:sz w:val="18"/>
        <w:szCs w:val="18"/>
      </w:rPr>
      <w:t xml:space="preserve">AInnovate Inc. – AI Incident Response Plan  |  AIN-GOV-004  |  RESTRICTED</w:t>
    </w:r>
    <w:r>
      <w:rPr>
        <w:rFonts w:ascii="Arial" w:cs="Arial" w:eastAsia="Arial" w:hAnsi="Arial"/>
        <w:color w:val="404040"/>
        <w:sz w:val="18"/>
        <w:szCs w:val="18"/>
      </w:rPr>
      <w:t xml:space="preserve">	Version 1.0  |  February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0404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F3864"/>
      <w:sz w:val="32"/>
      <w:szCs w:val="32"/>
    </w:rPr>
  </w:style>
  <w:style w:type="paragraph" w:styleId="Heading2">
    <w:name w:val="Heading 2"/>
    <w:basedOn w:val="Normal"/>
    <w:next w:val="Normal"/>
    <w:qFormat/>
    <w:pPr>
      <w:spacing w:before="240" w:after="160"/>
      <w:outlineLvl w:val="1"/>
    </w:pPr>
    <w:rPr>
      <w:rFonts w:ascii="Arial" w:cs="Arial" w:eastAsia="Arial" w:hAnsi="Arial"/>
      <w:b/>
      <w:bCs/>
      <w:color w:val="2E75B6"/>
      <w:sz w:val="26"/>
      <w:szCs w:val="26"/>
    </w:rPr>
  </w:style>
  <w:style w:type="paragraph" w:styleId="Heading3">
    <w:name w:val="Heading 3"/>
    <w:basedOn w:val="Normal"/>
    <w:next w:val="Normal"/>
    <w:qFormat/>
    <w:pPr>
      <w:spacing w:before="180" w:after="120"/>
      <w:outlineLvl w:val="2"/>
    </w:pPr>
    <w:rPr>
      <w:rFonts w:ascii="Arial" w:cs="Arial" w:eastAsia="Arial" w:hAnsi="Arial"/>
      <w:b/>
      <w:bCs/>
      <w:color w:val="2E75B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2026-03-14T22:08:25.001Z</dcterms:created>
  <dcterms:modified xsi:type="dcterms:W3CDTF">2026-03-14T22:08:25.002Z</dcterms:modified>
</cp:coreProperties>
</file>

<file path=docProps/custom.xml><?xml version="1.0" encoding="utf-8"?>
<Properties xmlns="http://schemas.openxmlformats.org/officeDocument/2006/custom-properties" xmlns:vt="http://schemas.openxmlformats.org/officeDocument/2006/docPropsVTypes"/>
</file>