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50"/>
        <w:jc w:val="center"/>
      </w:pPr>
      <w:r>
        <w:rPr>
          <w:rFonts w:ascii="Arial" w:cs="Arial" w:eastAsia="Arial" w:hAnsi="Arial"/>
          <w:b/>
          <w:bCs/>
          <w:i w:val="false"/>
          <w:iCs w:val="false"/>
          <w:color w:val="1F3864"/>
          <w:sz w:val="36"/>
          <w:szCs w:val="36"/>
        </w:rPr>
        <w:t xml:space="preserve">AI SECURITY GOVERNANCE FRAMEWORK ANALYSIS</w:t>
      </w:r>
    </w:p>
    <w:p>
      <w:pPr>
        <w:spacing w:before="60" w:after="20"/>
        <w:jc w:val="center"/>
      </w:pPr>
      <w:r>
        <w:rPr>
          <w:rFonts w:ascii="Arial" w:cs="Arial" w:eastAsia="Arial" w:hAnsi="Arial"/>
          <w:b w:val="false"/>
          <w:bCs w:val="false"/>
          <w:i/>
          <w:iCs/>
          <w:color w:val="2E75B6"/>
          <w:sz w:val="22"/>
          <w:szCs w:val="22"/>
        </w:rPr>
        <w:t xml:space="preserve">Evaluating the NIST AI Risk Management Framework for Enterprise AI Deployment</w:t>
      </w:r>
    </w:p>
    <w:p>
      <w:pPr>
        <w:spacing w:before="0" w:after="20"/>
        <w:jc w:val="center"/>
      </w:pPr>
      <w:r>
        <w:rPr>
          <w:rFonts w:ascii="Arial" w:cs="Arial" w:eastAsia="Arial" w:hAnsi="Arial"/>
          <w:b w:val="false"/>
          <w:bCs w:val="false"/>
          <w:i/>
          <w:iCs/>
          <w:color w:val="2E75B6"/>
          <w:sz w:val="20"/>
          <w:szCs w:val="20"/>
        </w:rPr>
        <w:t xml:space="preserve">Across Technology, Financial Services, and Regulated Industries</w:t>
      </w:r>
    </w:p>
    <w:p>
      <w:pPr>
        <w:pBdr>
          <w:bottom w:val="single" w:color="1F3864" w:sz="4" w:space="4"/>
        </w:pBdr>
        <w:spacing w:before="120" w:after="50"/>
        <w:jc w:val="center"/>
      </w:pPr>
      <w:r>
        <w:rPr>
          <w:rFonts w:ascii="Arial" w:cs="Arial" w:eastAsia="Arial" w:hAnsi="Arial"/>
          <w:b w:val="false"/>
          <w:bCs w:val="false"/>
          <w:i w:val="false"/>
          <w:iCs w:val="false"/>
          <w:color w:val="000000"/>
          <w:sz w:val="18"/>
          <w:szCs w:val="18"/>
        </w:rPr>
        <w:t xml:space="preserve"/>
      </w:r>
    </w:p>
    <w:p>
      <w:pPr>
        <w:spacing w:before="120" w:after="20"/>
        <w:jc w:val="center"/>
      </w:pPr>
      <w:r>
        <w:rPr>
          <w:rFonts w:ascii="Arial" w:cs="Arial" w:eastAsia="Arial" w:hAnsi="Arial"/>
          <w:b/>
          <w:bCs/>
          <w:i w:val="false"/>
          <w:iCs w:val="false"/>
          <w:color w:val="1F3864"/>
          <w:sz w:val="20"/>
          <w:szCs w:val="20"/>
        </w:rPr>
        <w:t xml:space="preserve">Prepared by: Mihir Trivedi</w:t>
      </w:r>
    </w:p>
    <w:p>
      <w:pPr>
        <w:spacing w:before="0" w:after="20"/>
        <w:jc w:val="center"/>
      </w:pPr>
      <w:r>
        <w:rPr>
          <w:rFonts w:ascii="Arial" w:cs="Arial" w:eastAsia="Arial" w:hAnsi="Arial"/>
          <w:b w:val="false"/>
          <w:bCs w:val="false"/>
          <w:i w:val="false"/>
          <w:iCs w:val="false"/>
          <w:color w:val="595959"/>
          <w:sz w:val="18"/>
          <w:szCs w:val="18"/>
        </w:rPr>
        <w:t xml:space="preserve">MS Cybersecurity  |  Northeastern University  |  Boston, MA</w:t>
      </w:r>
    </w:p>
    <w:p>
      <w:pPr>
        <w:spacing w:before="0" w:after="20"/>
        <w:jc w:val="center"/>
      </w:pPr>
      <w:r>
        <w:rPr>
          <w:rFonts w:ascii="Arial" w:cs="Arial" w:eastAsia="Arial" w:hAnsi="Arial"/>
          <w:b w:val="false"/>
          <w:bCs w:val="false"/>
          <w:i w:val="false"/>
          <w:iCs w:val="false"/>
          <w:color w:val="595959"/>
          <w:sz w:val="18"/>
          <w:szCs w:val="18"/>
        </w:rPr>
        <w:t xml:space="preserve">ISC2 Certified in Cybersecurity (CC)  |  CompTIA Security+  |  CISA Candidate</w:t>
      </w:r>
    </w:p>
    <w:p>
      <w:pPr>
        <w:spacing w:before="0" w:after="20"/>
        <w:jc w:val="center"/>
      </w:pPr>
      <w:r>
        <w:rPr>
          <w:rFonts w:ascii="Arial" w:cs="Arial" w:eastAsia="Arial" w:hAnsi="Arial"/>
          <w:b w:val="false"/>
          <w:bCs w:val="false"/>
          <w:i w:val="false"/>
          <w:iCs w:val="false"/>
          <w:color w:val="595959"/>
          <w:sz w:val="17"/>
          <w:szCs w:val="17"/>
        </w:rPr>
        <w:t xml:space="preserve">trivedi.mih@northeastern.edu  |  Spring 2025</w:t>
      </w:r>
    </w:p>
    <w:p>
      <w:pPr>
        <w:pBdr>
          <w:top w:val="single" w:color="1F3864" w:sz="4" w:space="4"/>
        </w:pBdr>
        <w:spacing w:before="120" w:after="50"/>
        <w:jc w:val="center"/>
      </w:pPr>
      <w:r>
        <w:rPr>
          <w:rFonts w:ascii="Arial" w:cs="Arial" w:eastAsia="Arial" w:hAnsi="Arial"/>
          <w:b w:val="false"/>
          <w:bCs w:val="false"/>
          <w:i w:val="false"/>
          <w:iCs w:val="false"/>
          <w:color w:val="000000"/>
          <w:sz w:val="18"/>
          <w:szCs w:val="18"/>
        </w:rPr>
        <w:t xml:space="preserve"/>
      </w:r>
    </w:p>
    <w:p>
      <w:pPr>
        <w:spacing w:before="60" w:after="30"/>
        <w:jc w:val="center"/>
      </w:pPr>
      <w:r>
        <w:rPr>
          <w:rFonts w:ascii="Arial" w:cs="Arial" w:eastAsia="Arial" w:hAnsi="Arial"/>
          <w:b/>
          <w:bCs/>
          <w:i w:val="false"/>
          <w:iCs w:val="false"/>
          <w:color w:val="1F3864"/>
          <w:sz w:val="20"/>
          <w:szCs w:val="20"/>
        </w:rPr>
        <w:t xml:space="preserve">ABSTRACT</w:t>
      </w:r>
    </w:p>
    <w:p>
      <w:pPr>
        <w:spacing w:before="0" w:after="40"/>
        <w:jc w:val="center"/>
      </w:pPr>
      <w:r>
        <w:rPr>
          <w:rFonts w:ascii="Arial" w:cs="Arial" w:eastAsia="Arial" w:hAnsi="Arial"/>
          <w:b w:val="false"/>
          <w:bCs w:val="false"/>
          <w:i w:val="false"/>
          <w:iCs w:val="false"/>
          <w:color w:val="000000"/>
          <w:sz w:val="18"/>
          <w:szCs w:val="18"/>
        </w:rPr>
        <w:t xml:space="preserve">This 15-page analysis evaluates the NIST Artificial Intelligence Risk Management Framework (AI RMF 1.0) as an enterprise governance structure for organizations deploying artificial intelligence systems across three high-stakes contexts: large technology companies deploying large language models at scale, fintech firms applying AI to fraud detection and credit decisioning, and regulated enterprises broadly subject to the EU AI Act. The analysis maps all four AI RMF core functions — Govern, Map, Measure, and Manage — to practical implementation requirements, provides a sector-specific risk taxonomy, evaluates the current regulatory landscape including the EU AI Act and CFPB AI guidance, and delivers a phased implementation roadmap with measurable governance outcomes. The analysis concludes with specific recommendations tailored to each target sector.</w:t>
      </w:r>
    </w:p>
    <w:p>
      <w:pPr>
        <w:spacing w:before="60" w:after="30"/>
      </w:pPr>
      <w:r>
        <w:rPr>
          <w:rFonts w:ascii="Arial" w:cs="Arial" w:eastAsia="Arial" w:hAnsi="Arial"/>
          <w:b/>
          <w:bCs/>
          <w:i w:val="false"/>
          <w:iCs w:val="false"/>
          <w:color w:val="1F3864"/>
          <w:sz w:val="20"/>
          <w:szCs w:val="20"/>
        </w:rPr>
        <w:t xml:space="preserve">TABLE OF CONTENTS</w:t>
      </w:r>
    </w:p>
    <w:p>
      <w:pPr>
        <w:tabs>
          <w:tab w:val="right" w:pos="8700"/>
        </w:tabs>
        <w:spacing w:before="0" w:after="30"/>
      </w:pPr>
      <w:r>
        <w:rPr>
          <w:rFonts w:ascii="Arial" w:cs="Arial" w:eastAsia="Arial" w:hAnsi="Arial"/>
          <w:b w:val="false"/>
          <w:bCs w:val="false"/>
          <w:i w:val="false"/>
          <w:iCs w:val="false"/>
          <w:color w:val="000000"/>
          <w:sz w:val="18"/>
          <w:szCs w:val="18"/>
        </w:rPr>
        <w:t xml:space="preserve">1.  Executive Summary</w:t>
      </w:r>
      <w:r>
        <w:rPr>
          <w:rFonts w:ascii="Arial" w:cs="Arial" w:eastAsia="Arial" w:hAnsi="Arial"/>
          <w:b w:val="false"/>
          <w:bCs w:val="false"/>
          <w:i w:val="false"/>
          <w:iCs w:val="false"/>
          <w:color w:val="595959"/>
          <w:sz w:val="18"/>
          <w:szCs w:val="18"/>
        </w:rPr>
        <w:t xml:space="preserve">	2</w:t>
      </w:r>
    </w:p>
    <w:p>
      <w:pPr>
        <w:tabs>
          <w:tab w:val="right" w:pos="8700"/>
        </w:tabs>
        <w:spacing w:before="0" w:after="30"/>
      </w:pPr>
      <w:r>
        <w:rPr>
          <w:rFonts w:ascii="Arial" w:cs="Arial" w:eastAsia="Arial" w:hAnsi="Arial"/>
          <w:b w:val="false"/>
          <w:bCs w:val="false"/>
          <w:i w:val="false"/>
          <w:iCs w:val="false"/>
          <w:color w:val="000000"/>
          <w:sz w:val="18"/>
          <w:szCs w:val="18"/>
        </w:rPr>
        <w:t xml:space="preserve">2.  Background and Context</w:t>
      </w:r>
      <w:r>
        <w:rPr>
          <w:rFonts w:ascii="Arial" w:cs="Arial" w:eastAsia="Arial" w:hAnsi="Arial"/>
          <w:b w:val="false"/>
          <w:bCs w:val="false"/>
          <w:i w:val="false"/>
          <w:iCs w:val="false"/>
          <w:color w:val="595959"/>
          <w:sz w:val="18"/>
          <w:szCs w:val="18"/>
        </w:rPr>
        <w:t xml:space="preserve">	2</w:t>
      </w:r>
    </w:p>
    <w:p>
      <w:pPr>
        <w:tabs>
          <w:tab w:val="right" w:pos="8700"/>
        </w:tabs>
        <w:spacing w:before="0" w:after="30"/>
      </w:pPr>
      <w:r>
        <w:rPr>
          <w:rFonts w:ascii="Arial" w:cs="Arial" w:eastAsia="Arial" w:hAnsi="Arial"/>
          <w:b w:val="false"/>
          <w:bCs w:val="false"/>
          <w:i w:val="false"/>
          <w:iCs w:val="false"/>
          <w:color w:val="000000"/>
          <w:sz w:val="18"/>
          <w:szCs w:val="18"/>
        </w:rPr>
        <w:t xml:space="preserve">3.  AI Risk Landscape — Current State</w:t>
      </w:r>
      <w:r>
        <w:rPr>
          <w:rFonts w:ascii="Arial" w:cs="Arial" w:eastAsia="Arial" w:hAnsi="Arial"/>
          <w:b w:val="false"/>
          <w:bCs w:val="false"/>
          <w:i w:val="false"/>
          <w:iCs w:val="false"/>
          <w:color w:val="595959"/>
          <w:sz w:val="18"/>
          <w:szCs w:val="18"/>
        </w:rPr>
        <w:t xml:space="preserve">	3</w:t>
      </w:r>
    </w:p>
    <w:p>
      <w:pPr>
        <w:tabs>
          <w:tab w:val="right" w:pos="8700"/>
        </w:tabs>
        <w:spacing w:before="0" w:after="30"/>
      </w:pPr>
      <w:r>
        <w:rPr>
          <w:rFonts w:ascii="Arial" w:cs="Arial" w:eastAsia="Arial" w:hAnsi="Arial"/>
          <w:b w:val="false"/>
          <w:bCs w:val="false"/>
          <w:i w:val="false"/>
          <w:iCs w:val="false"/>
          <w:color w:val="000000"/>
          <w:sz w:val="18"/>
          <w:szCs w:val="18"/>
        </w:rPr>
        <w:t xml:space="preserve">4.  GOVERN Function — Building Organizational Accountability</w:t>
      </w:r>
      <w:r>
        <w:rPr>
          <w:rFonts w:ascii="Arial" w:cs="Arial" w:eastAsia="Arial" w:hAnsi="Arial"/>
          <w:b w:val="false"/>
          <w:bCs w:val="false"/>
          <w:i w:val="false"/>
          <w:iCs w:val="false"/>
          <w:color w:val="595959"/>
          <w:sz w:val="18"/>
          <w:szCs w:val="18"/>
        </w:rPr>
        <w:t xml:space="preserve">	4</w:t>
      </w:r>
    </w:p>
    <w:p>
      <w:pPr>
        <w:tabs>
          <w:tab w:val="right" w:pos="8700"/>
        </w:tabs>
        <w:spacing w:before="0" w:after="30"/>
      </w:pPr>
      <w:r>
        <w:rPr>
          <w:rFonts w:ascii="Arial" w:cs="Arial" w:eastAsia="Arial" w:hAnsi="Arial"/>
          <w:b w:val="false"/>
          <w:bCs w:val="false"/>
          <w:i w:val="false"/>
          <w:iCs w:val="false"/>
          <w:color w:val="000000"/>
          <w:sz w:val="18"/>
          <w:szCs w:val="18"/>
        </w:rPr>
        <w:t xml:space="preserve">5.  MAP Function — Contextualizing and Categorizing AI Risk</w:t>
      </w:r>
      <w:r>
        <w:rPr>
          <w:rFonts w:ascii="Arial" w:cs="Arial" w:eastAsia="Arial" w:hAnsi="Arial"/>
          <w:b w:val="false"/>
          <w:bCs w:val="false"/>
          <w:i w:val="false"/>
          <w:iCs w:val="false"/>
          <w:color w:val="595959"/>
          <w:sz w:val="18"/>
          <w:szCs w:val="18"/>
        </w:rPr>
        <w:t xml:space="preserve">	6</w:t>
      </w:r>
    </w:p>
    <w:p>
      <w:pPr>
        <w:tabs>
          <w:tab w:val="right" w:pos="8700"/>
        </w:tabs>
        <w:spacing w:before="0" w:after="30"/>
      </w:pPr>
      <w:r>
        <w:rPr>
          <w:rFonts w:ascii="Arial" w:cs="Arial" w:eastAsia="Arial" w:hAnsi="Arial"/>
          <w:b w:val="false"/>
          <w:bCs w:val="false"/>
          <w:i w:val="false"/>
          <w:iCs w:val="false"/>
          <w:color w:val="000000"/>
          <w:sz w:val="18"/>
          <w:szCs w:val="18"/>
        </w:rPr>
        <w:t xml:space="preserve">6.  MEASURE Function — Quantifying and Monitoring AI Risk</w:t>
      </w:r>
      <w:r>
        <w:rPr>
          <w:rFonts w:ascii="Arial" w:cs="Arial" w:eastAsia="Arial" w:hAnsi="Arial"/>
          <w:b w:val="false"/>
          <w:bCs w:val="false"/>
          <w:i w:val="false"/>
          <w:iCs w:val="false"/>
          <w:color w:val="595959"/>
          <w:sz w:val="18"/>
          <w:szCs w:val="18"/>
        </w:rPr>
        <w:t xml:space="preserve">	8</w:t>
      </w:r>
    </w:p>
    <w:p>
      <w:pPr>
        <w:tabs>
          <w:tab w:val="right" w:pos="8700"/>
        </w:tabs>
        <w:spacing w:before="0" w:after="30"/>
      </w:pPr>
      <w:r>
        <w:rPr>
          <w:rFonts w:ascii="Arial" w:cs="Arial" w:eastAsia="Arial" w:hAnsi="Arial"/>
          <w:b w:val="false"/>
          <w:bCs w:val="false"/>
          <w:i w:val="false"/>
          <w:iCs w:val="false"/>
          <w:color w:val="000000"/>
          <w:sz w:val="18"/>
          <w:szCs w:val="18"/>
        </w:rPr>
        <w:t xml:space="preserve">7.  MANAGE Function — Treating and Recovering from AI Risk</w:t>
      </w:r>
      <w:r>
        <w:rPr>
          <w:rFonts w:ascii="Arial" w:cs="Arial" w:eastAsia="Arial" w:hAnsi="Arial"/>
          <w:b w:val="false"/>
          <w:bCs w:val="false"/>
          <w:i w:val="false"/>
          <w:iCs w:val="false"/>
          <w:color w:val="595959"/>
          <w:sz w:val="18"/>
          <w:szCs w:val="18"/>
        </w:rPr>
        <w:t xml:space="preserve">	10</w:t>
      </w:r>
    </w:p>
    <w:p>
      <w:pPr>
        <w:tabs>
          <w:tab w:val="right" w:pos="8700"/>
        </w:tabs>
        <w:spacing w:before="0" w:after="30"/>
      </w:pPr>
      <w:r>
        <w:rPr>
          <w:rFonts w:ascii="Arial" w:cs="Arial" w:eastAsia="Arial" w:hAnsi="Arial"/>
          <w:b w:val="false"/>
          <w:bCs w:val="false"/>
          <w:i w:val="false"/>
          <w:iCs w:val="false"/>
          <w:color w:val="000000"/>
          <w:sz w:val="18"/>
          <w:szCs w:val="18"/>
        </w:rPr>
        <w:t xml:space="preserve">8.  Regulatory Landscape and Compliance Implications</w:t>
      </w:r>
      <w:r>
        <w:rPr>
          <w:rFonts w:ascii="Arial" w:cs="Arial" w:eastAsia="Arial" w:hAnsi="Arial"/>
          <w:b w:val="false"/>
          <w:bCs w:val="false"/>
          <w:i w:val="false"/>
          <w:iCs w:val="false"/>
          <w:color w:val="595959"/>
          <w:sz w:val="18"/>
          <w:szCs w:val="18"/>
        </w:rPr>
        <w:t xml:space="preserve">	12</w:t>
      </w:r>
    </w:p>
    <w:p>
      <w:pPr>
        <w:tabs>
          <w:tab w:val="right" w:pos="8700"/>
        </w:tabs>
        <w:spacing w:before="0" w:after="30"/>
      </w:pPr>
      <w:r>
        <w:rPr>
          <w:rFonts w:ascii="Arial" w:cs="Arial" w:eastAsia="Arial" w:hAnsi="Arial"/>
          <w:b w:val="false"/>
          <w:bCs w:val="false"/>
          <w:i w:val="false"/>
          <w:iCs w:val="false"/>
          <w:color w:val="000000"/>
          <w:sz w:val="18"/>
          <w:szCs w:val="18"/>
        </w:rPr>
        <w:t xml:space="preserve">9.  Sector-Specific Implementation Guidance</w:t>
      </w:r>
      <w:r>
        <w:rPr>
          <w:rFonts w:ascii="Arial" w:cs="Arial" w:eastAsia="Arial" w:hAnsi="Arial"/>
          <w:b w:val="false"/>
          <w:bCs w:val="false"/>
          <w:i w:val="false"/>
          <w:iCs w:val="false"/>
          <w:color w:val="595959"/>
          <w:sz w:val="18"/>
          <w:szCs w:val="18"/>
        </w:rPr>
        <w:t xml:space="preserve">	13</w:t>
      </w:r>
    </w:p>
    <w:p>
      <w:pPr>
        <w:tabs>
          <w:tab w:val="right" w:pos="8700"/>
        </w:tabs>
        <w:spacing w:before="0" w:after="30"/>
      </w:pPr>
      <w:r>
        <w:rPr>
          <w:rFonts w:ascii="Arial" w:cs="Arial" w:eastAsia="Arial" w:hAnsi="Arial"/>
          <w:b w:val="false"/>
          <w:bCs w:val="false"/>
          <w:i w:val="false"/>
          <w:iCs w:val="false"/>
          <w:color w:val="000000"/>
          <w:sz w:val="18"/>
          <w:szCs w:val="18"/>
        </w:rPr>
        <w:t xml:space="preserve">10.  Implementation Roadmap</w:t>
      </w:r>
      <w:r>
        <w:rPr>
          <w:rFonts w:ascii="Arial" w:cs="Arial" w:eastAsia="Arial" w:hAnsi="Arial"/>
          <w:b w:val="false"/>
          <w:bCs w:val="false"/>
          <w:i w:val="false"/>
          <w:iCs w:val="false"/>
          <w:color w:val="595959"/>
          <w:sz w:val="18"/>
          <w:szCs w:val="18"/>
        </w:rPr>
        <w:t xml:space="preserve">	14</w:t>
      </w:r>
    </w:p>
    <w:p>
      <w:pPr>
        <w:tabs>
          <w:tab w:val="right" w:pos="8700"/>
        </w:tabs>
        <w:spacing w:before="0" w:after="30"/>
      </w:pPr>
      <w:r>
        <w:rPr>
          <w:rFonts w:ascii="Arial" w:cs="Arial" w:eastAsia="Arial" w:hAnsi="Arial"/>
          <w:b w:val="false"/>
          <w:bCs w:val="false"/>
          <w:i w:val="false"/>
          <w:iCs w:val="false"/>
          <w:color w:val="000000"/>
          <w:sz w:val="18"/>
          <w:szCs w:val="18"/>
        </w:rPr>
        <w:t xml:space="preserve">11.  Conclusion</w:t>
      </w:r>
      <w:r>
        <w:rPr>
          <w:rFonts w:ascii="Arial" w:cs="Arial" w:eastAsia="Arial" w:hAnsi="Arial"/>
          <w:b w:val="false"/>
          <w:bCs w:val="false"/>
          <w:i w:val="false"/>
          <w:iCs w:val="false"/>
          <w:color w:val="595959"/>
          <w:sz w:val="18"/>
          <w:szCs w:val="18"/>
        </w:rPr>
        <w:t xml:space="preserve">	15</w:t>
      </w:r>
    </w:p>
    <w:p>
      <w:r>
        <w:br w:type="page"/>
      </w:r>
    </w:p>
    <w:p>
      <w:pPr>
        <w:pBdr>
          <w:bottom w:val="single" w:color="1F3864" w:sz="10" w:space="2"/>
        </w:pBdr>
        <w:spacing w:before="120" w:after="40"/>
      </w:pPr>
      <w:r>
        <w:rPr>
          <w:rFonts w:ascii="Arial" w:cs="Arial" w:eastAsia="Arial" w:hAnsi="Arial"/>
          <w:b/>
          <w:bCs/>
          <w:i w:val="false"/>
          <w:iCs w:val="false"/>
          <w:color w:val="1F3864"/>
          <w:sz w:val="24"/>
          <w:szCs w:val="24"/>
        </w:rPr>
        <w:t xml:space="preserve">1. Executive Summary</w:t>
      </w:r>
    </w:p>
    <w:p>
      <w:pPr>
        <w:spacing w:before="0" w:after="50"/>
      </w:pPr>
      <w:r>
        <w:rPr>
          <w:rFonts w:ascii="Arial" w:cs="Arial" w:eastAsia="Arial" w:hAnsi="Arial"/>
          <w:b w:val="false"/>
          <w:bCs w:val="false"/>
          <w:i w:val="false"/>
          <w:iCs w:val="false"/>
          <w:color w:val="000000"/>
          <w:sz w:val="18"/>
          <w:szCs w:val="18"/>
        </w:rPr>
        <w:t xml:space="preserve">Artificial intelligence is no longer an emerging technology — it is a production-grade business asset deployed across every major industry. Large language models answer customer service queries, machine learning models approve or deny credit applications, and AI-powered anomaly detection monitors billions of financial transactions daily. Yet the governance structures organizations apply to these systems remain immature relative to the risks they introduce.</w:t>
      </w:r>
    </w:p>
    <w:p>
      <w:pPr>
        <w:spacing w:before="0" w:after="50"/>
      </w:pPr>
      <w:r>
        <w:rPr>
          <w:rFonts w:ascii="Arial" w:cs="Arial" w:eastAsia="Arial" w:hAnsi="Arial"/>
          <w:b w:val="false"/>
          <w:bCs w:val="false"/>
          <w:i w:val="false"/>
          <w:iCs w:val="false"/>
          <w:color w:val="000000"/>
          <w:sz w:val="18"/>
          <w:szCs w:val="18"/>
        </w:rPr>
        <w:t xml:space="preserve">This analysis evaluates the NIST AI Risk Management Framework (AI RMF 1.0, January 2023) as a practical governance architecture for three distinct deployment contexts: large technology firms (FAANG-scale) deploying generative AI products, fintech companies applying AI to regulated financial decisions, and regulated enterprises broadly subject to emerging AI legislation. The goal is not to describe the framework but to operationalize it — translating each of its four core functions into specific controls, metrics, accountability structures, and implementation activities.</w:t>
      </w:r>
    </w:p>
    <w:p>
      <w:pPr>
        <w:pBdr>
          <w:left w:val="single" w:color="2E75B6" w:sz="18" w:space="4"/>
        </w:pBdr>
        <w:shd w:fill="D6E4F0" w:val="clear"/>
        <w:spacing w:before="60" w:after="60"/>
        <w:ind w:left="200"/>
      </w:pPr>
      <w:r>
        <w:rPr>
          <w:rFonts w:ascii="Arial" w:cs="Arial" w:eastAsia="Arial" w:hAnsi="Arial"/>
          <w:b w:val="false"/>
          <w:bCs w:val="false"/>
          <w:i/>
          <w:iCs/>
          <w:color w:val="2E75B6"/>
          <w:sz w:val="18"/>
          <w:szCs w:val="18"/>
        </w:rPr>
        <w:t xml:space="preserve">Key Finding: Organizations that treat AI governance as a post-deployment compliance exercise face material model failures, regulatory enforcement, and reputational harm. The AI RMF, properly implemented, is a risk management architecture that enables faster and more defensible AI deployment — not a brake on innovation.</w:t>
      </w:r>
    </w:p>
    <w:p>
      <w:pPr>
        <w:spacing w:before="0" w:after="50"/>
      </w:pPr>
      <w:r>
        <w:rPr>
          <w:rFonts w:ascii="Arial" w:cs="Arial" w:eastAsia="Arial" w:hAnsi="Arial"/>
          <w:b w:val="false"/>
          <w:bCs w:val="false"/>
          <w:i w:val="false"/>
          <w:iCs w:val="false"/>
          <w:color w:val="000000"/>
          <w:sz w:val="18"/>
          <w:szCs w:val="18"/>
        </w:rPr>
        <w:t xml:space="preserve">The analysis identifies the Govern and Measure functions as the most consistently under-implemented across all three target sectors, the EU AI Act as the most immediately consequential regulatory development, and bias/fairness testing and adversarial security testing as the two highest-impact controls not yet widely deployed. A phased 12-month implementation roadmap is provided, calibrated to each sector's risk profile and regulatory obligations.</w:t>
      </w:r>
    </w:p>
    <w:p>
      <w:pPr>
        <w:pBdr>
          <w:bottom w:val="single" w:color="1F3864" w:sz="10" w:space="2"/>
        </w:pBdr>
        <w:spacing w:before="120" w:after="40"/>
      </w:pPr>
      <w:r>
        <w:rPr>
          <w:rFonts w:ascii="Arial" w:cs="Arial" w:eastAsia="Arial" w:hAnsi="Arial"/>
          <w:b/>
          <w:bCs/>
          <w:i w:val="false"/>
          <w:iCs w:val="false"/>
          <w:color w:val="1F3864"/>
          <w:sz w:val="24"/>
          <w:szCs w:val="24"/>
        </w:rPr>
        <w:t xml:space="preserve">2. Background and Context</w:t>
      </w:r>
    </w:p>
    <w:p>
      <w:pPr>
        <w:spacing w:before="80" w:after="30"/>
      </w:pPr>
      <w:r>
        <w:rPr>
          <w:rFonts w:ascii="Arial" w:cs="Arial" w:eastAsia="Arial" w:hAnsi="Arial"/>
          <w:b/>
          <w:bCs/>
          <w:i w:val="false"/>
          <w:iCs w:val="false"/>
          <w:color w:val="2E75B6"/>
          <w:sz w:val="20"/>
          <w:szCs w:val="20"/>
        </w:rPr>
        <w:t xml:space="preserve">2.1  Why AI Governance Matters Now</w:t>
      </w:r>
    </w:p>
    <w:p>
      <w:pPr>
        <w:spacing w:before="0" w:after="50"/>
      </w:pPr>
      <w:r>
        <w:rPr>
          <w:rFonts w:ascii="Arial" w:cs="Arial" w:eastAsia="Arial" w:hAnsi="Arial"/>
          <w:b w:val="false"/>
          <w:bCs w:val="false"/>
          <w:i w:val="false"/>
          <w:iCs w:val="false"/>
          <w:color w:val="000000"/>
          <w:sz w:val="18"/>
          <w:szCs w:val="18"/>
        </w:rPr>
        <w:t xml:space="preserve">Three developments have made AI governance an urgent enterprise risk management priority in 2025 and 2026:</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Regulatory enforcement has begun. The EU AI Act entered into force in August 2024, with prohibitions applying from February 2025 and high-risk AI obligations from August 2026. The CFPB has issued adverse action guidance for AI credit models. The SEC has taken enforcement actions against AI washing. Regulators are no longer signaling — they are acting.</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AI failures have caused material harm. Credit models have denied loans along racial lines. LLMs have provided medically dangerous advice. Fraud detection models have blocked legitimate transactions at disproportionate rates for minority customers. These are not hypothetical risks — they are documented incidents with regulatory, legal, and reputational consequences.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AI supply chains have become opaque. Organizations increasingly rely on foundation models they did not train, fine-tuned by vendors they do not directly control, deployed on infrastructure managed by third parties. Traditional IT risk management frameworks were not designed for this dependency structure.</w:t>
      </w:r>
    </w:p>
    <w:p>
      <w:pPr>
        <w:spacing w:before="0" w:after="50"/>
      </w:pPr>
      <w:r>
        <w:rPr>
          <w:rFonts w:ascii="Arial" w:cs="Arial" w:eastAsia="Arial" w:hAnsi="Arial"/>
          <w:b w:val="false"/>
          <w:bCs w:val="false"/>
          <w:i w:val="false"/>
          <w:iCs w:val="false"/>
          <w:color w:val="000000"/>
          <w:sz w:val="18"/>
          <w:szCs w:val="18"/>
        </w:rPr>
        <w:t xml:space="preserve">NIST AI RMF 1.0 was developed in response to these developments. It provides a voluntary, flexible, and non-prescriptive framework that integrates with existing risk management programs and scales to any organization size or AI deployment type.</w:t>
      </w:r>
    </w:p>
    <w:p>
      <w:pPr>
        <w:spacing w:before="80" w:after="30"/>
      </w:pPr>
      <w:r>
        <w:rPr>
          <w:rFonts w:ascii="Arial" w:cs="Arial" w:eastAsia="Arial" w:hAnsi="Arial"/>
          <w:b/>
          <w:bCs/>
          <w:i w:val="false"/>
          <w:iCs w:val="false"/>
          <w:color w:val="2E75B6"/>
          <w:sz w:val="20"/>
          <w:szCs w:val="20"/>
        </w:rPr>
        <w:t xml:space="preserve">2.2  Scope of This Analysis</w:t>
      </w:r>
    </w:p>
    <w:p>
      <w:pPr>
        <w:spacing w:before="0" w:after="50"/>
      </w:pPr>
      <w:r>
        <w:rPr>
          <w:rFonts w:ascii="Arial" w:cs="Arial" w:eastAsia="Arial" w:hAnsi="Arial"/>
          <w:b w:val="false"/>
          <w:bCs w:val="false"/>
          <w:i w:val="false"/>
          <w:iCs w:val="false"/>
          <w:color w:val="000000"/>
          <w:sz w:val="18"/>
          <w:szCs w:val="18"/>
        </w:rPr>
        <w:t xml:space="preserve">This analysis covers three deployment contexts chosen to reflect the primary target organizations for technology risk consulting, IT audit, and GRC roles in 2025–2026: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Sector</w:t>
            </w:r>
          </w:p>
        </w:tc>
        <w:tc>
          <w:tcPr>
            <w:tcW w:type="dxa" w:w="36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AI Use Cases</w:t>
            </w:r>
          </w:p>
        </w:tc>
        <w:tc>
          <w:tcPr>
            <w:tcW w:type="dxa" w:w="36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Primary Risk Profile</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Technology / FAANG</w:t>
            </w:r>
          </w:p>
        </w:tc>
        <w:tc>
          <w:tcPr>
            <w:tcW w:type="dxa" w:w="36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LLM deployment (customer-facing, internal), code generation, recommendation engines, content moderation</w:t>
            </w:r>
          </w:p>
        </w:tc>
        <w:tc>
          <w:tcPr>
            <w:tcW w:type="dxa" w:w="36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Prompt injection, PII leakage, output hallucination, IP exposure, EU AI Act GPAI obligations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Fintech</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Fraud detection, credit scoring, AML transaction monitoring, customer risk profiling</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Model bias (ECOA/Reg B), model explainability, SR 11-7 model risk, adversarial evasion attacks</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Regulated Enterprise</w:t>
            </w:r>
          </w:p>
        </w:tc>
        <w:tc>
          <w:tcPr>
            <w:tcW w:type="dxa" w:w="36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AI-assisted decision support, HR screening, supply chain optimization, cybersecurity AI (UEBA, SIEM ML)</w:t>
            </w:r>
          </w:p>
        </w:tc>
        <w:tc>
          <w:tcPr>
            <w:tcW w:type="dxa" w:w="36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EU AI Act high-risk classification, audit trail requirements, third-party model risk, vendor lock-in</w:t>
            </w:r>
          </w:p>
        </w:tc>
      </w:tr>
    </w:tbl>
    <w:p>
      <w:pPr>
        <w:spacing w:before="20" w:after="50"/>
      </w:pPr>
    </w:p>
    <w:p>
      <w:pPr>
        <w:spacing w:before="80" w:after="30"/>
      </w:pPr>
      <w:r>
        <w:rPr>
          <w:rFonts w:ascii="Arial" w:cs="Arial" w:eastAsia="Arial" w:hAnsi="Arial"/>
          <w:b/>
          <w:bCs/>
          <w:i w:val="false"/>
          <w:iCs w:val="false"/>
          <w:color w:val="2E75B6"/>
          <w:sz w:val="20"/>
          <w:szCs w:val="20"/>
        </w:rPr>
        <w:t xml:space="preserve">2.3  Framework Reference Documents</w:t>
      </w:r>
    </w:p>
    <w:p>
      <w:pPr>
        <w:spacing w:before="0" w:after="50"/>
      </w:pPr>
      <w:r>
        <w:rPr>
          <w:rFonts w:ascii="Arial" w:cs="Arial" w:eastAsia="Arial" w:hAnsi="Arial"/>
          <w:b w:val="false"/>
          <w:bCs w:val="false"/>
          <w:i w:val="false"/>
          <w:iCs w:val="false"/>
          <w:color w:val="000000"/>
          <w:sz w:val="18"/>
          <w:szCs w:val="18"/>
        </w:rPr>
        <w:t xml:space="preserve">Primary framework: NIST AI Risk Management Framework 1.0 (January 2023) and AI RMF Playbook. Supplementary references used throughout this analysis: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EU AI Act (Regulation (EU) 2024/1689) — entered into force August 1, 2024</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ISO/IEC 42001:2023 — AI Management System standard</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NIST SP 800-218A — Secure Software Development for AI and ML</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Federal Reserve / OCC SR 11-7 — Supervisory Guidance on Model Risk Management</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CFPB Circular 2022-03 — Adverse Action Explanations for AI Credit Models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NIST Cybersecurity Framework 2.0 — integrated reference for security controls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OWASP Top 10 for LLMs (2023) — adversarial threat reference</w:t>
      </w:r>
    </w:p>
    <w:p>
      <w:pPr>
        <w:pBdr>
          <w:bottom w:val="single" w:color="1F3864" w:sz="10" w:space="2"/>
        </w:pBdr>
        <w:spacing w:before="120" w:after="40"/>
      </w:pPr>
      <w:r>
        <w:rPr>
          <w:rFonts w:ascii="Arial" w:cs="Arial" w:eastAsia="Arial" w:hAnsi="Arial"/>
          <w:b/>
          <w:bCs/>
          <w:i w:val="false"/>
          <w:iCs w:val="false"/>
          <w:color w:val="1F3864"/>
          <w:sz w:val="24"/>
          <w:szCs w:val="24"/>
        </w:rPr>
        <w:t xml:space="preserve">3. AI Risk Landscape — Current State</w:t>
      </w:r>
    </w:p>
    <w:p>
      <w:pPr>
        <w:spacing w:before="80" w:after="30"/>
      </w:pPr>
      <w:r>
        <w:rPr>
          <w:rFonts w:ascii="Arial" w:cs="Arial" w:eastAsia="Arial" w:hAnsi="Arial"/>
          <w:b/>
          <w:bCs/>
          <w:i w:val="false"/>
          <w:iCs w:val="false"/>
          <w:color w:val="2E75B6"/>
          <w:sz w:val="20"/>
          <w:szCs w:val="20"/>
        </w:rPr>
        <w:t xml:space="preserve">3.1  AI Risk Taxonomy</w:t>
      </w:r>
    </w:p>
    <w:p>
      <w:pPr>
        <w:spacing w:before="0" w:after="50"/>
      </w:pPr>
      <w:r>
        <w:rPr>
          <w:rFonts w:ascii="Arial" w:cs="Arial" w:eastAsia="Arial" w:hAnsi="Arial"/>
          <w:b w:val="false"/>
          <w:bCs w:val="false"/>
          <w:i w:val="false"/>
          <w:iCs w:val="false"/>
          <w:color w:val="000000"/>
          <w:sz w:val="18"/>
          <w:szCs w:val="18"/>
        </w:rPr>
        <w:t xml:space="preserve">This analysis identifies six primary AI risk categories. Unlike traditional IT risk categories, AI risks are often systemic — a single training data issue can manifest simultaneously as a performance risk, a fairness risk, and a regulatory risk. Effective AI governance requires managing these interdependencies explicitly.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920"/>
      </w:tblGrid>
      <w:tr>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Risk Category</w:t>
            </w:r>
          </w:p>
        </w:tc>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Definition</w:t>
            </w:r>
          </w:p>
        </w:tc>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Fintech Example</w:t>
            </w:r>
          </w:p>
        </w:tc>
        <w:tc>
          <w:tcPr>
            <w:tcW w:type="dxa" w:w="29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Tech / FAANG Example</w:t>
            </w:r>
          </w:p>
        </w:tc>
      </w:tr>
      <w:tr>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Model Performance</w:t>
            </w:r>
          </w:p>
        </w:tc>
        <w:tc>
          <w:tcPr>
            <w:tcW w:type="dxa" w:w="2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Model outputs are inaccurate, unreliable, or degrade over time due to distributional shift</w:t>
            </w:r>
          </w:p>
        </w:tc>
        <w:tc>
          <w:tcPr>
            <w:tcW w:type="dxa" w:w="2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Fraud model misclassifies 3% of legitimate transactions as fraudulent, blocking payments for real customers</w:t>
            </w:r>
          </w:p>
        </w:tc>
        <w:tc>
          <w:tcPr>
            <w:tcW w:type="dxa" w:w="29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LLM generates factually incorrect legal or medical information presented with high confidence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Fairness &amp; Bias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Model produces systematically different outcomes for protected groups due to biased training data or proxy variables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Credit model denies loans to minority applicants at 2.3x the rate of comparable white applicants — ECOA violation</w:t>
            </w:r>
          </w:p>
        </w:tc>
        <w:tc>
          <w:tcPr>
            <w:tcW w:type="dxa" w:w="2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Image generation model consistently underrepresents women in leadership roles; hiring AI screens out non-English resumes</w:t>
            </w:r>
          </w:p>
        </w:tc>
      </w:tr>
      <w:tr>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Security &amp; Adversarial</w:t>
            </w:r>
          </w:p>
        </w:tc>
        <w:tc>
          <w:tcPr>
            <w:tcW w:type="dxa" w:w="2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AI systems are exploited through adversarial inputs, data poisoning, model extraction, or prompt injection</w:t>
            </w:r>
          </w:p>
        </w:tc>
        <w:tc>
          <w:tcPr>
            <w:tcW w:type="dxa" w:w="2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Adversarially crafted transaction patterns cause fraud model to classify fraudulent activity as legitimate</w:t>
            </w:r>
          </w:p>
        </w:tc>
        <w:tc>
          <w:tcPr>
            <w:tcW w:type="dxa" w:w="29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Prompt injection attack causes LLM customer service bot to exfiltrate user PII or bypass content filters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Data Privacy</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PII is exposed in training data, model outputs, or through membership inference attacks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Credit model trained on data including protected attributes violates FCRA and GDPR</w:t>
            </w:r>
          </w:p>
        </w:tc>
        <w:tc>
          <w:tcPr>
            <w:tcW w:type="dxa" w:w="2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LLM memorizes and can recall personal details from training data, including names, addresses, SSNs</w:t>
            </w:r>
          </w:p>
        </w:tc>
      </w:tr>
      <w:tr>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Third-Party / Supply Chain</w:t>
            </w:r>
          </w:p>
        </w:tc>
        <w:tc>
          <w:tcPr>
            <w:tcW w:type="dxa" w:w="2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Risks introduced by foundation models, APIs, or fine-tuning vendors not under direct organizational control</w:t>
            </w:r>
          </w:p>
        </w:tc>
        <w:tc>
          <w:tcPr>
            <w:tcW w:type="dxa" w:w="2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Fintech uses third-party credit scoring AI with no visibility into training data provenance or bias testing</w:t>
            </w:r>
          </w:p>
        </w:tc>
        <w:tc>
          <w:tcPr>
            <w:tcW w:type="dxa" w:w="29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FAANG product built on third-party LLM API; vendor changes model behavior without notice, degrading safety properties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Regulatory &amp; Compliance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AI deployment triggers legal obligations, prohibitions, or enforcement actions not identified at deployment</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AI credit scoring model triggers ECOA adverse action explanation obligation; no explainability mechanism exists</w:t>
            </w:r>
          </w:p>
        </w:tc>
        <w:tc>
          <w:tcPr>
            <w:tcW w:type="dxa" w:w="29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EU AI Act classifies company's hiring AI as high-risk; no conformity assessment or technical documentation produced</w:t>
            </w:r>
          </w:p>
        </w:tc>
      </w:tr>
    </w:tbl>
    <w:p>
      <w:pPr>
        <w:spacing w:before="20" w:after="60"/>
      </w:pPr>
    </w:p>
    <w:p>
      <w:pPr>
        <w:spacing w:before="80" w:after="30"/>
      </w:pPr>
      <w:r>
        <w:rPr>
          <w:rFonts w:ascii="Arial" w:cs="Arial" w:eastAsia="Arial" w:hAnsi="Arial"/>
          <w:b/>
          <w:bCs/>
          <w:i w:val="false"/>
          <w:iCs w:val="false"/>
          <w:color w:val="2E75B6"/>
          <w:sz w:val="20"/>
          <w:szCs w:val="20"/>
        </w:rPr>
        <w:t xml:space="preserve">3.2  Risk Severity by Sector</w:t>
      </w:r>
    </w:p>
    <w:p>
      <w:pPr>
        <w:spacing w:before="0" w:after="50"/>
      </w:pPr>
      <w:r>
        <w:rPr>
          <w:rFonts w:ascii="Arial" w:cs="Arial" w:eastAsia="Arial" w:hAnsi="Arial"/>
          <w:b w:val="false"/>
          <w:bCs w:val="false"/>
          <w:i w:val="false"/>
          <w:iCs w:val="false"/>
          <w:color w:val="000000"/>
          <w:sz w:val="18"/>
          <w:szCs w:val="18"/>
        </w:rPr>
        <w:t xml:space="preserve">Risk severity is not uniform across sectors. The following heat map reflects this analysis's assessment of inherent risk (before controls) across each risk category and deployment context: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40"/>
        <w:gridCol w:w="2440"/>
        <w:gridCol w:w="2440"/>
      </w:tblGrid>
      <w:tr>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Risk Category</w:t>
            </w:r>
          </w:p>
        </w:tc>
        <w:tc>
          <w:tcPr>
            <w:tcW w:type="dxa" w:w="24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Tech / FAANG</w:t>
            </w:r>
          </w:p>
        </w:tc>
        <w:tc>
          <w:tcPr>
            <w:tcW w:type="dxa" w:w="24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Fintech</w:t>
            </w:r>
          </w:p>
        </w:tc>
        <w:tc>
          <w:tcPr>
            <w:tcW w:type="dxa" w:w="24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Regulated Enterprise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000000"/>
                <w:sz w:val="16"/>
                <w:szCs w:val="16"/>
              </w:rPr>
              <w:t xml:space="preserve">Model Performance</w:t>
            </w:r>
          </w:p>
        </w:tc>
        <w:tc>
          <w:tcPr>
            <w:tcW w:type="dxa" w:w="24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w:t>
            </w:r>
          </w:p>
        </w:tc>
        <w:tc>
          <w:tcPr>
            <w:tcW w:type="dxa" w:w="244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r>
              <w:rPr>
                <w:rFonts w:ascii="Arial" w:cs="Arial" w:eastAsia="Arial" w:hAnsi="Arial"/>
                <w:b/>
                <w:bCs/>
                <w:i w:val="false"/>
                <w:iCs w:val="false"/>
                <w:color w:val="C00000"/>
                <w:sz w:val="16"/>
                <w:szCs w:val="16"/>
              </w:rPr>
              <w:t xml:space="preserve">Critical</w:t>
            </w:r>
          </w:p>
        </w:tc>
        <w:tc>
          <w:tcPr>
            <w:tcW w:type="dxa" w:w="24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6"/>
                <w:szCs w:val="16"/>
              </w:rPr>
              <w:t xml:space="preserve">Fairness &amp; Bias</w:t>
            </w:r>
          </w:p>
        </w:tc>
        <w:tc>
          <w:tcPr>
            <w:tcW w:type="dxa" w:w="24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w:t>
            </w:r>
          </w:p>
        </w:tc>
        <w:tc>
          <w:tcPr>
            <w:tcW w:type="dxa" w:w="244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r>
              <w:rPr>
                <w:rFonts w:ascii="Arial" w:cs="Arial" w:eastAsia="Arial" w:hAnsi="Arial"/>
                <w:b/>
                <w:bCs/>
                <w:i w:val="false"/>
                <w:iCs w:val="false"/>
                <w:color w:val="C00000"/>
                <w:sz w:val="16"/>
                <w:szCs w:val="16"/>
              </w:rPr>
              <w:t xml:space="preserve">Critical</w:t>
            </w:r>
          </w:p>
        </w:tc>
        <w:tc>
          <w:tcPr>
            <w:tcW w:type="dxa" w:w="24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375623"/>
                <w:sz w:val="16"/>
                <w:szCs w:val="16"/>
              </w:rPr>
              <w:t xml:space="preserve">Medium</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000000"/>
                <w:sz w:val="16"/>
                <w:szCs w:val="16"/>
              </w:rPr>
              <w:t xml:space="preserve">Security &amp; Adversarial</w:t>
            </w:r>
          </w:p>
        </w:tc>
        <w:tc>
          <w:tcPr>
            <w:tcW w:type="dxa" w:w="244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r>
              <w:rPr>
                <w:rFonts w:ascii="Arial" w:cs="Arial" w:eastAsia="Arial" w:hAnsi="Arial"/>
                <w:b/>
                <w:bCs/>
                <w:i w:val="false"/>
                <w:iCs w:val="false"/>
                <w:color w:val="C00000"/>
                <w:sz w:val="16"/>
                <w:szCs w:val="16"/>
              </w:rPr>
              <w:t xml:space="preserve">Critical</w:t>
            </w:r>
          </w:p>
        </w:tc>
        <w:tc>
          <w:tcPr>
            <w:tcW w:type="dxa" w:w="24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w:t>
            </w:r>
          </w:p>
        </w:tc>
        <w:tc>
          <w:tcPr>
            <w:tcW w:type="dxa" w:w="24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6"/>
                <w:szCs w:val="16"/>
              </w:rPr>
              <w:t xml:space="preserve">Data Privacy</w:t>
            </w:r>
          </w:p>
        </w:tc>
        <w:tc>
          <w:tcPr>
            <w:tcW w:type="dxa" w:w="244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r>
              <w:rPr>
                <w:rFonts w:ascii="Arial" w:cs="Arial" w:eastAsia="Arial" w:hAnsi="Arial"/>
                <w:b/>
                <w:bCs/>
                <w:i w:val="false"/>
                <w:iCs w:val="false"/>
                <w:color w:val="C00000"/>
                <w:sz w:val="16"/>
                <w:szCs w:val="16"/>
              </w:rPr>
              <w:t xml:space="preserve">Critical</w:t>
            </w:r>
          </w:p>
        </w:tc>
        <w:tc>
          <w:tcPr>
            <w:tcW w:type="dxa" w:w="24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w:t>
            </w:r>
          </w:p>
        </w:tc>
        <w:tc>
          <w:tcPr>
            <w:tcW w:type="dxa" w:w="24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000000"/>
                <w:sz w:val="16"/>
                <w:szCs w:val="16"/>
              </w:rPr>
              <w:t xml:space="preserve">Third-Party / Supply Chain</w:t>
            </w:r>
          </w:p>
        </w:tc>
        <w:tc>
          <w:tcPr>
            <w:tcW w:type="dxa" w:w="244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r>
              <w:rPr>
                <w:rFonts w:ascii="Arial" w:cs="Arial" w:eastAsia="Arial" w:hAnsi="Arial"/>
                <w:b/>
                <w:bCs/>
                <w:i w:val="false"/>
                <w:iCs w:val="false"/>
                <w:color w:val="C00000"/>
                <w:sz w:val="16"/>
                <w:szCs w:val="16"/>
              </w:rPr>
              <w:t xml:space="preserve">Critical</w:t>
            </w:r>
          </w:p>
        </w:tc>
        <w:tc>
          <w:tcPr>
            <w:tcW w:type="dxa" w:w="24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w:t>
            </w:r>
          </w:p>
        </w:tc>
        <w:tc>
          <w:tcPr>
            <w:tcW w:type="dxa" w:w="244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375623"/>
                <w:sz w:val="16"/>
                <w:szCs w:val="16"/>
              </w:rPr>
              <w:t xml:space="preserve">Medium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6"/>
                <w:szCs w:val="16"/>
              </w:rPr>
              <w:t xml:space="preserve">Regulatory &amp; Compliance</w:t>
            </w:r>
          </w:p>
        </w:tc>
        <w:tc>
          <w:tcPr>
            <w:tcW w:type="dxa" w:w="24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w:t>
            </w:r>
          </w:p>
        </w:tc>
        <w:tc>
          <w:tcPr>
            <w:tcW w:type="dxa" w:w="244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r>
              <w:rPr>
                <w:rFonts w:ascii="Arial" w:cs="Arial" w:eastAsia="Arial" w:hAnsi="Arial"/>
                <w:b/>
                <w:bCs/>
                <w:i w:val="false"/>
                <w:iCs w:val="false"/>
                <w:color w:val="C00000"/>
                <w:sz w:val="16"/>
                <w:szCs w:val="16"/>
              </w:rPr>
              <w:t xml:space="preserve">Critical</w:t>
            </w:r>
          </w:p>
        </w:tc>
        <w:tc>
          <w:tcPr>
            <w:tcW w:type="dxa" w:w="244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w:t>
            </w:r>
          </w:p>
        </w:tc>
      </w:tr>
    </w:tbl>
    <w:p>
      <w:pPr>
        <w:spacing w:before="20" w:after="50"/>
      </w:pPr>
    </w:p>
    <w:p>
      <w:pPr>
        <w:pBdr>
          <w:left w:val="single" w:color="C55A11" w:sz="18" w:space="4"/>
        </w:pBdr>
        <w:shd w:fill="FFF2CC" w:val="clear"/>
        <w:spacing w:before="60" w:after="60"/>
        <w:ind w:left="200"/>
      </w:pPr>
      <w:r>
        <w:rPr>
          <w:rFonts w:ascii="Arial" w:cs="Arial" w:eastAsia="Arial" w:hAnsi="Arial"/>
          <w:b w:val="false"/>
          <w:bCs w:val="false"/>
          <w:i/>
          <w:iCs/>
          <w:color w:val="C55A11"/>
          <w:sz w:val="18"/>
          <w:szCs w:val="18"/>
        </w:rPr>
        <w:t xml:space="preserve">Fintech AI carries the highest aggregate regulatory risk of the three sectors — ECOA, FCRA, SR 11-7, and the EU AI Act all apply simultaneously to credit-decisioning AI, creating a compliance surface that most fintech firms have not fully mapped.</w:t>
      </w:r>
    </w:p>
    <w:p>
      <w:pPr>
        <w:pBdr>
          <w:bottom w:val="single" w:color="1F3864" w:sz="10" w:space="2"/>
        </w:pBdr>
        <w:spacing w:before="120" w:after="40"/>
      </w:pPr>
      <w:r>
        <w:rPr>
          <w:rFonts w:ascii="Arial" w:cs="Arial" w:eastAsia="Arial" w:hAnsi="Arial"/>
          <w:b/>
          <w:bCs/>
          <w:i w:val="false"/>
          <w:iCs w:val="false"/>
          <w:color w:val="1F3864"/>
          <w:sz w:val="24"/>
          <w:szCs w:val="24"/>
        </w:rPr>
        <w:t xml:space="preserve">4. GOVERN Function — Building Organizational Accountability</w:t>
      </w:r>
    </w:p>
    <w:p>
      <w:pPr>
        <w:spacing w:before="0" w:after="50"/>
      </w:pPr>
      <w:r>
        <w:rPr>
          <w:rFonts w:ascii="Arial" w:cs="Arial" w:eastAsia="Arial" w:hAnsi="Arial"/>
          <w:b w:val="false"/>
          <w:bCs w:val="false"/>
          <w:i w:val="false"/>
          <w:iCs w:val="false"/>
          <w:color w:val="000000"/>
          <w:sz w:val="18"/>
          <w:szCs w:val="18"/>
        </w:rPr>
        <w:t xml:space="preserve">The Govern function is the most consequential and most neglected of the four AI RMF functions. It establishes the organizational culture, policies, processes, and accountability structures that determine whether the other three functions operate effectively. Organizations that skip or shortcut Govern find themselves with measurement activities that no one acts on and risk treatments that never get resourced.</w:t>
      </w:r>
    </w:p>
    <w:p>
      <w:pPr>
        <w:spacing w:before="0" w:after="50"/>
      </w:pPr>
      <w:r>
        <w:rPr>
          <w:rFonts w:ascii="Arial" w:cs="Arial" w:eastAsia="Arial" w:hAnsi="Arial"/>
          <w:b w:val="false"/>
          <w:bCs w:val="false"/>
          <w:i w:val="false"/>
          <w:iCs w:val="false"/>
          <w:color w:val="000000"/>
          <w:sz w:val="18"/>
          <w:szCs w:val="18"/>
        </w:rPr>
        <w:t xml:space="preserve">The Govern function encompasses six subcategories in the AI RMF: organizational context (GV.OC), risk management strategy (GV.RM), roles and responsibilities (GV.RR), organizational teams and expertise (GV.OE), policies and procedures (GV.PO), and oversight (GV.OV). This analysis organizes Govern implementation around four practical components.</w:t>
      </w:r>
    </w:p>
    <w:p>
      <w:pPr>
        <w:spacing w:before="80" w:after="30"/>
      </w:pPr>
      <w:r>
        <w:rPr>
          <w:rFonts w:ascii="Arial" w:cs="Arial" w:eastAsia="Arial" w:hAnsi="Arial"/>
          <w:b/>
          <w:bCs/>
          <w:i w:val="false"/>
          <w:iCs w:val="false"/>
          <w:color w:val="2E75B6"/>
          <w:sz w:val="20"/>
          <w:szCs w:val="20"/>
        </w:rPr>
        <w:t xml:space="preserve">4.1  AI Risk Policy and Acceptable Use</w:t>
      </w:r>
    </w:p>
    <w:p>
      <w:pPr>
        <w:spacing w:before="0" w:after="50"/>
      </w:pPr>
      <w:r>
        <w:rPr>
          <w:rFonts w:ascii="Arial" w:cs="Arial" w:eastAsia="Arial" w:hAnsi="Arial"/>
          <w:b w:val="false"/>
          <w:bCs w:val="false"/>
          <w:i w:val="false"/>
          <w:iCs w:val="false"/>
          <w:color w:val="000000"/>
          <w:sz w:val="18"/>
          <w:szCs w:val="18"/>
        </w:rPr>
        <w:t xml:space="preserve">The foundation of AI governance is a board-approved AI Risk Policy that defines the organization's approach to AI risk. An effective policy must do four things that most organizations' current AI policies do not:</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Define risk appetite for AI specifically — not by reference to general IT risk appetite. AI risk appetite must address acceptable error rates, bias thresholds, and explainability requirements by AI tier and use case type.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Enumerate prohibited uses unambiguously. Vague prohibitions ('do not use AI in ways that harm customers') are unenforceable. Effective policies enumerate specific prohibited use cases: automated final employment decisions without human review, real-time biometric profiling without consent, social scoring.</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Address third-party AI explicitly. The policy must govern not just AI the organization builds but AI it procures — foundation model APIs, AI-enhanced SaaS products, vendor-supplied scoring models. Most current policies are silent on this.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Establish a model inventory requirement. No AI can be deployed without registration in the AI model inventory, which triggers the risk tiering and governance lifecycle. This is the single most impactful Govern control.</w:t>
      </w:r>
    </w:p>
    <w:p>
      <w:pPr>
        <w:spacing w:before="80" w:after="30"/>
      </w:pPr>
      <w:r>
        <w:rPr>
          <w:rFonts w:ascii="Arial" w:cs="Arial" w:eastAsia="Arial" w:hAnsi="Arial"/>
          <w:b/>
          <w:bCs/>
          <w:i w:val="false"/>
          <w:iCs w:val="false"/>
          <w:color w:val="2E75B6"/>
          <w:sz w:val="20"/>
          <w:szCs w:val="20"/>
        </w:rPr>
        <w:t xml:space="preserve">4.2  AI Governance Committee Structure</w:t>
      </w:r>
    </w:p>
    <w:p>
      <w:pPr>
        <w:spacing w:before="0" w:after="50"/>
      </w:pPr>
      <w:r>
        <w:rPr>
          <w:rFonts w:ascii="Arial" w:cs="Arial" w:eastAsia="Arial" w:hAnsi="Arial"/>
          <w:b w:val="false"/>
          <w:bCs w:val="false"/>
          <w:i w:val="false"/>
          <w:iCs w:val="false"/>
          <w:color w:val="000000"/>
          <w:sz w:val="18"/>
          <w:szCs w:val="18"/>
        </w:rPr>
        <w:t xml:space="preserve">Effective AI governance requires cross-functional authority — no single function can adequately oversee AI risk. This analysis recommends the following committee structure, calibrated to each target sector: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3120"/>
      </w:tblGrid>
      <w:tr>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Role</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Function</w:t>
            </w:r>
          </w:p>
        </w:tc>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AI Governance Responsibility</w:t>
            </w:r>
          </w:p>
        </w:tc>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Sector-Specific Notes</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AI Governance Lead</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Risk / GRC</w:t>
            </w:r>
          </w:p>
        </w:tc>
        <w:tc>
          <w:tcPr>
            <w:tcW w:type="dxa" w:w="2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Program ownership, policy maintenance, registry management, escalation coordination</w:t>
            </w:r>
          </w:p>
        </w:tc>
        <w:tc>
          <w:tcPr>
            <w:tcW w:type="dxa" w:w="31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Big 4: maps to Technology Risk; FAANG: AI Safety team; Fintech: Model Risk Officer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CISO</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Security</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Adversarial security testing, prompt injection controls, model infrastructure security</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FAANG: owns red-team program; Fintech: coordinates with fraud engineering</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Chief Data Officer</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Data / Analytics</w:t>
            </w:r>
          </w:p>
        </w:tc>
        <w:tc>
          <w:tcPr>
            <w:tcW w:type="dxa" w:w="2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Training data governance, data lineage, bias testing methodology, data quality standards</w:t>
            </w:r>
          </w:p>
        </w:tc>
        <w:tc>
          <w:tcPr>
            <w:tcW w:type="dxa" w:w="31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Critical for fintech credit models; owns demographic parity testing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General Counsel / CLO</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Legal</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EU AI Act classification, adverse action compliance, contractual AI obligations, IP</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Fintech: ECOA/Reg B adverse action explanations; FAANG: GPAI Act 53 obligations</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Chief Compliance Officer</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Compliance</w:t>
            </w:r>
          </w:p>
        </w:tc>
        <w:tc>
          <w:tcPr>
            <w:tcW w:type="dxa" w:w="2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Regulatory change monitoring, audit readiness, examination management</w:t>
            </w:r>
          </w:p>
        </w:tc>
        <w:tc>
          <w:tcPr>
            <w:tcW w:type="dxa" w:w="31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Fintech: OCC/Fed model risk exams; Regulated: EU AI Act conformity assessments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Model / AI Owners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Engineering / Product</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Day-to-day model management, performance monitoring, incident escalation</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Each deployed AI system must have a named owner accountable for its risk profile</w:t>
            </w:r>
          </w:p>
        </w:tc>
      </w:tr>
    </w:tbl>
    <w:p>
      <w:pPr>
        <w:spacing w:before="20" w:after="50"/>
      </w:pPr>
    </w:p>
    <w:p>
      <w:pPr>
        <w:spacing w:before="80" w:after="30"/>
      </w:pPr>
      <w:r>
        <w:rPr>
          <w:rFonts w:ascii="Arial" w:cs="Arial" w:eastAsia="Arial" w:hAnsi="Arial"/>
          <w:b/>
          <w:bCs/>
          <w:i w:val="false"/>
          <w:iCs w:val="false"/>
          <w:color w:val="2E75B6"/>
          <w:sz w:val="20"/>
          <w:szCs w:val="20"/>
        </w:rPr>
        <w:t xml:space="preserve">4.3  AI Model Inventory and Risk Tiering</w:t>
      </w:r>
    </w:p>
    <w:p>
      <w:pPr>
        <w:spacing w:before="0" w:after="50"/>
      </w:pPr>
      <w:r>
        <w:rPr>
          <w:rFonts w:ascii="Arial" w:cs="Arial" w:eastAsia="Arial" w:hAnsi="Arial"/>
          <w:b w:val="false"/>
          <w:bCs w:val="false"/>
          <w:i w:val="false"/>
          <w:iCs w:val="false"/>
          <w:color w:val="000000"/>
          <w:sz w:val="18"/>
          <w:szCs w:val="18"/>
        </w:rPr>
        <w:t xml:space="preserve">Every effective AI governance program starts with knowing what AI systems exist and what risk they carry. The model inventory is the master registry from which all other governance activities flow. It must capture, at minimum: system name and owner, deployment date, use case description, data inputs (including whether personal data is used), decision authority (automated vs. decision-support), affected populations, and regulatory classification.</w:t>
      </w:r>
    </w:p>
    <w:p>
      <w:pPr>
        <w:spacing w:before="0" w:after="50"/>
      </w:pPr>
      <w:r>
        <w:rPr>
          <w:rFonts w:ascii="Arial" w:cs="Arial" w:eastAsia="Arial" w:hAnsi="Arial"/>
          <w:b w:val="false"/>
          <w:bCs w:val="false"/>
          <w:i w:val="false"/>
          <w:iCs w:val="false"/>
          <w:color w:val="000000"/>
          <w:sz w:val="18"/>
          <w:szCs w:val="18"/>
        </w:rPr>
        <w:t xml:space="preserve">Risk tiering determines the depth of governance applied to each system. This analysis recommends a four-tier model:</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Tier 1 — Critical: AI systems making or materially influencing high-stakes decisions with limited human override. Examples: automated credit denial, AI-driven hiring screens, real-time fraud blocks. Requires full governance lifecycle: independent validation, bias testing, audit trail, board reporting, regulatory notification.</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Tier 2 — High: AI systems with significant customer or employee impact where human review occurs but may be cursory. Examples: AI-generated fraud alerts, recommendation engines with significant revenue impact, UEBA security alerts. Requires formal model risk review, bias testing, performance monitoring.</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Tier 3 — Standard: Internal AI tools with moderate impact. Examples: internal chatbots, document classification, predictive maintenance. Requires registration, basic acceptable use review, annual check-in.</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Tier 4 — Low: Narrow automation with minimal decision impact. Examples: spam filters, autocomplete, basic anomaly detection. Requires registration only.</w:t>
      </w:r>
    </w:p>
    <w:p>
      <w:pPr>
        <w:pBdr>
          <w:left w:val="single" w:color="C55A11" w:sz="18" w:space="4"/>
        </w:pBdr>
        <w:shd w:fill="FFF2CC" w:val="clear"/>
        <w:spacing w:before="60" w:after="60"/>
        <w:ind w:left="200"/>
      </w:pPr>
      <w:r>
        <w:rPr>
          <w:rFonts w:ascii="Arial" w:cs="Arial" w:eastAsia="Arial" w:hAnsi="Arial"/>
          <w:b w:val="false"/>
          <w:bCs w:val="false"/>
          <w:i/>
          <w:iCs/>
          <w:color w:val="C55A11"/>
          <w:sz w:val="18"/>
          <w:szCs w:val="18"/>
        </w:rPr>
        <w:t xml:space="preserve">In practice, organizations consistently underestimate the tier of their AI systems. A fraud alert model that blocks transactions in real time affects customers immediately and materially — it is Tier 1, not Tier 2, even if a human theoretically reviews the queue.</w:t>
      </w:r>
    </w:p>
    <w:p>
      <w:pPr>
        <w:spacing w:before="80" w:after="30"/>
      </w:pPr>
      <w:r>
        <w:rPr>
          <w:rFonts w:ascii="Arial" w:cs="Arial" w:eastAsia="Arial" w:hAnsi="Arial"/>
          <w:b/>
          <w:bCs/>
          <w:i w:val="false"/>
          <w:iCs w:val="false"/>
          <w:color w:val="2E75B6"/>
          <w:sz w:val="20"/>
          <w:szCs w:val="20"/>
        </w:rPr>
        <w:t xml:space="preserve">4.4  Third-Party AI Risk in the Governance Framework</w:t>
      </w:r>
    </w:p>
    <w:p>
      <w:pPr>
        <w:spacing w:before="0" w:after="50"/>
      </w:pPr>
      <w:r>
        <w:rPr>
          <w:rFonts w:ascii="Arial" w:cs="Arial" w:eastAsia="Arial" w:hAnsi="Arial"/>
          <w:b w:val="false"/>
          <w:bCs w:val="false"/>
          <w:i w:val="false"/>
          <w:iCs w:val="false"/>
          <w:color w:val="000000"/>
          <w:sz w:val="18"/>
          <w:szCs w:val="18"/>
        </w:rPr>
        <w:t xml:space="preserve">Third-party AI risk is the fastest-growing governance gap in 2025. Organizations are deploying AI products built on foundation models they did not train, using APIs from vendors who may change model behavior without notice, and embedding AI features from SaaS vendors with minimal due diligence.</w:t>
      </w:r>
    </w:p>
    <w:p>
      <w:pPr>
        <w:spacing w:before="0" w:after="50"/>
      </w:pPr>
      <w:r>
        <w:rPr>
          <w:rFonts w:ascii="Arial" w:cs="Arial" w:eastAsia="Arial" w:hAnsi="Arial"/>
          <w:b w:val="false"/>
          <w:bCs w:val="false"/>
          <w:i w:val="false"/>
          <w:iCs w:val="false"/>
          <w:color w:val="000000"/>
          <w:sz w:val="18"/>
          <w:szCs w:val="18"/>
        </w:rPr>
        <w:t xml:space="preserve">Govern must address third-party AI explicitly across three categories: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Foundation Model APIs (OpenAI, Anthropic, Google): Organizations must assess: what data is sent to the API, how is it used for training, what are the model's safety properties, what contractual protections exist if the model degrades or changes? A model card review and API data processing agreement are minimum requirements.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AI-Enhanced SaaS: HR platforms, CRM tools, and security products increasingly embed AI features. Each must be assessed against the AI risk tier framework. Procurement must include AI-specific due diligence questions.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Vendor-Supplied Models: For fintech firms relying on third-party credit scoring models, SR 11-7 model risk management obligations apply to vendor models as well as internally built models. The firm cannot outsource risk ownership.</w:t>
      </w:r>
    </w:p>
    <w:p>
      <w:r>
        <w:br w:type="page"/>
      </w:r>
    </w:p>
    <w:p>
      <w:pPr>
        <w:pBdr>
          <w:bottom w:val="single" w:color="1F3864" w:sz="10" w:space="2"/>
        </w:pBdr>
        <w:spacing w:before="120" w:after="40"/>
      </w:pPr>
      <w:r>
        <w:rPr>
          <w:rFonts w:ascii="Arial" w:cs="Arial" w:eastAsia="Arial" w:hAnsi="Arial"/>
          <w:b/>
          <w:bCs/>
          <w:i w:val="false"/>
          <w:iCs w:val="false"/>
          <w:color w:val="1F3864"/>
          <w:sz w:val="24"/>
          <w:szCs w:val="24"/>
        </w:rPr>
        <w:t xml:space="preserve">5. MAP Function — Contextualizing and Categorizing AI Risk</w:t>
      </w:r>
    </w:p>
    <w:p>
      <w:pPr>
        <w:spacing w:before="0" w:after="50"/>
      </w:pPr>
      <w:r>
        <w:rPr>
          <w:rFonts w:ascii="Arial" w:cs="Arial" w:eastAsia="Arial" w:hAnsi="Arial"/>
          <w:b w:val="false"/>
          <w:bCs w:val="false"/>
          <w:i w:val="false"/>
          <w:iCs w:val="false"/>
          <w:color w:val="000000"/>
          <w:sz w:val="18"/>
          <w:szCs w:val="18"/>
        </w:rPr>
        <w:t xml:space="preserve">The Map function requires organizations to understand the specific context in which each AI system operates — who is affected, what can go wrong, how probable and severe each failure mode is, and how risk compares to organizational risk appetite. It bridges the Govern function's policy framework and the Measure function's quantitative tools.</w:t>
      </w:r>
    </w:p>
    <w:p>
      <w:pPr>
        <w:spacing w:before="0" w:after="50"/>
      </w:pPr>
      <w:r>
        <w:rPr>
          <w:rFonts w:ascii="Arial" w:cs="Arial" w:eastAsia="Arial" w:hAnsi="Arial"/>
          <w:b w:val="false"/>
          <w:bCs w:val="false"/>
          <w:i w:val="false"/>
          <w:iCs w:val="false"/>
          <w:color w:val="000000"/>
          <w:sz w:val="18"/>
          <w:szCs w:val="18"/>
        </w:rPr>
        <w:t xml:space="preserve">Where the Govern function asks 'how do we manage AI risk organizationally?', the Map function asks 'what specific risks does this particular AI system create for these specific people?' The distinction matters because AI systems that appear similar in function can carry radically different risk profiles depending on their deployment context, affected population, and decision authority.</w:t>
      </w:r>
    </w:p>
    <w:p>
      <w:pPr>
        <w:spacing w:before="80" w:after="30"/>
      </w:pPr>
      <w:r>
        <w:rPr>
          <w:rFonts w:ascii="Arial" w:cs="Arial" w:eastAsia="Arial" w:hAnsi="Arial"/>
          <w:b/>
          <w:bCs/>
          <w:i w:val="false"/>
          <w:iCs w:val="false"/>
          <w:color w:val="2E75B6"/>
          <w:sz w:val="20"/>
          <w:szCs w:val="20"/>
        </w:rPr>
        <w:t xml:space="preserve">5.1  Risk Identification Methodology</w:t>
      </w:r>
    </w:p>
    <w:p>
      <w:pPr>
        <w:spacing w:before="0" w:after="50"/>
      </w:pPr>
      <w:r>
        <w:rPr>
          <w:rFonts w:ascii="Arial" w:cs="Arial" w:eastAsia="Arial" w:hAnsi="Arial"/>
          <w:b w:val="false"/>
          <w:bCs w:val="false"/>
          <w:i w:val="false"/>
          <w:iCs w:val="false"/>
          <w:color w:val="000000"/>
          <w:sz w:val="18"/>
          <w:szCs w:val="18"/>
        </w:rPr>
        <w:t xml:space="preserve">Effective AI risk identification combines four complementary methods: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Structured Risk Assessment: Systematic review of each AI system against the six risk categories in Section 3 (performance, bias, security, privacy, third-party, regulatory). Conducted at deployment and annually thereafter for Tier 1/2 systems.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Red-Team Adversarial Testing: Active attempts to cause the AI system to fail in ways that would harm users or the organization. For LLMs, this includes prompt injection, jailbreaking, PII extraction attempts, and harmful content elicitation. For fraud models, this includes crafting adversarial transaction patterns designed to evade detection.</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Stakeholder Impact Analysis: Structured consultation with populations affected by AI decisions — particularly for high-risk systems. For fintech credit models, this means analyzing outcomes by demographic group before deployment. For LLM customer service tools, it means testing with diverse user populations.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Regulatory Classification Review: Formal assessment of whether the AI system meets the EU AI Act definition of a high-risk AI system (Annex III) or a general-purpose AI model, and what obligations flow from that classification.</w:t>
      </w:r>
    </w:p>
    <w:p>
      <w:pPr>
        <w:spacing w:before="80" w:after="30"/>
      </w:pPr>
      <w:r>
        <w:rPr>
          <w:rFonts w:ascii="Arial" w:cs="Arial" w:eastAsia="Arial" w:hAnsi="Arial"/>
          <w:b/>
          <w:bCs/>
          <w:i w:val="false"/>
          <w:iCs w:val="false"/>
          <w:color w:val="2E75B6"/>
          <w:sz w:val="20"/>
          <w:szCs w:val="20"/>
        </w:rPr>
        <w:t xml:space="preserve">5.2  Sector-Specific Risk Context</w:t>
      </w:r>
    </w:p>
    <w:p>
      <w:pPr>
        <w:spacing w:before="0" w:after="50"/>
      </w:pPr>
      <w:r>
        <w:rPr>
          <w:rFonts w:ascii="Arial" w:cs="Arial" w:eastAsia="Arial" w:hAnsi="Arial"/>
          <w:b w:val="false"/>
          <w:bCs w:val="false"/>
          <w:i w:val="false"/>
          <w:iCs w:val="false"/>
          <w:color w:val="000000"/>
          <w:sz w:val="18"/>
          <w:szCs w:val="18"/>
        </w:rPr>
        <w:t xml:space="preserve">The Map function requires sector-specific depth. The following subsections detail the most material risk contexts for each target sector.</w:t>
      </w:r>
    </w:p>
    <w:p>
      <w:pPr>
        <w:spacing w:before="80" w:after="30"/>
      </w:pPr>
      <w:r>
        <w:rPr>
          <w:rFonts w:ascii="Arial" w:cs="Arial" w:eastAsia="Arial" w:hAnsi="Arial"/>
          <w:b/>
          <w:bCs/>
          <w:i w:val="false"/>
          <w:iCs w:val="false"/>
          <w:color w:val="1F3864"/>
          <w:sz w:val="18"/>
          <w:szCs w:val="18"/>
        </w:rPr>
        <w:t xml:space="preserve">5.2.1  Technology / FAANG — LLM Deployment Risk Context</w:t>
      </w:r>
    </w:p>
    <w:p>
      <w:pPr>
        <w:spacing w:before="0" w:after="50"/>
      </w:pPr>
      <w:r>
        <w:rPr>
          <w:rFonts w:ascii="Arial" w:cs="Arial" w:eastAsia="Arial" w:hAnsi="Arial"/>
          <w:b w:val="false"/>
          <w:bCs w:val="false"/>
          <w:i w:val="false"/>
          <w:iCs w:val="false"/>
          <w:color w:val="000000"/>
          <w:sz w:val="18"/>
          <w:szCs w:val="18"/>
        </w:rPr>
        <w:t xml:space="preserve">Large language models deployed at FAANG scale introduce risk categories that have no direct analog in traditional IT systems. Four risk contexts require dedicated Map analysis: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Prompt Injection and Jailbreaking: Adversarial users can craft inputs designed to override the model's safety instructions, extract system prompts, or cause the model to produce prohibited content. OWASP LLM Top 10 identifies this as the most critical LLM security risk. Mapping must assess: what instructions can be injected, what data can be exfiltrated, what prohibited outputs can be elicited.</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PII Memorization and Leakage: LLMs trained on internet data may have memorized personal information that can be recalled through targeted queries. This creates GDPR and CCPA obligations that organizations may not have anticipated. Mapping must assess: what personal data was in the training corpus, what extraction risk exists, what technical mitigations are deployed.</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Intellectual Property Risk: LLMs can reproduce copyrighted training data verbatim or generate outputs substantively similar to copyrighted works. This creates both direct IP liability and reputational risk. The New York Times v. OpenAI litigation has established that this is a live legal risk, not a theoretical one.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Output Reliance Risk: Users treating LLM outputs as authoritative — particularly for legal, medical, or financial questions — creates a failure mode that is difficult to govern technically. Governance must address: what disclosures are provided to users, what high-stakes use cases are prohibited or restricted, how hallucination rates are measured and disclosed.</w:t>
      </w:r>
    </w:p>
    <w:p>
      <w:pPr>
        <w:spacing w:before="80" w:after="30"/>
      </w:pPr>
      <w:r>
        <w:rPr>
          <w:rFonts w:ascii="Arial" w:cs="Arial" w:eastAsia="Arial" w:hAnsi="Arial"/>
          <w:b/>
          <w:bCs/>
          <w:i w:val="false"/>
          <w:iCs w:val="false"/>
          <w:color w:val="1F3864"/>
          <w:sz w:val="18"/>
          <w:szCs w:val="18"/>
        </w:rPr>
        <w:t xml:space="preserve">5.2.2  Fintech — Regulated AI Decision-Making Risk Context</w:t>
      </w:r>
    </w:p>
    <w:p>
      <w:pPr>
        <w:spacing w:before="0" w:after="50"/>
      </w:pPr>
      <w:r>
        <w:rPr>
          <w:rFonts w:ascii="Arial" w:cs="Arial" w:eastAsia="Arial" w:hAnsi="Arial"/>
          <w:b w:val="false"/>
          <w:bCs w:val="false"/>
          <w:i w:val="false"/>
          <w:iCs w:val="false"/>
          <w:color w:val="000000"/>
          <w:sz w:val="18"/>
          <w:szCs w:val="18"/>
        </w:rPr>
        <w:t xml:space="preserve">AI systems making or influencing regulated financial decisions are subject to the most mature AI-specific regulatory framework of any sector. The Map function must address four regulatory risk contexts: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Adverse Action and Explainability (ECOA / Reg B): Any AI system that contributes to an adverse credit decision must be able to provide specific reasons for that decision. 'The model said no' is not a compliant adverse action explanation. Mapping must assess: can the model's decisions be explained at the individual transaction level, in terms comprehensible to a consumer?</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Fair Lending and Disparate Impact (ECOA, FHA): AI credit models can produce disparate impact on protected classes even when no protected characteristics are used as inputs — through proxy variables such as zip code, purchase history, or social graph. Mapping must assess: what is the demographic parity ratio across protected classes, does the model's predictive accuracy differ by demographic group, can disparate impact be justified by business necessity?</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Model Risk Management (SR 11-7): For federally regulated financial institutions, AI models are subject to SR 11-7 model risk management requirements — including independent model validation, conceptual soundness review, and ongoing monitoring. Mapping must assess: has independent validation occurred, are model limitations documented and understood by users, is there a model risk inventory?</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AML / Transaction Monitoring: AI-powered AML systems that miss suspicious activity create regulatory exposure (BSA/FinCEN), while systems that generate excessive false positives create customer harm. Mapping must assess: what is the model's detection rate for known typologies, what is the false positive rate by customer segment, how are model updates tested before deployment?</w:t>
      </w:r>
    </w:p>
    <w:p>
      <w:pPr>
        <w:spacing w:before="80" w:after="30"/>
      </w:pPr>
      <w:r>
        <w:rPr>
          <w:rFonts w:ascii="Arial" w:cs="Arial" w:eastAsia="Arial" w:hAnsi="Arial"/>
          <w:b/>
          <w:bCs/>
          <w:i w:val="false"/>
          <w:iCs w:val="false"/>
          <w:color w:val="1F3864"/>
          <w:sz w:val="18"/>
          <w:szCs w:val="18"/>
        </w:rPr>
        <w:t xml:space="preserve">5.2.3  Regulated Enterprise — EU AI Act Classification</w:t>
      </w:r>
    </w:p>
    <w:p>
      <w:pPr>
        <w:spacing w:before="0" w:after="50"/>
      </w:pPr>
      <w:r>
        <w:rPr>
          <w:rFonts w:ascii="Arial" w:cs="Arial" w:eastAsia="Arial" w:hAnsi="Arial"/>
          <w:b w:val="false"/>
          <w:bCs w:val="false"/>
          <w:i w:val="false"/>
          <w:iCs w:val="false"/>
          <w:color w:val="000000"/>
          <w:sz w:val="18"/>
          <w:szCs w:val="18"/>
        </w:rPr>
        <w:t xml:space="preserve">The EU AI Act creates an obligation for all organizations operating in the EU to classify their AI systems and fulfill obligations commensurate with that classification before the August 2026 compliance deadline. The Map function must drive this classification exercise.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High-Risk AI (Annex III): Eight categories, including AI used in employment, education, credit, law enforcement, migration, critical infrastructure, and biometrics. High-risk AI requires conformity assessment, technical documentation, human oversight measures, accuracy and robustness requirements, and registration in the EU database.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General-Purpose AI Models (GPAI): Foundation models must provide technical documentation, comply with copyright law, and publish summaries of training data. GPAI with systemic risk (above 10^25 FLOPs) face additional obligations including adversarial testing and incident reporting to the AI Office.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Prohibited AI: Real-time biometric surveillance in public spaces (with limited exceptions), social scoring by public authorities, AI that exploits psychological vulnerabilities. Organizations must explicitly confirm their systems do not fall into prohibited categories.</w:t>
      </w:r>
    </w:p>
    <w:p>
      <w:pPr>
        <w:pBdr>
          <w:left w:val="single" w:color="C00000" w:sz="18" w:space="4"/>
        </w:pBdr>
        <w:shd w:fill="FCE4D6" w:val="clear"/>
        <w:spacing w:before="60" w:after="60"/>
        <w:ind w:left="200"/>
      </w:pPr>
      <w:r>
        <w:rPr>
          <w:rFonts w:ascii="Arial" w:cs="Arial" w:eastAsia="Arial" w:hAnsi="Arial"/>
          <w:b w:val="false"/>
          <w:bCs w:val="false"/>
          <w:i/>
          <w:iCs/>
          <w:color w:val="C00000"/>
          <w:sz w:val="18"/>
          <w:szCs w:val="18"/>
        </w:rPr>
        <w:t xml:space="preserve">The EU AI Act compliance clock is running. Organizations deploying high-risk AI in the EU that have not begun a classification exercise are already behind the curve. The Govern function must own this classification, and the Map function must execute it.</w:t>
      </w:r>
    </w:p>
    <w:p>
      <w:pPr>
        <w:pBdr>
          <w:bottom w:val="single" w:color="1F3864" w:sz="10" w:space="2"/>
        </w:pBdr>
        <w:spacing w:before="120" w:after="40"/>
      </w:pPr>
      <w:r>
        <w:rPr>
          <w:rFonts w:ascii="Arial" w:cs="Arial" w:eastAsia="Arial" w:hAnsi="Arial"/>
          <w:b/>
          <w:bCs/>
          <w:i w:val="false"/>
          <w:iCs w:val="false"/>
          <w:color w:val="1F3864"/>
          <w:sz w:val="24"/>
          <w:szCs w:val="24"/>
        </w:rPr>
        <w:t xml:space="preserve">6. MEASURE Function — Quantifying and Monitoring AI Risk</w:t>
      </w:r>
    </w:p>
    <w:p>
      <w:pPr>
        <w:spacing w:before="0" w:after="50"/>
      </w:pPr>
      <w:r>
        <w:rPr>
          <w:rFonts w:ascii="Arial" w:cs="Arial" w:eastAsia="Arial" w:hAnsi="Arial"/>
          <w:b w:val="false"/>
          <w:bCs w:val="false"/>
          <w:i w:val="false"/>
          <w:iCs w:val="false"/>
          <w:color w:val="000000"/>
          <w:sz w:val="18"/>
          <w:szCs w:val="18"/>
        </w:rPr>
        <w:t xml:space="preserve">The Measure function is where AI governance becomes operational. It defines how organizations quantify AI risks identified in the Map function, establishes the monitoring infrastructure to detect when risks materialize, and creates the evidentiary record that regulators and auditors will review. Without Measure, governance is a document exercise. With Measure, it is a live risk management system.</w:t>
      </w:r>
    </w:p>
    <w:p>
      <w:pPr>
        <w:spacing w:before="0" w:after="50"/>
      </w:pPr>
      <w:r>
        <w:rPr>
          <w:rFonts w:ascii="Arial" w:cs="Arial" w:eastAsia="Arial" w:hAnsi="Arial"/>
          <w:b w:val="false"/>
          <w:bCs w:val="false"/>
          <w:i w:val="false"/>
          <w:iCs w:val="false"/>
          <w:color w:val="000000"/>
          <w:sz w:val="18"/>
          <w:szCs w:val="18"/>
        </w:rPr>
        <w:t xml:space="preserve">The AI RMF Measure function encompasses three subcategories: AI risks and impacts are analyzed, evaluated, and tracked (MS.AN), AI risk measurement approaches are established and applied (MS.RM), and AI risk measurement results inform decisions (MS.DM). This section translates these subcategories into practical measurement programs for each risk category.</w:t>
      </w:r>
    </w:p>
    <w:p>
      <w:pPr>
        <w:spacing w:before="80" w:after="30"/>
      </w:pPr>
      <w:r>
        <w:rPr>
          <w:rFonts w:ascii="Arial" w:cs="Arial" w:eastAsia="Arial" w:hAnsi="Arial"/>
          <w:b/>
          <w:bCs/>
          <w:i w:val="false"/>
          <w:iCs w:val="false"/>
          <w:color w:val="2E75B6"/>
          <w:sz w:val="20"/>
          <w:szCs w:val="20"/>
        </w:rPr>
        <w:t xml:space="preserve">6.1  Model Performance Metrics</w:t>
      </w:r>
    </w:p>
    <w:p>
      <w:pPr>
        <w:spacing w:before="0" w:after="50"/>
      </w:pPr>
      <w:r>
        <w:rPr>
          <w:rFonts w:ascii="Arial" w:cs="Arial" w:eastAsia="Arial" w:hAnsi="Arial"/>
          <w:b w:val="false"/>
          <w:bCs w:val="false"/>
          <w:i w:val="false"/>
          <w:iCs w:val="false"/>
          <w:color w:val="000000"/>
          <w:sz w:val="18"/>
          <w:szCs w:val="18"/>
        </w:rPr>
        <w:t xml:space="preserve">Model performance measurement must go beyond aggregate accuracy. Aggregate metrics hide the failure modes that matter most — particularly differential performance across demographic groups and performance degradation over time (model drift). The following metrics are required for all Tier 1 and Tier 2 systems: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Accuracy Metrics: Precision, recall, F1-score, and AUC-ROC for classification models; RMSE and MAE for regression models. Establish baseline at deployment; alert on degradation exceeding defined threshold (e.g., &gt;5% decline in F1 triggers human review).</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Disaggregated Performance: All performance metrics must be calculated separately for each protected demographic group where data permits. A model with 95% aggregate accuracy but 85% accuracy for minority users is a bias risk, not just a performance issue.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Drift Monitoring: Statistical process control methods — including Population Stability Index (PSI) for input distributions and Performance Stability Index for output distributions — to detect when the deployment environment has diverged from the training environment. PSI &gt; 0.2 should trigger model revalidation.</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Business Outcome Tracking: For fintech models, connect model metrics to business outcomes — false positive rate to customer call volume, false negative rate to fraud loss rate. This demonstrates that governance metrics reflect real-world impact, not just statistical performance.</w:t>
      </w:r>
    </w:p>
    <w:p>
      <w:pPr>
        <w:spacing w:before="80" w:after="30"/>
      </w:pPr>
      <w:r>
        <w:rPr>
          <w:rFonts w:ascii="Arial" w:cs="Arial" w:eastAsia="Arial" w:hAnsi="Arial"/>
          <w:b/>
          <w:bCs/>
          <w:i w:val="false"/>
          <w:iCs w:val="false"/>
          <w:color w:val="2E75B6"/>
          <w:sz w:val="20"/>
          <w:szCs w:val="20"/>
        </w:rPr>
        <w:t xml:space="preserve">6.2  Fairness and Bias Metrics</w:t>
      </w:r>
    </w:p>
    <w:p>
      <w:pPr>
        <w:spacing w:before="0" w:after="50"/>
      </w:pPr>
      <w:r>
        <w:rPr>
          <w:rFonts w:ascii="Arial" w:cs="Arial" w:eastAsia="Arial" w:hAnsi="Arial"/>
          <w:b w:val="false"/>
          <w:bCs w:val="false"/>
          <w:i w:val="false"/>
          <w:iCs w:val="false"/>
          <w:color w:val="000000"/>
          <w:sz w:val="18"/>
          <w:szCs w:val="18"/>
        </w:rPr>
        <w:t xml:space="preserve">Bias measurement is technically complex and contextually dependent — there is no single fairness metric that is appropriate for all use cases, and some fairness criteria are mathematically impossible to satisfy simultaneously. The following framework applies the appropriate metrics by use case type: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120"/>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Fairness Metric</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Definition</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Best For</w:t>
            </w:r>
          </w:p>
        </w:tc>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Regulatory Reference</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Demographic Parity</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Equal positive prediction rates across groups</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Contexts where equal representation is required</w:t>
            </w:r>
          </w:p>
        </w:tc>
        <w:tc>
          <w:tcPr>
            <w:tcW w:type="dxa" w:w="31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CFPB disparate impact analysis; EEOC 4/5ths rule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Equal Opportunity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Equal true positive rates across groups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Classification where false negatives have differential harm</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ECOA adverse action analysis; EEOC disparate impact</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Equalized Odds</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Equal TPR and FPR across groups</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Fraud detection where both misses and false alarms harm specific groups</w:t>
            </w:r>
          </w:p>
        </w:tc>
        <w:tc>
          <w:tcPr>
            <w:tcW w:type="dxa" w:w="31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SR 11-7 model validation; EU AI Act Art.10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Predictive Parity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Equal precision (PPV) across groups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Risk scoring where the score meaning should be group-invariant</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FCRA, ECOA credit scoring models</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Individual Fairness</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Similar individuals receive similar predictions</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High-stakes individual decisions (credit, employment)</w:t>
            </w:r>
          </w:p>
        </w:tc>
        <w:tc>
          <w:tcPr>
            <w:tcW w:type="dxa" w:w="31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EU AI Act high-risk requirements; GDPR automated decision-making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Counterfactual Fairness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Prediction unchanged if protected attribute were different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Legal and compliance contexts requiring non-discrimination proof</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ECOA, GDPR Art.22 automated decision explanations</w:t>
            </w:r>
          </w:p>
        </w:tc>
      </w:tr>
    </w:tbl>
    <w:p>
      <w:pPr>
        <w:spacing w:before="20" w:after="50"/>
      </w:pPr>
    </w:p>
    <w:p>
      <w:pPr>
        <w:spacing w:before="0" w:after="50"/>
      </w:pPr>
      <w:r>
        <w:rPr>
          <w:rFonts w:ascii="Arial" w:cs="Arial" w:eastAsia="Arial" w:hAnsi="Arial"/>
          <w:b w:val="false"/>
          <w:bCs w:val="false"/>
          <w:i w:val="false"/>
          <w:iCs w:val="false"/>
          <w:color w:val="000000"/>
          <w:sz w:val="18"/>
          <w:szCs w:val="18"/>
        </w:rPr>
        <w:t xml:space="preserve">Recommended approach: deploy a minimum of two complementary fairness metrics for each Tier 1 model, with pre-defined thresholds. For fintech credit models subject to ECOA, demographic parity ratio below 0.8 (the 4/5ths rule) triggers immediate escalation to Compliance and Legal.</w:t>
      </w:r>
    </w:p>
    <w:p>
      <w:pPr>
        <w:spacing w:before="80" w:after="30"/>
      </w:pPr>
      <w:r>
        <w:rPr>
          <w:rFonts w:ascii="Arial" w:cs="Arial" w:eastAsia="Arial" w:hAnsi="Arial"/>
          <w:b/>
          <w:bCs/>
          <w:i w:val="false"/>
          <w:iCs w:val="false"/>
          <w:color w:val="2E75B6"/>
          <w:sz w:val="20"/>
          <w:szCs w:val="20"/>
        </w:rPr>
        <w:t xml:space="preserve">6.3  Security and Adversarial Robustness Metrics</w:t>
      </w:r>
    </w:p>
    <w:p>
      <w:pPr>
        <w:spacing w:before="0" w:after="50"/>
      </w:pPr>
      <w:r>
        <w:rPr>
          <w:rFonts w:ascii="Arial" w:cs="Arial" w:eastAsia="Arial" w:hAnsi="Arial"/>
          <w:b w:val="false"/>
          <w:bCs w:val="false"/>
          <w:i w:val="false"/>
          <w:iCs w:val="false"/>
          <w:color w:val="000000"/>
          <w:sz w:val="18"/>
          <w:szCs w:val="18"/>
        </w:rPr>
        <w:t xml:space="preserve">AI security measurement requires a different approach from traditional cybersecurity metrics. The attack surface includes the model itself — not just the infrastructure around it. Three measurement domains are required:</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Adversarial Robustness Testing: Quantify the percentage of adversarial inputs (crafted to cause misclassification) that the model handles correctly. For fraud models, this means adversarial transaction pattern testing. For LLMs, this means red-team prompt injection testing. Express results as: adversarial accuracy, jailbreak success rate, prompt injection success rate.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Membership Inference Resistance: Test whether the model reveals whether specific data records were in its training set. For models trained on sensitive data (medical records, financial transactions), membership inference attacks create direct privacy risk. Quantify as: membership inference attack success rate using shadow model methodology.</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Data Poisoning Detection: For models that train or fine-tune on user-provided data, measure the model's sensitivity to poisoned training examples. Quantify as: percentage of poisoned training examples required to shift model behavior by a defined threshold.</w:t>
      </w:r>
    </w:p>
    <w:p>
      <w:pPr>
        <w:spacing w:before="80" w:after="30"/>
      </w:pPr>
      <w:r>
        <w:rPr>
          <w:rFonts w:ascii="Arial" w:cs="Arial" w:eastAsia="Arial" w:hAnsi="Arial"/>
          <w:b/>
          <w:bCs/>
          <w:i w:val="false"/>
          <w:iCs w:val="false"/>
          <w:color w:val="2E75B6"/>
          <w:sz w:val="20"/>
          <w:szCs w:val="20"/>
        </w:rPr>
        <w:t xml:space="preserve">6.4  Monitoring Infrastructure Requirements</w:t>
      </w:r>
    </w:p>
    <w:p>
      <w:pPr>
        <w:spacing w:before="0" w:after="50"/>
      </w:pPr>
      <w:r>
        <w:rPr>
          <w:rFonts w:ascii="Arial" w:cs="Arial" w:eastAsia="Arial" w:hAnsi="Arial"/>
          <w:b w:val="false"/>
          <w:bCs w:val="false"/>
          <w:i w:val="false"/>
          <w:iCs w:val="false"/>
          <w:color w:val="000000"/>
          <w:sz w:val="18"/>
          <w:szCs w:val="18"/>
        </w:rPr>
        <w:t xml:space="preserve">Measurement without infrastructure is aspirational. The following monitoring infrastructure is required to operationalize the Measure function:</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Real-Time Performance Dashboard: For Tier 1 models, a real-time dashboard tracking key performance indicators (accuracy, false positive rate, bias metrics) with automated alerting when metrics breach defined thresholds. Recommended tooling: MLflow, Evidently AI, or equivalent.</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AI Incident Register: A centralized log of all model anomalies, adverse outcomes, bias flags, security incidents, and regulatory complaints. Each entry must include: system affected, incident type, severity, affected population estimate, date detected, and resolution status.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Audit Trail: Immutable logging of model inputs, outputs, model version, and decision rationale for all Tier 1 automated decisions. This is required for EU AI Act high-risk AI systems and GDPR Article 22 automated decision-making compliance. Log retention minimum: 3 years or regulatory requirement, whichever is longer.</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Vendor SLA Monitoring: For third-party AI APIs and models, automated monitoring of vendor-defined performance SLAs with escalation procedures when SLAs are missed or model behavior changes.</w:t>
      </w:r>
    </w:p>
    <w:p>
      <w:pPr>
        <w:pBdr>
          <w:left w:val="single" w:color="2E75B6" w:sz="18" w:space="4"/>
        </w:pBdr>
        <w:shd w:fill="D6E4F0" w:val="clear"/>
        <w:spacing w:before="60" w:after="60"/>
        <w:ind w:left="200"/>
      </w:pPr>
      <w:r>
        <w:rPr>
          <w:rFonts w:ascii="Arial" w:cs="Arial" w:eastAsia="Arial" w:hAnsi="Arial"/>
          <w:b w:val="false"/>
          <w:bCs w:val="false"/>
          <w:i/>
          <w:iCs/>
          <w:color w:val="2E75B6"/>
          <w:sz w:val="18"/>
          <w:szCs w:val="18"/>
        </w:rPr>
        <w:t xml:space="preserve">The most common Measure failure is collecting metrics without acting on them. Governance committees must receive measurement results on a defined cadence, have authority to require remediation, and track remediation completion. Metrics without accountability are decoration.</w:t>
      </w:r>
    </w:p>
    <w:p>
      <w:r>
        <w:br w:type="page"/>
      </w:r>
    </w:p>
    <w:p>
      <w:pPr>
        <w:pBdr>
          <w:bottom w:val="single" w:color="1F3864" w:sz="10" w:space="2"/>
        </w:pBdr>
        <w:spacing w:before="120" w:after="40"/>
      </w:pPr>
      <w:r>
        <w:rPr>
          <w:rFonts w:ascii="Arial" w:cs="Arial" w:eastAsia="Arial" w:hAnsi="Arial"/>
          <w:b/>
          <w:bCs/>
          <w:i w:val="false"/>
          <w:iCs w:val="false"/>
          <w:color w:val="1F3864"/>
          <w:sz w:val="24"/>
          <w:szCs w:val="24"/>
        </w:rPr>
        <w:t xml:space="preserve">7. MANAGE Function — Treating and Recovering from AI Risk</w:t>
      </w:r>
    </w:p>
    <w:p>
      <w:pPr>
        <w:spacing w:before="0" w:after="50"/>
      </w:pPr>
      <w:r>
        <w:rPr>
          <w:rFonts w:ascii="Arial" w:cs="Arial" w:eastAsia="Arial" w:hAnsi="Arial"/>
          <w:b w:val="false"/>
          <w:bCs w:val="false"/>
          <w:i w:val="false"/>
          <w:iCs w:val="false"/>
          <w:color w:val="000000"/>
          <w:sz w:val="18"/>
          <w:szCs w:val="18"/>
        </w:rPr>
        <w:t xml:space="preserve">The Manage function closes the governance loop. It translates the risks identified in Map and quantified in Measure into decisions — how to treat each risk, how to respond when AI systems fail, and how to continuously improve the governance program based on operational experience. The AI RMF Manage function encompasses risk treatment (MG.MT), AI risk responses (MG.RR), and ongoing improvement (MG.IM).</w:t>
      </w:r>
    </w:p>
    <w:p>
      <w:pPr>
        <w:spacing w:before="80" w:after="30"/>
      </w:pPr>
      <w:r>
        <w:rPr>
          <w:rFonts w:ascii="Arial" w:cs="Arial" w:eastAsia="Arial" w:hAnsi="Arial"/>
          <w:b/>
          <w:bCs/>
          <w:i w:val="false"/>
          <w:iCs w:val="false"/>
          <w:color w:val="2E75B6"/>
          <w:sz w:val="20"/>
          <w:szCs w:val="20"/>
        </w:rPr>
        <w:t xml:space="preserve">7.1  Risk Treatment Framework</w:t>
      </w:r>
    </w:p>
    <w:p>
      <w:pPr>
        <w:spacing w:before="0" w:after="50"/>
      </w:pPr>
      <w:r>
        <w:rPr>
          <w:rFonts w:ascii="Arial" w:cs="Arial" w:eastAsia="Arial" w:hAnsi="Arial"/>
          <w:b w:val="false"/>
          <w:bCs w:val="false"/>
          <w:i w:val="false"/>
          <w:iCs w:val="false"/>
          <w:color w:val="000000"/>
          <w:sz w:val="18"/>
          <w:szCs w:val="18"/>
        </w:rPr>
        <w:t xml:space="preserve">AI risk treatment follows the same four-option framework as traditional enterprise risk management — mitigate, transfer, avoid, accept — but the implementation of each option has AI-specific characteristics: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Mitigate: Implement technical controls that reduce the likelihood or impact of the risk. For AI, this includes input validation and output filtering (for LLMs), adversarial training (for fraud and classification models), differential privacy (for privacy risks in training), and model ensembling (for performance risks). Unlike traditional IT controls, AI mitigations often involve trade-offs — differential privacy reduces memorization risk but also reduces model accuracy. These trade-offs must be explicitly documented and approved.</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Transfer: Shift financial consequences of AI failures to third parties through insurance, contractual indemnification, or SLAs. AI-specific cyber insurance is a growing product category. For third-party AI vendors, contractual provisions should include: accuracy SLAs with financial penalties, audit rights, notification obligations when model behavior changes materially, and indemnification for harm caused by the vendor's model.</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Avoid: Prohibit specific AI use cases that exceed the organization's risk appetite. This is the most underused treatment option — organizations are reluctant to prohibit AI use cases that appear to offer business value. However, some use cases have risk profiles that cannot be mitigated to acceptable levels with current technology. Automated final hiring decisions, real-time biometric surveillance, and AI-generated medical diagnoses without physician review are examples where avoidance may be appropriate.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Accept: Formally document residual risk with senior executive sign-off. AI risk acceptance must be time-bounded (maximum 12 months before revalidation), include a documented compensating control or rationale, and be reported to the AI Governance Committee. Risk acceptance is not 'do nothing' — it is a managed decision.</w:t>
      </w:r>
    </w:p>
    <w:p>
      <w:pPr>
        <w:spacing w:before="80" w:after="30"/>
      </w:pPr>
      <w:r>
        <w:rPr>
          <w:rFonts w:ascii="Arial" w:cs="Arial" w:eastAsia="Arial" w:hAnsi="Arial"/>
          <w:b/>
          <w:bCs/>
          <w:i w:val="false"/>
          <w:iCs w:val="false"/>
          <w:color w:val="2E75B6"/>
          <w:sz w:val="20"/>
          <w:szCs w:val="20"/>
        </w:rPr>
        <w:t xml:space="preserve">7.2  AI Incident Response</w:t>
      </w:r>
    </w:p>
    <w:p>
      <w:pPr>
        <w:spacing w:before="0" w:after="50"/>
      </w:pPr>
      <w:r>
        <w:rPr>
          <w:rFonts w:ascii="Arial" w:cs="Arial" w:eastAsia="Arial" w:hAnsi="Arial"/>
          <w:b w:val="false"/>
          <w:bCs w:val="false"/>
          <w:i w:val="false"/>
          <w:iCs w:val="false"/>
          <w:color w:val="000000"/>
          <w:sz w:val="18"/>
          <w:szCs w:val="18"/>
        </w:rPr>
        <w:t xml:space="preserve">AI failures require a specialized incident response capability. Traditional IT incident response is designed for binary events — a system is up or down, data was exfiltrated or it wasn't. AI failures are often gradual, probabilistic, and may not be detected until harm has already occurred at scale. The following incident response framework is calibrated for AI-specific failure modes: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200"/>
        <w:gridCol w:w="2320"/>
      </w:tblGrid>
      <w:tr>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Incident Type</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Severity</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Detection</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Containment</w:t>
            </w:r>
          </w:p>
        </w:tc>
        <w:tc>
          <w:tcPr>
            <w:tcW w:type="dxa" w:w="23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Communication</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Bias / Fairness Breach detected in production model</w:t>
            </w:r>
          </w:p>
        </w:tc>
        <w:tc>
          <w:tcPr>
            <w:tcW w:type="dxa" w:w="160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r>
              <w:rPr>
                <w:rFonts w:ascii="Arial" w:cs="Arial" w:eastAsia="Arial" w:hAnsi="Arial"/>
                <w:b/>
                <w:bCs/>
                <w:i w:val="false"/>
                <w:iCs w:val="false"/>
                <w:color w:val="C00000"/>
                <w:sz w:val="16"/>
                <w:szCs w:val="16"/>
              </w:rPr>
              <w:t xml:space="preserve">Critical (P1)</w:t>
            </w:r>
          </w:p>
        </w:tc>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Automated fairness monitoring alert or regulatory complaint</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Suspend model decisions for affected population; activate human review override</w:t>
            </w:r>
          </w:p>
        </w:tc>
        <w:tc>
          <w:tcPr>
            <w:tcW w:type="dxa" w:w="23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Legal + Compliance + AI Lead; regulatory notification if material; board briefing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Adversarial attack — prompt injection or model evasion</w:t>
            </w:r>
          </w:p>
        </w:tc>
        <w:tc>
          <w:tcPr>
            <w:tcW w:type="dxa" w:w="1600"/>
            <w:gridSpan w:val="1"/>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vAlign w:val="center"/>
          </w:tcPr>
          <w:p>
            <w:r>
              <w:rPr>
                <w:rFonts w:ascii="Arial" w:cs="Arial" w:eastAsia="Arial" w:hAnsi="Arial"/>
                <w:b/>
                <w:bCs/>
                <w:i w:val="false"/>
                <w:iCs w:val="false"/>
                <w:color w:val="C00000"/>
                <w:sz w:val="16"/>
                <w:szCs w:val="16"/>
              </w:rPr>
              <w:t xml:space="preserve">Critical (P1)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Security monitoring, red-team alert, or user report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Disable or isolate affected model; activate fallback; preserve forensic evidence</w:t>
            </w:r>
          </w:p>
        </w:tc>
        <w:tc>
          <w:tcPr>
            <w:tcW w:type="dxa" w:w="2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CISO + Legal; customer notification if PII exposed; regulator if required</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Significant performance degradation (&gt;10% metric decline)</w:t>
            </w:r>
          </w:p>
        </w:tc>
        <w:tc>
          <w:tcPr>
            <w:tcW w:type="dxa" w:w="160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 (P2)</w:t>
            </w:r>
          </w:p>
        </w:tc>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Automated performance monitoring threshold breach</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Evaluate rollback to prior model version; increase human review rate</w:t>
            </w:r>
          </w:p>
        </w:tc>
        <w:tc>
          <w:tcPr>
            <w:tcW w:type="dxa" w:w="23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AI Governance Lead + model owner; customer communication if service impacted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PII exposure in model outputs or training data</w:t>
            </w:r>
          </w:p>
        </w:tc>
        <w:tc>
          <w:tcPr>
            <w:tcW w:type="dxa" w:w="1600"/>
            <w:gridSpan w:val="1"/>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r>
              <w:rPr>
                <w:rFonts w:ascii="Arial" w:cs="Arial" w:eastAsia="Arial" w:hAnsi="Arial"/>
                <w:b/>
                <w:bCs/>
                <w:i w:val="false"/>
                <w:iCs w:val="false"/>
                <w:color w:val="C55A11"/>
                <w:sz w:val="16"/>
                <w:szCs w:val="16"/>
              </w:rPr>
              <w:t xml:space="preserve">High (P2)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Privacy monitoring, DSAR response, or user report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Suspend affected outputs; assess scope; identify affected individuals</w:t>
            </w:r>
          </w:p>
        </w:tc>
        <w:tc>
          <w:tcPr>
            <w:tcW w:type="dxa" w:w="23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Legal + Privacy + DPO; GDPR 72-hour notification if personal data breach</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Model drift — gradual performance decline over weeks</w:t>
            </w:r>
          </w:p>
        </w:tc>
        <w:tc>
          <w:tcPr>
            <w:tcW w:type="dxa" w:w="16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375623"/>
                <w:sz w:val="16"/>
                <w:szCs w:val="16"/>
              </w:rPr>
              <w:t xml:space="preserve">Medium (P3)</w:t>
            </w:r>
          </w:p>
        </w:tc>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Regular monitoring review or user complaints</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Trigger model retraining or revalidation; do not suspend if impact limited</w:t>
            </w:r>
          </w:p>
        </w:tc>
        <w:tc>
          <w:tcPr>
            <w:tcW w:type="dxa" w:w="23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AI Governance Committee; include in next quarterly report</w:t>
            </w:r>
          </w:p>
        </w:tc>
      </w:tr>
    </w:tbl>
    <w:p>
      <w:pPr>
        <w:spacing w:before="20" w:after="60"/>
      </w:pPr>
    </w:p>
    <w:p>
      <w:pPr>
        <w:spacing w:before="80" w:after="30"/>
      </w:pPr>
      <w:r>
        <w:rPr>
          <w:rFonts w:ascii="Arial" w:cs="Arial" w:eastAsia="Arial" w:hAnsi="Arial"/>
          <w:b/>
          <w:bCs/>
          <w:i w:val="false"/>
          <w:iCs w:val="false"/>
          <w:color w:val="2E75B6"/>
          <w:sz w:val="20"/>
          <w:szCs w:val="20"/>
        </w:rPr>
        <w:t xml:space="preserve">7.3  Model Decommissioning</w:t>
      </w:r>
    </w:p>
    <w:p>
      <w:pPr>
        <w:spacing w:before="0" w:after="50"/>
      </w:pPr>
      <w:r>
        <w:rPr>
          <w:rFonts w:ascii="Arial" w:cs="Arial" w:eastAsia="Arial" w:hAnsi="Arial"/>
          <w:b w:val="false"/>
          <w:bCs w:val="false"/>
          <w:i w:val="false"/>
          <w:iCs w:val="false"/>
          <w:color w:val="000000"/>
          <w:sz w:val="18"/>
          <w:szCs w:val="18"/>
        </w:rPr>
        <w:t xml:space="preserve">AI governance must also address the end of an AI system's lifecycle. Model decommissioning is frequently neglected, creating zombie models — systems that are no longer actively maintained but continue to make decisions, accumulate technical debt, and carry unmonitored risk. Governance must require: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Formal decommissioning approval through the AI Governance Committee, documenting the reason for retirement, the replacement system (if any), and the disposition of training data.</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Data retention decision: training data and model artifacts must be retained for the minimum period required by regulation (EU AI Act requires high-risk AI technical documentation for 10 years post-market) or destroyed with documented evidence of destruction.</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Audit trail preservation: decision logs must be retained per regulatory requirements even after the model is decommissioned.</w:t>
      </w:r>
    </w:p>
    <w:p>
      <w:pPr>
        <w:spacing w:before="80" w:after="30"/>
      </w:pPr>
      <w:r>
        <w:rPr>
          <w:rFonts w:ascii="Arial" w:cs="Arial" w:eastAsia="Arial" w:hAnsi="Arial"/>
          <w:b/>
          <w:bCs/>
          <w:i w:val="false"/>
          <w:iCs w:val="false"/>
          <w:color w:val="2E75B6"/>
          <w:sz w:val="20"/>
          <w:szCs w:val="20"/>
        </w:rPr>
        <w:t xml:space="preserve">7.4  Continuous Improvement</w:t>
      </w:r>
    </w:p>
    <w:p>
      <w:pPr>
        <w:spacing w:before="0" w:after="50"/>
      </w:pPr>
      <w:r>
        <w:rPr>
          <w:rFonts w:ascii="Arial" w:cs="Arial" w:eastAsia="Arial" w:hAnsi="Arial"/>
          <w:b w:val="false"/>
          <w:bCs w:val="false"/>
          <w:i w:val="false"/>
          <w:iCs w:val="false"/>
          <w:color w:val="000000"/>
          <w:sz w:val="18"/>
          <w:szCs w:val="18"/>
        </w:rPr>
        <w:t xml:space="preserve">The Manage function's improvement subcategory (MG.IM) requires organizations to learn from AI risk events and continuously strengthen governance. Three mechanisms operationalize this: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Post-Incident Reviews: All P1 and P2 AI incidents must trigger a post-incident review within 10 business days. The review must identify root cause (data issue, model issue, deployment issue, or adversarial attack), contributing factors, and specific remediation actions with owners and due dates.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Annual AI Risk Assessment Update: The AI risk register must be refreshed annually to reflect changes in the threat landscape, regulatory environment, model portfolio, and organizational risk appetite. This is not a documentation update — it is a substantive reassessment.</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Governance Maturity Tracking: Track AI governance program maturity against a defined maturity model (NIST AI RMF Playbook provides a maturity framework). Report maturity level to the board annually with a roadmap to target maturity state.</w:t>
      </w:r>
    </w:p>
    <w:p>
      <w:pPr>
        <w:pBdr>
          <w:bottom w:val="single" w:color="1F3864" w:sz="10" w:space="2"/>
        </w:pBdr>
        <w:spacing w:before="120" w:after="40"/>
      </w:pPr>
      <w:r>
        <w:rPr>
          <w:rFonts w:ascii="Arial" w:cs="Arial" w:eastAsia="Arial" w:hAnsi="Arial"/>
          <w:b/>
          <w:bCs/>
          <w:i w:val="false"/>
          <w:iCs w:val="false"/>
          <w:color w:val="1F3864"/>
          <w:sz w:val="24"/>
          <w:szCs w:val="24"/>
        </w:rPr>
        <w:t xml:space="preserve">8. Regulatory Landscape and Compliance Implications</w:t>
      </w:r>
    </w:p>
    <w:p>
      <w:pPr>
        <w:spacing w:before="0" w:after="50"/>
      </w:pPr>
      <w:r>
        <w:rPr>
          <w:rFonts w:ascii="Arial" w:cs="Arial" w:eastAsia="Arial" w:hAnsi="Arial"/>
          <w:b w:val="false"/>
          <w:bCs w:val="false"/>
          <w:i w:val="false"/>
          <w:iCs w:val="false"/>
          <w:color w:val="000000"/>
          <w:sz w:val="18"/>
          <w:szCs w:val="18"/>
        </w:rPr>
        <w:t xml:space="preserve">AI regulation has moved from guidance to enforcement in 2024–2026. Organizations that planned to address AI compliance 'eventually' now face live regulatory obligations. This section maps the most material regulatory developments to the three target sectors.</w:t>
      </w:r>
    </w:p>
    <w:p>
      <w:pPr>
        <w:spacing w:before="80" w:after="30"/>
      </w:pPr>
      <w:r>
        <w:rPr>
          <w:rFonts w:ascii="Arial" w:cs="Arial" w:eastAsia="Arial" w:hAnsi="Arial"/>
          <w:b/>
          <w:bCs/>
          <w:i w:val="false"/>
          <w:iCs w:val="false"/>
          <w:color w:val="2E75B6"/>
          <w:sz w:val="20"/>
          <w:szCs w:val="20"/>
        </w:rPr>
        <w:t xml:space="preserve">8.1  EU AI Act — The Global Benchmark</w:t>
      </w:r>
    </w:p>
    <w:p>
      <w:pPr>
        <w:spacing w:before="0" w:after="50"/>
      </w:pPr>
      <w:r>
        <w:rPr>
          <w:rFonts w:ascii="Arial" w:cs="Arial" w:eastAsia="Arial" w:hAnsi="Arial"/>
          <w:b w:val="false"/>
          <w:bCs w:val="false"/>
          <w:i w:val="false"/>
          <w:iCs w:val="false"/>
          <w:color w:val="000000"/>
          <w:sz w:val="18"/>
          <w:szCs w:val="18"/>
        </w:rPr>
        <w:t xml:space="preserve">The EU AI Act (Regulation (EU) 2024/1689) is the most comprehensive AI regulatory framework currently in force. Its extraterritorial scope — applying to any organization placing AI on the EU market or deploying AI to EU users — makes it relevant to all three target sectors, not just European companies.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Prohibited AI (effective February 2025): Real-time biometric surveillance in public spaces (with narrow law enforcement exceptions), social scoring by public authorities, AI exploiting psychological vulnerabilities, predictive policing based on personal characteristics. Organizations must explicitly confirm they have no systems in these categories.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High-Risk AI Obligations (effective August 2026): Systems in Annex III categories — including credit scoring, hiring and recruitment, educational access, biometric identification, critical infrastructure management, and law enforcement — must complete a conformity assessment, produce technical documentation, implement human oversight, register in the EU AI Act database, and meet accuracy and robustness standards.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GPAI Model Obligations: Providers of general-purpose AI models must provide technical documentation and copyright-compliant training data summaries. Providers of systemic-risk GPAIs (above 10^25 FLOPs) face additional obligations including adversarial red-team testing, incident reporting to the AI Office, and cybersecurity measures.</w:t>
      </w:r>
    </w:p>
    <w:p>
      <w:pPr>
        <w:pBdr>
          <w:left w:val="single" w:color="C00000" w:sz="18" w:space="4"/>
        </w:pBdr>
        <w:shd w:fill="FCE4D6" w:val="clear"/>
        <w:spacing w:before="60" w:after="60"/>
        <w:ind w:left="200"/>
      </w:pPr>
      <w:r>
        <w:rPr>
          <w:rFonts w:ascii="Arial" w:cs="Arial" w:eastAsia="Arial" w:hAnsi="Arial"/>
          <w:b w:val="false"/>
          <w:bCs w:val="false"/>
          <w:i/>
          <w:iCs/>
          <w:color w:val="C00000"/>
          <w:sz w:val="18"/>
          <w:szCs w:val="18"/>
        </w:rPr>
        <w:t xml:space="preserve">For FAANG companies: every frontier LLM deployed to EU users is likely a GPAI model. If it exceeds the systemic risk threshold, adversarial testing, incident reporting, and cybersecurity measures are legally required — not optional governance best practices.</w:t>
      </w:r>
    </w:p>
    <w:p>
      <w:pPr>
        <w:spacing w:before="80" w:after="30"/>
      </w:pPr>
      <w:r>
        <w:rPr>
          <w:rFonts w:ascii="Arial" w:cs="Arial" w:eastAsia="Arial" w:hAnsi="Arial"/>
          <w:b/>
          <w:bCs/>
          <w:i w:val="false"/>
          <w:iCs w:val="false"/>
          <w:color w:val="2E75B6"/>
          <w:sz w:val="20"/>
          <w:szCs w:val="20"/>
        </w:rPr>
        <w:t xml:space="preserve">8.2  United States — Sector-Specific Regulation</w:t>
      </w:r>
    </w:p>
    <w:p>
      <w:pPr>
        <w:spacing w:before="0" w:after="50"/>
      </w:pPr>
      <w:r>
        <w:rPr>
          <w:rFonts w:ascii="Arial" w:cs="Arial" w:eastAsia="Arial" w:hAnsi="Arial"/>
          <w:b w:val="false"/>
          <w:bCs w:val="false"/>
          <w:i w:val="false"/>
          <w:iCs w:val="false"/>
          <w:color w:val="000000"/>
          <w:sz w:val="18"/>
          <w:szCs w:val="18"/>
        </w:rPr>
        <w:t xml:space="preserve">The US regulatory environment is fragmented — sector regulators have issued AI guidance within their existing authority rather than a unified federal AI law. The most material requirements by sector are: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Financial Services (Fintech): CFPB Circular 2022-03 requires that adverse action notices for AI credit models identify specific principal reasons, not just reference a model score. OCC and Federal Reserve SR 11-7 guidance applies model risk management requirements to AI models. FinCEN has issued guidance on AI in AML/BSA programs. State-level AI credit scoring laws are emerging in multiple jurisdictions.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Technology / FAANG: FTC Act Section 5 unfair or deceptive practices authority applies to AI products that cause consumer harm. SEC disclosure requirements apply to material AI risks and AI washing. Multiple states (Colorado, Illinois, California) have enacted or proposed AI-specific laws covering hiring AI, facial recognition, and automated decision-making.</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All Sectors: Executive Order 14110 on AI Safety (October 2023) established reporting requirements for frontier AI models and directed agencies to develop sector-specific AI guidance. While partially rescinded, it established the regulatory direction of travel.</w:t>
      </w:r>
    </w:p>
    <w:p>
      <w:pPr>
        <w:spacing w:before="80" w:after="30"/>
      </w:pPr>
      <w:r>
        <w:rPr>
          <w:rFonts w:ascii="Arial" w:cs="Arial" w:eastAsia="Arial" w:hAnsi="Arial"/>
          <w:b/>
          <w:bCs/>
          <w:i w:val="false"/>
          <w:iCs w:val="false"/>
          <w:color w:val="2E75B6"/>
          <w:sz w:val="20"/>
          <w:szCs w:val="20"/>
        </w:rPr>
        <w:t xml:space="preserve">8.3  Regulatory Cross-Walk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820"/>
      </w:tblGrid>
      <w:tr>
        <w:tc>
          <w:tcPr>
            <w:tcW w:type="dxa" w:w="2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Governance Requirement</w:t>
            </w:r>
          </w:p>
        </w:tc>
        <w:tc>
          <w:tcPr>
            <w:tcW w:type="dxa" w:w="17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NIST AI RMF</w:t>
            </w:r>
          </w:p>
        </w:tc>
        <w:tc>
          <w:tcPr>
            <w:tcW w:type="dxa" w:w="17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EU AI Act</w:t>
            </w:r>
          </w:p>
        </w:tc>
        <w:tc>
          <w:tcPr>
            <w:tcW w:type="dxa" w:w="17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ISO 42001</w:t>
            </w:r>
          </w:p>
        </w:tc>
        <w:tc>
          <w:tcPr>
            <w:tcW w:type="dxa" w:w="18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SR 11-7 (Fintech)</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AI System Inventory / Registration</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GV.OC-02</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Art.49 (GPAI registry)</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Clause 6.1</w:t>
            </w:r>
          </w:p>
        </w:tc>
        <w:tc>
          <w:tcPr>
            <w:tcW w:type="dxa" w:w="18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Model Inventory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Risk Tiering / Classification</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Map 1.5</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Annex III / Art.6</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Clause 8.2</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Inherent Risk Rating</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Bias and Fairness Testing</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MS.AN-02</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Art.10 (data governance)</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Clause 8.4</w:t>
            </w:r>
          </w:p>
        </w:tc>
        <w:tc>
          <w:tcPr>
            <w:tcW w:type="dxa" w:w="18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Validation (disparate impact)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Adversarial / Red-Team Testing</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MS.RM-02</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Art.55 (GPAI systemic risk)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Clause 8.5</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Sensitivity/stress testing</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Explainability / Adverse Action</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MS.AN-03</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Art.13 (transparency)</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Clause 8.4</w:t>
            </w:r>
          </w:p>
        </w:tc>
        <w:tc>
          <w:tcPr>
            <w:tcW w:type="dxa" w:w="18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Model documentation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Audit Trail / Logging</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MS.DM-01</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Art.12 (record-keeping)</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Clause 9.1</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Documentation standards</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AI Incident Response</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MG.RR-01</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Art.62 (serious incident reporting)</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Clause 10.2</w:t>
            </w:r>
          </w:p>
        </w:tc>
        <w:tc>
          <w:tcPr>
            <w:tcW w:type="dxa" w:w="18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Model risk events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Third-Party / Vendor AI Risk</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GV.SC-06</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Art.25 (deployer obligations)</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Clause 8.6</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Vendor model validation</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Human Oversight Measures</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GV.RR-04</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Art.14 (high-risk AI)</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Clause 8.4</w:t>
            </w:r>
          </w:p>
        </w:tc>
        <w:tc>
          <w:tcPr>
            <w:tcW w:type="dxa" w:w="18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Expert judgment override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Board / Senior Mgmt Reporting</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GV.OV-03</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Art.9 (risk management)</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Clause 5.1</w:t>
            </w:r>
          </w:p>
        </w:tc>
        <w:tc>
          <w:tcPr>
            <w:tcW w:type="dxa" w:w="1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Governance escalation</w:t>
            </w:r>
          </w:p>
        </w:tc>
      </w:tr>
    </w:tbl>
    <w:p>
      <w:pPr>
        <w:spacing w:before="20" w:after="50"/>
      </w:pPr>
    </w:p>
    <w:p>
      <w:r>
        <w:br w:type="page"/>
      </w:r>
    </w:p>
    <w:p>
      <w:pPr>
        <w:pBdr>
          <w:bottom w:val="single" w:color="1F3864" w:sz="10" w:space="2"/>
        </w:pBdr>
        <w:spacing w:before="120" w:after="40"/>
      </w:pPr>
      <w:r>
        <w:rPr>
          <w:rFonts w:ascii="Arial" w:cs="Arial" w:eastAsia="Arial" w:hAnsi="Arial"/>
          <w:b/>
          <w:bCs/>
          <w:i w:val="false"/>
          <w:iCs w:val="false"/>
          <w:color w:val="1F3864"/>
          <w:sz w:val="24"/>
          <w:szCs w:val="24"/>
        </w:rPr>
        <w:t xml:space="preserve">9. Sector-Specific Implementation Guidance</w:t>
      </w:r>
    </w:p>
    <w:p>
      <w:pPr>
        <w:spacing w:before="0" w:after="50"/>
      </w:pPr>
      <w:r>
        <w:rPr>
          <w:rFonts w:ascii="Arial" w:cs="Arial" w:eastAsia="Arial" w:hAnsi="Arial"/>
          <w:b w:val="false"/>
          <w:bCs w:val="false"/>
          <w:i w:val="false"/>
          <w:iCs w:val="false"/>
          <w:color w:val="000000"/>
          <w:sz w:val="18"/>
          <w:szCs w:val="18"/>
        </w:rPr>
        <w:t xml:space="preserve">The four NIST AI RMF functions apply universally, but their implementation priorities differ materially by sector. This section provides sector-specific guidance for each target organization type, prioritized by the risk profile and regulatory obligations identified in the preceding analysis.</w:t>
      </w:r>
    </w:p>
    <w:p>
      <w:pPr>
        <w:spacing w:before="80" w:after="30"/>
      </w:pPr>
      <w:r>
        <w:rPr>
          <w:rFonts w:ascii="Arial" w:cs="Arial" w:eastAsia="Arial" w:hAnsi="Arial"/>
          <w:b/>
          <w:bCs/>
          <w:i w:val="false"/>
          <w:iCs w:val="false"/>
          <w:color w:val="2E75B6"/>
          <w:sz w:val="20"/>
          <w:szCs w:val="20"/>
        </w:rPr>
        <w:t xml:space="preserve">9.1  Technology / FAANG</w:t>
      </w:r>
    </w:p>
    <w:p>
      <w:pPr>
        <w:spacing w:before="0" w:after="50"/>
      </w:pPr>
      <w:r>
        <w:rPr>
          <w:rFonts w:ascii="Arial" w:cs="Arial" w:eastAsia="Arial" w:hAnsi="Arial"/>
          <w:b w:val="false"/>
          <w:bCs w:val="false"/>
          <w:i w:val="false"/>
          <w:iCs w:val="false"/>
          <w:color w:val="000000"/>
          <w:sz w:val="18"/>
          <w:szCs w:val="18"/>
        </w:rPr>
        <w:t xml:space="preserve">Priority governance investments for technology companies deploying LLMs and AI products at scale: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Red-Team Program (highest priority): Establish a dedicated AI red-team function with authority and budget to conduct adversarial testing before every major model release. Red-team scope must include prompt injection, jailbreaking, PII extraction, harmful content elicitation, and model extraction. Results must gate release decisions — not just inform them.</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EU AI Act GPAI Compliance: Any frontier LLM deployed to EU users likely triggers GPAI obligations. Immediate priority: determine whether the model exceeds the systemic risk threshold, produce required technical documentation and training data summaries, and establish incident reporting procedures for serious incidents to the EU AI Office.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Privacy-Preserving Training: Implement differential privacy techniques or strict data minimization to reduce PII memorization risk in training. Conduct regular membership inference audits to quantify leakage risk.</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Output Filtering and Grounding: Deploy robust output filtering for harmful content. For factual use cases, implement RAG (Retrieval-Augmented Generation) to ground outputs in verified sources — reducing hallucination risk and providing an audit trail for output provenance.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AI Supply Chain Risk: Document all third-party model dependencies, API providers, and fine-tuning vendors. Establish notification rights in vendor contracts if model behavior changes materially. Assess substitutability — can you replace a critical API provider if they change terms, raise prices, or degrade model quality?</w:t>
      </w:r>
    </w:p>
    <w:p>
      <w:pPr>
        <w:spacing w:before="80" w:after="30"/>
      </w:pPr>
      <w:r>
        <w:rPr>
          <w:rFonts w:ascii="Arial" w:cs="Arial" w:eastAsia="Arial" w:hAnsi="Arial"/>
          <w:b/>
          <w:bCs/>
          <w:i w:val="false"/>
          <w:iCs w:val="false"/>
          <w:color w:val="2E75B6"/>
          <w:sz w:val="20"/>
          <w:szCs w:val="20"/>
        </w:rPr>
        <w:t xml:space="preserve">9.2  Fintech</w:t>
      </w:r>
    </w:p>
    <w:p>
      <w:pPr>
        <w:spacing w:before="0" w:after="50"/>
      </w:pPr>
      <w:r>
        <w:rPr>
          <w:rFonts w:ascii="Arial" w:cs="Arial" w:eastAsia="Arial" w:hAnsi="Arial"/>
          <w:b w:val="false"/>
          <w:bCs w:val="false"/>
          <w:i w:val="false"/>
          <w:iCs w:val="false"/>
          <w:color w:val="000000"/>
          <w:sz w:val="18"/>
          <w:szCs w:val="18"/>
        </w:rPr>
        <w:t xml:space="preserve">Priority governance investments for fintech firms applying AI to regulated financial decisions: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Model Risk Management Integration (highest priority): Map AI governance framework to existing SR 11-7 model risk management program. Every AI model used in credit, fraud, AML, or customer risk decisions must go through the MRM lifecycle — conceptual soundness review, independent validation, ongoing monitoring, and annual review.</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Fair Lending AI Audit: For any AI model influencing credit decisions, conduct a fair lending AI audit covering demographic parity analysis, proxy variable assessment, adverse action reason code validation, and ECOA adverse action notice compliance. This should be treated as a first-line risk management activity, not an audit function.</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Explainability Architecture: Implement model explainability at the individual decision level — not just aggregate feature importance. LIME, SHAP, or equivalent local explanability methods are required to support CFPB-compliant adverse action notices. Document the explanation methodology in model documentation for examiner review.</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Adversarial Fraud Model Testing: Engage a red-team to craft adversarial transaction patterns designed to evade fraud detection. This mirrors how sophisticated fraud actors operate in practice. Quantify evasion success rates and use findings to improve model robustness.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Vendor Model Due Diligence: For third-party credit scoring, fraud, or AML models, SR 11-7 obligates the firm to conduct its own validation — the vendor's internal validation is not sufficient. Establish contractual audit rights, request model documentation, and conduct independent fair lending testing on vendor model outputs.</w:t>
      </w:r>
    </w:p>
    <w:p>
      <w:pPr>
        <w:spacing w:before="80" w:after="30"/>
      </w:pPr>
      <w:r>
        <w:rPr>
          <w:rFonts w:ascii="Arial" w:cs="Arial" w:eastAsia="Arial" w:hAnsi="Arial"/>
          <w:b/>
          <w:bCs/>
          <w:i w:val="false"/>
          <w:iCs w:val="false"/>
          <w:color w:val="2E75B6"/>
          <w:sz w:val="20"/>
          <w:szCs w:val="20"/>
        </w:rPr>
        <w:t xml:space="preserve">9.3  Regulated Enterprise (Broadly)</w:t>
      </w:r>
    </w:p>
    <w:p>
      <w:pPr>
        <w:spacing w:before="0" w:after="50"/>
      </w:pPr>
      <w:r>
        <w:rPr>
          <w:rFonts w:ascii="Arial" w:cs="Arial" w:eastAsia="Arial" w:hAnsi="Arial"/>
          <w:b w:val="false"/>
          <w:bCs w:val="false"/>
          <w:i w:val="false"/>
          <w:iCs w:val="false"/>
          <w:color w:val="000000"/>
          <w:sz w:val="18"/>
          <w:szCs w:val="18"/>
        </w:rPr>
        <w:t xml:space="preserve">Priority governance investments for regulated enterprises deploying AI across business functions: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AI Inventory and EU AI Act Classification (highest priority): If the organization operates in or sells to EU markets, an AI system inventory and EU AI Act classification exercise is legally required and time-sensitive. Engage Legal and Compliance to lead classification. For any systems in Annex III categories, begin conformity assessment preparation.</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AI Policy and Governance Structure: Most regulated enterprises lack an AI-specific governance policy. Start here — a board-approved AI Risk Policy with prohibited use categories, risk tiering, and an AI Governance Committee charter. This is the prerequisite for every other governance activity.</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HR and Employment AI Risk: AI used in hiring, performance evaluation, or workforce planning is among the highest-risk use cases in the EU AI Act. If such systems are in use, conduct an immediate bias audit and human oversight assessment. Several US states (Illinois, Maryland, New York City) have enacted disclosure requirements for AI in hiring.</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Cybersecurity AI (UEBA, SIEM ML): AI used in security operations carries lower regulatory risk but higher operational risk if failures create security blind spots. Governance must ensure these systems are in the AI inventory, have defined performance metrics, and have fallback procedures when AI components fail or degrade.</w:t>
      </w:r>
    </w:p>
    <w:p>
      <w:pPr>
        <w:pBdr>
          <w:bottom w:val="single" w:color="1F3864" w:sz="10" w:space="2"/>
        </w:pBdr>
        <w:spacing w:before="120" w:after="40"/>
      </w:pPr>
      <w:r>
        <w:rPr>
          <w:rFonts w:ascii="Arial" w:cs="Arial" w:eastAsia="Arial" w:hAnsi="Arial"/>
          <w:b/>
          <w:bCs/>
          <w:i w:val="false"/>
          <w:iCs w:val="false"/>
          <w:color w:val="1F3864"/>
          <w:sz w:val="24"/>
          <w:szCs w:val="24"/>
        </w:rPr>
        <w:t xml:space="preserve">10. Implementation Roadmap</w:t>
      </w:r>
    </w:p>
    <w:p>
      <w:pPr>
        <w:spacing w:before="0" w:after="50"/>
      </w:pPr>
      <w:r>
        <w:rPr>
          <w:rFonts w:ascii="Arial" w:cs="Arial" w:eastAsia="Arial" w:hAnsi="Arial"/>
          <w:b w:val="false"/>
          <w:bCs w:val="false"/>
          <w:i w:val="false"/>
          <w:iCs w:val="false"/>
          <w:color w:val="000000"/>
          <w:sz w:val="18"/>
          <w:szCs w:val="18"/>
        </w:rPr>
        <w:t xml:space="preserve">The following phased roadmap translates the analysis above into an actionable 12-month implementation program. Priorities are calibrated for an organization that is beginning to formalize AI governance — most large enterprises and fintechs are at this stage. Organizations that have completed foundational governance should accelerate to Phase 2 and 3 activities.</w:t>
      </w:r>
    </w:p>
    <w:p>
      <w:pPr>
        <w:spacing w:before="80" w:after="30"/>
      </w:pPr>
      <w:r>
        <w:rPr>
          <w:rFonts w:ascii="Arial" w:cs="Arial" w:eastAsia="Arial" w:hAnsi="Arial"/>
          <w:b/>
          <w:bCs/>
          <w:i w:val="false"/>
          <w:iCs w:val="false"/>
          <w:color w:val="2E75B6"/>
          <w:sz w:val="20"/>
          <w:szCs w:val="20"/>
        </w:rPr>
        <w:t xml:space="preserve">Phase 1 — Foundation (Months 1–3)</w:t>
      </w:r>
    </w:p>
    <w:p>
      <w:pPr>
        <w:spacing w:before="0" w:after="40"/>
      </w:pPr>
      <w:r>
        <w:rPr>
          <w:rFonts w:ascii="Arial" w:cs="Arial" w:eastAsia="Arial" w:hAnsi="Arial"/>
          <w:b w:val="false"/>
          <w:bCs w:val="false"/>
          <w:i/>
          <w:iCs/>
          <w:color w:val="595959"/>
          <w:sz w:val="17"/>
          <w:szCs w:val="17"/>
        </w:rPr>
        <w:t xml:space="preserve">Objective: Establish the governance architecture that all subsequent activities depend on.</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Complete AI system inventory — catalog every AI model, API dependency, and automated decision system across the organization. Assign risk tier and model owner to each system. This is the non-negotiable first step.</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Draft and obtain board approval for AI Risk Policy — including prohibited use categories, risk tiering definitions, and AI Governance Committee charter.</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Establish AI Governance Committee — recruit cross-functional membership (Risk/GRC, Security, Legal, CDO, Compliance, AI/ML Engineering). Agree cadence, escalation authority, and reporting structure.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Conduct EU AI Act classification exercise for all AI systems deployed in or to EU markets — identify high-risk systems, begin conformity assessment preparation, document GPAI applicability.</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Implement AI model registration process — no new AI systems deployed without registration and tier assignment. Gate deployment pipeline on governance completion.</w:t>
      </w:r>
    </w:p>
    <w:p>
      <w:pPr>
        <w:spacing w:before="80" w:after="30"/>
      </w:pPr>
      <w:r>
        <w:rPr>
          <w:rFonts w:ascii="Arial" w:cs="Arial" w:eastAsia="Arial" w:hAnsi="Arial"/>
          <w:b/>
          <w:bCs/>
          <w:i w:val="false"/>
          <w:iCs w:val="false"/>
          <w:color w:val="2E75B6"/>
          <w:sz w:val="20"/>
          <w:szCs w:val="20"/>
        </w:rPr>
        <w:t xml:space="preserve">Phase 2 — Control Implementation (Months 3–6)</w:t>
      </w:r>
    </w:p>
    <w:p>
      <w:pPr>
        <w:spacing w:before="0" w:after="40"/>
      </w:pPr>
      <w:r>
        <w:rPr>
          <w:rFonts w:ascii="Arial" w:cs="Arial" w:eastAsia="Arial" w:hAnsi="Arial"/>
          <w:b w:val="false"/>
          <w:bCs w:val="false"/>
          <w:i/>
          <w:iCs/>
          <w:color w:val="595959"/>
          <w:sz w:val="17"/>
          <w:szCs w:val="17"/>
        </w:rPr>
        <w:t xml:space="preserve">Objective: Deploy the technical and operational controls that make governance measurable.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Implement bias and fairness testing for all Tier 1 and Tier 2 models — deploy minimum two fairness metrics per model, define thresholds, establish escalation triggers.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Deploy continuous performance monitoring — dashboards, drift detection, automated alerting for Tier 1 systems. Target: all Tier 1 systems have live monitoring within 90 days.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Conduct red-team adversarial testing for all customer-facing AI systems — LLM prompt injection, fraud model evasion testing, membership inference assessment.</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Develop AI incident response playbooks for the four primary incident types (Section 7.2) — integrate with existing CSIRT process, assign AI incident response roles, conduct tabletop exercise.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Establish third-party AI risk due diligence process — require AI model cards and data processing agreements for all new AI API vendors; begin retroactive assessment of existing critical vendors.</w:t>
      </w:r>
    </w:p>
    <w:p>
      <w:pPr>
        <w:spacing w:before="80" w:after="30"/>
      </w:pPr>
      <w:r>
        <w:rPr>
          <w:rFonts w:ascii="Arial" w:cs="Arial" w:eastAsia="Arial" w:hAnsi="Arial"/>
          <w:b/>
          <w:bCs/>
          <w:i w:val="false"/>
          <w:iCs w:val="false"/>
          <w:color w:val="2E75B6"/>
          <w:sz w:val="20"/>
          <w:szCs w:val="20"/>
        </w:rPr>
        <w:t xml:space="preserve">Phase 3 — Maturity and Audit Readiness (Months 6–12)</w:t>
      </w:r>
    </w:p>
    <w:p>
      <w:pPr>
        <w:spacing w:before="0" w:after="40"/>
      </w:pPr>
      <w:r>
        <w:rPr>
          <w:rFonts w:ascii="Arial" w:cs="Arial" w:eastAsia="Arial" w:hAnsi="Arial"/>
          <w:b w:val="false"/>
          <w:bCs w:val="false"/>
          <w:i/>
          <w:iCs/>
          <w:color w:val="595959"/>
          <w:sz w:val="17"/>
          <w:szCs w:val="17"/>
        </w:rPr>
        <w:t xml:space="preserve">Objective: Achieve audit-ready AI governance program and demonstrate regulatory compliance.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Complete EU AI Act conformity assessments for all identified high-risk AI systems — produce required technical documentation, implement human oversight measures, register in EU AI Act database.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Conduct independent model validation for all Tier 1 systems — validation team must be independent of development team. Document findings, remediation, and sign-off.</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Implement immutable audit trail logging for all Tier 1 automated decisions — model version, input hash, output, decision rationale. Retention minimum 3 years.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Produce first AI Governance Annual Report for board and audit committee — AI system inventory, risk profile by tier, incident summary, control effectiveness metrics, regulatory compliance status, and program maturity assessment.</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Calibrate governance program against NIST AI RMF Playbook maturity tiers — document current maturity level, target maturity level, and specific investments required to close the gap.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520"/>
      </w:tblGrid>
      <w:tr>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Initiative</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Phase</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Primary Owner</w:t>
            </w:r>
          </w:p>
        </w:tc>
        <w:tc>
          <w:tcPr>
            <w:tcW w:type="dxa" w:w="25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Success Metric</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AI System Inventory and Risk Tiering</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Phase 1</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AI Governance Lead</w:t>
            </w:r>
          </w:p>
        </w:tc>
        <w:tc>
          <w:tcPr>
            <w:tcW w:type="dxa" w:w="2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100% of AI systems registered and tiered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AI Risk Policy — Board Approval</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Phase 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CISO + Legal</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Policy approved by board</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EU AI Act Classification Exercise</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Phase 1</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Legal + Compliance</w:t>
            </w:r>
          </w:p>
        </w:tc>
        <w:tc>
          <w:tcPr>
            <w:tcW w:type="dxa" w:w="2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All systems classified; high-risk identified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Bias Testing Deployment (Tier 1/2)</w:t>
            </w:r>
          </w:p>
        </w:tc>
        <w:tc>
          <w:tcPr>
            <w:tcW w:type="dxa" w:w="2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Phase 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CDO + Model Owners</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Fairness metrics live for all Tier 1/2 models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Performance Monitoring Infrastructure</w:t>
            </w:r>
          </w:p>
        </w:tc>
        <w:tc>
          <w:tcPr>
            <w:tcW w:type="dxa" w:w="2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Phase 2</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AI Engineering + GRC</w:t>
            </w:r>
          </w:p>
        </w:tc>
        <w:tc>
          <w:tcPr>
            <w:tcW w:type="dxa" w:w="2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All Tier 1 systems have live dashboards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Red-Team Adversarial Testing</w:t>
            </w:r>
          </w:p>
        </w:tc>
        <w:tc>
          <w:tcPr>
            <w:tcW w:type="dxa" w:w="2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Phase 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CISO + AI Security</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All customer-facing AI red-teamed annually</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AI Incident Response Playbooks</w:t>
            </w:r>
          </w:p>
        </w:tc>
        <w:tc>
          <w:tcPr>
            <w:tcW w:type="dxa" w:w="2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Phase 2</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CISO + Legal</w:t>
            </w:r>
          </w:p>
        </w:tc>
        <w:tc>
          <w:tcPr>
            <w:tcW w:type="dxa" w:w="2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Playbooks approved; tabletop completed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EU AI Act Conformity Assessments</w:t>
            </w:r>
          </w:p>
        </w:tc>
        <w:tc>
          <w:tcPr>
            <w:tcW w:type="dxa" w:w="20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Phase 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Legal + AI Governance</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All high-risk systems assessed and documented</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Independent Model Validation (Tier 1)</w:t>
            </w:r>
          </w:p>
        </w:tc>
        <w:tc>
          <w:tcPr>
            <w:tcW w:type="dxa" w:w="20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Phase 3</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Model Risk / Internal Audit</w:t>
            </w:r>
          </w:p>
        </w:tc>
        <w:tc>
          <w:tcPr>
            <w:tcW w:type="dxa" w:w="25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All Tier 1 models independently validated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F3864"/>
                <w:sz w:val="16"/>
                <w:szCs w:val="16"/>
              </w:rPr>
              <w:t xml:space="preserve">AI Governance Annual Report</w:t>
            </w:r>
          </w:p>
        </w:tc>
        <w:tc>
          <w:tcPr>
            <w:tcW w:type="dxa" w:w="20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Phase 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AI Governance Lead</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6"/>
                <w:szCs w:val="16"/>
              </w:rPr>
              <w:t xml:space="preserve">Board receives annual AI risk report</w:t>
            </w:r>
          </w:p>
        </w:tc>
      </w:tr>
    </w:tbl>
    <w:p>
      <w:pPr>
        <w:spacing w:before="20" w:after="50"/>
      </w:pPr>
    </w:p>
    <w:p>
      <w:r>
        <w:br w:type="page"/>
      </w:r>
    </w:p>
    <w:p>
      <w:pPr>
        <w:pBdr>
          <w:bottom w:val="single" w:color="1F3864" w:sz="10" w:space="2"/>
        </w:pBdr>
        <w:spacing w:before="120" w:after="40"/>
      </w:pPr>
      <w:r>
        <w:rPr>
          <w:rFonts w:ascii="Arial" w:cs="Arial" w:eastAsia="Arial" w:hAnsi="Arial"/>
          <w:b/>
          <w:bCs/>
          <w:i w:val="false"/>
          <w:iCs w:val="false"/>
          <w:color w:val="1F3864"/>
          <w:sz w:val="24"/>
          <w:szCs w:val="24"/>
        </w:rPr>
        <w:t xml:space="preserve">11. Conclusion</w:t>
      </w:r>
    </w:p>
    <w:p>
      <w:pPr>
        <w:spacing w:before="0" w:after="50"/>
      </w:pPr>
      <w:r>
        <w:rPr>
          <w:rFonts w:ascii="Arial" w:cs="Arial" w:eastAsia="Arial" w:hAnsi="Arial"/>
          <w:b w:val="false"/>
          <w:bCs w:val="false"/>
          <w:i w:val="false"/>
          <w:iCs w:val="false"/>
          <w:color w:val="000000"/>
          <w:sz w:val="18"/>
          <w:szCs w:val="18"/>
        </w:rPr>
        <w:t xml:space="preserve">The NIST AI RMF provides a practical, adaptable, and credible governance architecture for organizations deploying AI across any industry or use case. Its four functions — Govern, Map, Measure, and Manage — map naturally to established enterprise risk management disciplines, making it accessible to risk professionals without deep AI technical expertise while remaining rigorous enough to satisfy regulatory scrutiny.</w:t>
      </w:r>
    </w:p>
    <w:p>
      <w:pPr>
        <w:spacing w:before="0" w:after="50"/>
      </w:pPr>
      <w:r>
        <w:rPr>
          <w:rFonts w:ascii="Arial" w:cs="Arial" w:eastAsia="Arial" w:hAnsi="Arial"/>
          <w:b w:val="false"/>
          <w:bCs w:val="false"/>
          <w:i w:val="false"/>
          <w:iCs w:val="false"/>
          <w:color w:val="000000"/>
          <w:sz w:val="18"/>
          <w:szCs w:val="18"/>
        </w:rPr>
        <w:t xml:space="preserve">This analysis has demonstrated that the framework's implementation looks materially different across the three target sectors. FAANG-scale technology companies face the most acute adversarial security risks and the most complex regulatory obligations under the EU AI Act's GPAI provisions. Fintech firms face the most developed and consequential regulatory obligations — SR 11-7 model risk management, ECOA fair lending requirements, and CFPB adverse action explainability standards apply simultaneously and create an interlocking compliance surface that most firms have not fully mapped. Regulated enterprises broadly face a time-sensitive EU AI Act compliance challenge that has not received sufficient board-level attention.</w:t>
      </w:r>
    </w:p>
    <w:p>
      <w:pPr>
        <w:spacing w:before="0" w:after="50"/>
      </w:pPr>
      <w:r>
        <w:rPr>
          <w:rFonts w:ascii="Arial" w:cs="Arial" w:eastAsia="Arial" w:hAnsi="Arial"/>
          <w:b w:val="false"/>
          <w:bCs w:val="false"/>
          <w:i w:val="false"/>
          <w:iCs w:val="false"/>
          <w:color w:val="000000"/>
          <w:sz w:val="18"/>
          <w:szCs w:val="18"/>
        </w:rPr>
        <w:t xml:space="preserve">Across all three sectors, this analysis identifies four consistent governance gaps that represent the highest-priority implementation opportunities:</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AI system inventories are incomplete or nonexistent — organizations cannot govern what they cannot see.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Bias and fairness testing is not systematically deployed for production models — leaving organizations exposed to the highest-consequence AI failure mode.</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Adversarial security testing for AI systems is not embedded in the software development lifecycle — red-teaming is conducted ad hoc if at all.</w:t>
      </w:r>
    </w:p>
    <w:p>
      <w:pPr>
        <w:pStyle w:val="ListParagraph"/>
        <w:numPr>
          <w:ilvl w:val="0"/>
          <w:numId w:val="2"/>
        </w:numPr>
        <w:spacing w:before="0" w:after="50"/>
      </w:pPr>
      <w:r>
        <w:rPr>
          <w:rFonts w:ascii="Arial" w:cs="Arial" w:eastAsia="Arial" w:hAnsi="Arial"/>
          <w:b w:val="false"/>
          <w:bCs w:val="false"/>
          <w:i w:val="false"/>
          <w:iCs w:val="false"/>
          <w:color w:val="000000"/>
          <w:sz w:val="18"/>
          <w:szCs w:val="18"/>
        </w:rPr>
        <w:t xml:space="preserve">Third-party AI risk is not governed with the same rigor as internally built systems — creating blind spots in organizations that are increasingly dependent on external AI capabilities.</w:t>
      </w:r>
    </w:p>
    <w:p>
      <w:pPr>
        <w:spacing w:before="0" w:after="80"/>
      </w:pPr>
      <w:r>
        <w:rPr>
          <w:rFonts w:ascii="Arial" w:cs="Arial" w:eastAsia="Arial" w:hAnsi="Arial"/>
          <w:b w:val="false"/>
          <w:bCs w:val="false"/>
          <w:i w:val="false"/>
          <w:iCs w:val="false"/>
          <w:color w:val="000000"/>
          <w:sz w:val="18"/>
          <w:szCs w:val="18"/>
        </w:rPr>
        <w:t xml:space="preserve">The organizations that address these gaps proactively — before regulatory enforcement and before high-profile model failures — will have a durable competitive advantage: the ability to deploy AI faster, with greater confidence, and with lower remediation costs than competitors. AI governance is not a constraint on AI deployment. It is the architecture that makes trustworthy AI deployment possible at scale.</w:t>
      </w:r>
    </w:p>
    <w:p>
      <w:pPr>
        <w:pBdr>
          <w:left w:val="single" w:color="2E75B6" w:sz="18" w:space="4"/>
        </w:pBdr>
        <w:shd w:fill="D6E4F0" w:val="clear"/>
        <w:spacing w:before="60" w:after="60"/>
        <w:ind w:left="200"/>
      </w:pPr>
      <w:r>
        <w:rPr>
          <w:rFonts w:ascii="Arial" w:cs="Arial" w:eastAsia="Arial" w:hAnsi="Arial"/>
          <w:b w:val="false"/>
          <w:bCs w:val="false"/>
          <w:i/>
          <w:iCs/>
          <w:color w:val="2E75B6"/>
          <w:sz w:val="18"/>
          <w:szCs w:val="18"/>
        </w:rPr>
        <w:t xml:space="preserve">This analysis was produced as an academic portfolio deliverable demonstrating applied knowledge of the NIST AI RMF, EU AI Act, and sector-specific AI governance requirements across technology, financial services, and regulated industries. Frameworks and regulatory references current as of Spring 2025.</w:t>
      </w:r>
    </w:p>
    <w:p>
      <w:pPr>
        <w:pBdr>
          <w:top w:val="single" w:color="1F3864" w:sz="4" w:space="2"/>
        </w:pBdr>
        <w:spacing w:before="60" w:after="30"/>
      </w:pPr>
      <w:r>
        <w:rPr>
          <w:rFonts w:ascii="Arial" w:cs="Arial" w:eastAsia="Arial" w:hAnsi="Arial"/>
          <w:b w:val="false"/>
          <w:bCs w:val="false"/>
          <w:i/>
          <w:iCs/>
          <w:color w:val="595959"/>
          <w:sz w:val="16"/>
          <w:szCs w:val="16"/>
        </w:rPr>
        <w:t xml:space="preserve">Prepared by: Mihir Trivedi  |  MS Cybersecurity, Northeastern University  |  Spring 2025</w:t>
      </w:r>
    </w:p>
    <w:p>
      <w:pPr>
        <w:spacing w:before="0" w:after="40"/>
      </w:pPr>
      <w:r>
        <w:rPr>
          <w:rFonts w:ascii="Arial" w:cs="Arial" w:eastAsia="Arial" w:hAnsi="Arial"/>
          <w:b w:val="false"/>
          <w:bCs w:val="false"/>
          <w:i/>
          <w:iCs/>
          <w:color w:val="595959"/>
          <w:sz w:val="16"/>
          <w:szCs w:val="16"/>
        </w:rPr>
        <w:t xml:space="preserve">ISC2 Certified in Cybersecurity (CC)  |  CompTIA Security+  |  CISA Candidate  |  trivedi.mih@northeastern.edu</w:t>
      </w:r>
    </w:p>
    <w:sectPr>
      <w:headerReference w:type="default" r:id="rId6"/>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jc w:val="center"/>
    </w:pPr>
    <w:r>
      <w:rPr>
        <w:rFonts w:ascii="Arial" w:cs="Arial" w:eastAsia="Arial" w:hAnsi="Arial"/>
        <w:b w:val="false"/>
        <w:bCs w:val="false"/>
        <w:i w:val="false"/>
        <w:iCs w:val="false"/>
        <w:color w:val="595959"/>
        <w:sz w:val="15"/>
        <w:szCs w:val="15"/>
      </w:rPr>
      <w:t xml:space="preserve">Confidential — Academic Portfolio   |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pPr>
    <w:r>
      <w:rPr>
        <w:rFonts w:ascii="Arial" w:cs="Arial" w:eastAsia="Arial" w:hAnsi="Arial"/>
        <w:b/>
        <w:bCs/>
        <w:i w:val="false"/>
        <w:iCs w:val="false"/>
        <w:color w:val="1F3864"/>
        <w:sz w:val="17"/>
        <w:szCs w:val="17"/>
      </w:rPr>
      <w:t xml:space="preserve">AI Security Governance Framework Analysis</w:t>
    </w:r>
    <w:r>
      <w:rPr>
        <w:rFonts w:ascii="Arial" w:cs="Arial" w:eastAsia="Arial" w:hAnsi="Arial"/>
        <w:b w:val="false"/>
        <w:bCs w:val="false"/>
        <w:i w:val="false"/>
        <w:iCs w:val="false"/>
        <w:color w:val="595959"/>
        <w:sz w:val="16"/>
        <w:szCs w:val="16"/>
      </w:rPr>
      <w:t xml:space="preserve">   |   Mihir Trivedi   |   Northeastern University   |   Spring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2026-03-15T20:51:53.357Z</dcterms:created>
  <dcterms:modified xsi:type="dcterms:W3CDTF">2026-03-15T20:51:53.358Z</dcterms:modified>
</cp:coreProperties>
</file>

<file path=docProps/custom.xml><?xml version="1.0" encoding="utf-8"?>
<Properties xmlns="http://schemas.openxmlformats.org/officeDocument/2006/custom-properties" xmlns:vt="http://schemas.openxmlformats.org/officeDocument/2006/docPropsVTypes"/>
</file>