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spacing w:before="0" w:after="160"/>
        <w:jc w:val="center"/>
      </w:pPr>
      <w:r>
        <w:rPr>
          <w:rFonts w:ascii="Arial" w:cs="Arial" w:eastAsia="Arial" w:hAnsi="Arial"/>
          <w:b/>
          <w:bCs/>
          <w:color w:val="1F3864"/>
          <w:sz w:val="52"/>
          <w:szCs w:val="52"/>
        </w:rPr>
        <w:t xml:space="preserve">MT CORPORATION</w:t>
      </w:r>
    </w:p>
    <w:p>
      <w:pPr>
        <w:spacing w:before="0" w:after="80"/>
        <w:jc w:val="center"/>
      </w:pPr>
      <w:r>
        <w:rPr>
          <w:rFonts w:ascii="Arial" w:cs="Arial" w:eastAsia="Arial" w:hAnsi="Arial"/>
          <w:color w:val="2E5FA3"/>
          <w:sz w:val="30"/>
          <w:szCs w:val="30"/>
        </w:rPr>
        <w:t xml:space="preserve">IT General Controls Audit — Fiscal Year 2024</w:t>
      </w:r>
    </w:p>
    <w:p>
      <w:pPr>
        <w:spacing w:before="0" w:after="600"/>
        <w:jc w:val="center"/>
      </w:pPr>
      <w:r>
        <w:rPr>
          <w:rFonts w:ascii="Arial" w:cs="Arial" w:eastAsia="Arial" w:hAnsi="Arial"/>
          <w:b/>
          <w:bCs/>
          <w:color w:val="C00000"/>
          <w:sz w:val="36"/>
          <w:szCs w:val="36"/>
        </w:rPr>
        <w:t xml:space="preserve">CONTROL DEFICIENCY MEMORANDUM</w:t>
      </w:r>
    </w:p>
    <w:p>
      <w:pPr>
        <w:pBdr>
          <w:bottom w:val="single" w:color="1F3864" w:sz="12"/>
        </w:pBdr>
        <w:spacing w:before="100" w:after="100"/>
      </w:pP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Prepared For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Management of MT Corporation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Mihir Trivedi, Associate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Reviewed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John Doe, Senior Associate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Engagement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SOX Section 404 — ITGC Audit, FY2024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Audit Period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January 1, 2024 – December 31, 2024</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Report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February 10,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Document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DRAFT — Pending Management Response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Distribution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VP Information Technology; VP Finance; External Auditors (as applicable)</w:t>
            </w:r>
          </w:p>
        </w:tc>
      </w:tr>
    </w:tbl>
    <w:p>
      <w:pPr>
        <w:spacing w:before="240" w:after="0"/>
      </w:pPr>
    </w:p>
    <w:p>
      <w:pPr>
        <w:pBdr>
          <w:bottom w:val="single" w:color="1F3864" w:sz="12"/>
        </w:pBdr>
        <w:spacing w:before="100" w:after="100"/>
      </w:pPr>
    </w:p>
    <w:p>
      <w:pPr>
        <w:spacing w:before="120" w:after="0"/>
      </w:pPr>
    </w:p>
    <w:p>
      <w:pPr>
        <w:spacing w:before="120" w:after="0"/>
        <w:jc w:val="center"/>
      </w:pPr>
      <w:r>
        <w:rPr>
          <w:rFonts w:ascii="Arial" w:cs="Arial" w:eastAsia="Arial" w:hAnsi="Arial"/>
          <w:b/>
          <w:bCs/>
          <w:color w:val="C00000"/>
          <w:sz w:val="18"/>
          <w:szCs w:val="18"/>
        </w:rPr>
        <w:t xml:space="preserve">CONFIDENTIAL — FOR INTERNAL USE ONLY</w:t>
      </w:r>
    </w:p>
    <w:p>
      <w:pPr>
        <w:spacing w:before="60" w:after="0"/>
        <w:jc w:val="center"/>
      </w:pPr>
      <w:r>
        <w:rPr>
          <w:rFonts w:ascii="Arial" w:cs="Arial" w:eastAsia="Arial" w:hAnsi="Arial"/>
          <w:color w:val="595959"/>
          <w:sz w:val="16"/>
          <w:szCs w:val="16"/>
        </w:rPr>
        <w:t xml:space="preserve">This document contains privileged audit findings. Distribution is restricted to authorized recipients only.</w:t>
      </w:r>
    </w:p>
    <w:p>
      <w:r>
        <w:br w:type="page"/>
      </w:r>
    </w:p>
    <w:p>
      <w:pPr>
        <w:pStyle w:val="Heading1"/>
        <w:spacing w:before="320" w:after="100"/>
      </w:pPr>
      <w:r>
        <w:rPr>
          <w:rFonts w:ascii="Arial" w:cs="Arial" w:eastAsia="Arial" w:hAnsi="Arial"/>
          <w:b/>
          <w:bCs/>
          <w:color w:val="1F3864"/>
          <w:sz w:val="28"/>
          <w:szCs w:val="28"/>
        </w:rPr>
        <w:t xml:space="preserve">1.  Purpose and Background</w:t>
      </w:r>
    </w:p>
    <w:p>
      <w:pPr>
        <w:pBdr>
          <w:bottom w:val="single" w:color="2E5FA3" w:sz="12"/>
        </w:pBdr>
        <w:spacing w:before="100" w:after="100"/>
      </w:pPr>
    </w:p>
    <w:p>
      <w:pPr>
        <w:pStyle w:val="Heading2"/>
        <w:spacing w:before="200" w:after="80"/>
      </w:pPr>
      <w:r>
        <w:rPr>
          <w:rFonts w:ascii="Arial" w:cs="Arial" w:eastAsia="Arial" w:hAnsi="Arial"/>
          <w:b/>
          <w:bCs/>
          <w:color w:val="2E5FA3"/>
          <w:sz w:val="24"/>
          <w:szCs w:val="24"/>
        </w:rPr>
        <w:t xml:space="preserve">1.1  Purpose of This Memorandum</w:t>
      </w:r>
    </w:p>
    <w:p>
      <w:pPr>
        <w:spacing w:before="80" w:after="80"/>
      </w:pPr>
      <w:r>
        <w:rPr>
          <w:rFonts w:ascii="Arial" w:cs="Arial" w:eastAsia="Arial" w:hAnsi="Arial"/>
          <w:sz w:val="20"/>
          <w:szCs w:val="20"/>
        </w:rPr>
        <w:t xml:space="preserve">This Control Deficiency Memorandum has been prepared by the IT audit team in connection with the Sarbanes-Oxley (SOX) Section 404 IT General Controls (ITGC) audit of MT Corporation ("MT Corp" or the "Company") for the fiscal year ended December 31, 2024. The purpose of this memorandum is to formally communicate to management the control deficiencies identified during ITGC testing, together with the auditors' assessment of severity, the potential impact of each deficiency on financial reporting, and recommendations for remediation.</w:t>
      </w:r>
    </w:p>
    <w:p>
      <w:pPr>
        <w:spacing w:before="80" w:after="80"/>
      </w:pPr>
      <w:r>
        <w:rPr>
          <w:rFonts w:ascii="Arial" w:cs="Arial" w:eastAsia="Arial" w:hAnsi="Arial"/>
          <w:sz w:val="20"/>
          <w:szCs w:val="20"/>
        </w:rPr>
        <w:t xml:space="preserve">This memorandum should be read in conjunction with the FY2024 ITGC Planning Memorandum (MTCorp_ITGC_PlanningMemo_2024.docx) and the Test of Design and Operating Effectiveness Workpapers (MTCorp_Testing_Workpapers_2024.xlsx).</w:t>
      </w:r>
    </w:p>
    <w:p>
      <w:pPr>
        <w:pStyle w:val="Heading2"/>
        <w:spacing w:before="200" w:after="80"/>
      </w:pPr>
      <w:r>
        <w:rPr>
          <w:rFonts w:ascii="Arial" w:cs="Arial" w:eastAsia="Arial" w:hAnsi="Arial"/>
          <w:b/>
          <w:bCs/>
          <w:color w:val="2E5FA3"/>
          <w:sz w:val="24"/>
          <w:szCs w:val="24"/>
        </w:rPr>
        <w:t xml:space="preserve">1.2  Scope of Testing</w:t>
      </w:r>
    </w:p>
    <w:p>
      <w:pPr>
        <w:spacing w:before="80" w:after="80"/>
      </w:pPr>
      <w:r>
        <w:rPr>
          <w:rFonts w:ascii="Arial" w:cs="Arial" w:eastAsia="Arial" w:hAnsi="Arial"/>
          <w:sz w:val="20"/>
          <w:szCs w:val="20"/>
        </w:rPr>
        <w:t xml:space="preserve">ITGC testing was performed over the following in-scope systems for the audit period January 1 – December 31, 2024, with fieldwork conducted in two phases (November–December 2024 and January 6–24, 2025):</w:t>
      </w:r>
    </w:p>
    <w:p>
      <w:pPr>
        <w:pStyle w:val="ListParagraph"/>
        <w:numPr>
          <w:ilvl w:val="0"/>
          <w:numId w:val="2"/>
        </w:numPr>
        <w:spacing w:before="40" w:after="40"/>
      </w:pPr>
      <w:r>
        <w:rPr>
          <w:rFonts w:ascii="Arial" w:cs="Arial" w:eastAsia="Arial" w:hAnsi="Arial"/>
          <w:sz w:val="20"/>
          <w:szCs w:val="20"/>
        </w:rPr>
        <w:t xml:space="preserve">SAP ECC 6.0 — Enterprise Resource Planning system (primary system of record for all financial transactions)</w:t>
      </w:r>
    </w:p>
    <w:p>
      <w:pPr>
        <w:pStyle w:val="ListParagraph"/>
        <w:numPr>
          <w:ilvl w:val="0"/>
          <w:numId w:val="2"/>
        </w:numPr>
        <w:spacing w:before="40" w:after="40"/>
      </w:pPr>
      <w:r>
        <w:rPr>
          <w:rFonts w:ascii="Arial" w:cs="Arial" w:eastAsia="Arial" w:hAnsi="Arial"/>
          <w:sz w:val="20"/>
          <w:szCs w:val="20"/>
        </w:rPr>
        <w:t xml:space="preserve">Microsoft Active Directory — Centralized user authentication and authorization platform</w:t>
      </w:r>
    </w:p>
    <w:p>
      <w:pPr>
        <w:pStyle w:val="ListParagraph"/>
        <w:numPr>
          <w:ilvl w:val="0"/>
          <w:numId w:val="2"/>
        </w:numPr>
        <w:spacing w:before="40" w:after="40"/>
      </w:pPr>
      <w:r>
        <w:rPr>
          <w:rFonts w:ascii="Arial" w:cs="Arial" w:eastAsia="Arial" w:hAnsi="Arial"/>
          <w:sz w:val="20"/>
          <w:szCs w:val="20"/>
        </w:rPr>
        <w:t xml:space="preserve">InvManager — Custom proprietary inventory management application</w:t>
      </w:r>
    </w:p>
    <w:p>
      <w:pPr>
        <w:spacing w:before="60" w:after="0"/>
      </w:pPr>
    </w:p>
    <w:p>
      <w:pPr>
        <w:spacing w:before="80" w:after="80"/>
      </w:pPr>
      <w:r>
        <w:rPr>
          <w:rFonts w:ascii="Arial" w:cs="Arial" w:eastAsia="Arial" w:hAnsi="Arial"/>
          <w:sz w:val="20"/>
          <w:szCs w:val="20"/>
        </w:rPr>
        <w:t xml:space="preserve">Testing covered three ITGC process areas: Access Management (5 controls), Change Management (4 controls), and IT Operations (3 controls). A total of 12 key controls were tested for both design effectiveness and operating effectiveness.</w:t>
      </w:r>
    </w:p>
    <w:p>
      <w:pPr>
        <w:pStyle w:val="Heading2"/>
        <w:spacing w:before="200" w:after="80"/>
      </w:pPr>
      <w:r>
        <w:rPr>
          <w:rFonts w:ascii="Arial" w:cs="Arial" w:eastAsia="Arial" w:hAnsi="Arial"/>
          <w:b/>
          <w:bCs/>
          <w:color w:val="2E5FA3"/>
          <w:sz w:val="24"/>
          <w:szCs w:val="24"/>
        </w:rPr>
        <w:t xml:space="preserve">1.3  Summary of Testing Results</w:t>
      </w:r>
    </w:p>
    <w:p>
      <w:pPr>
        <w:spacing w:before="80" w:after="80"/>
      </w:pPr>
      <w:r>
        <w:rPr>
          <w:rFonts w:ascii="Arial" w:cs="Arial" w:eastAsia="Arial" w:hAnsi="Arial"/>
          <w:sz w:val="20"/>
          <w:szCs w:val="20"/>
        </w:rPr>
        <w:t xml:space="preserve">Of the 12 key controls tested, 9 were found to be operating effectively throughout the FY2024 audit period with no exceptions noted. Three controls were found to have exceptions resulting in the deficiencies described in this memorandum. The table below summarizes the deficiencies identified: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00"/>
        <w:gridCol w:w="1560"/>
        <w:gridCol w:w="1500"/>
        <w:gridCol w:w="1300"/>
      </w:tblGrid>
      <w:tr>
        <w:trPr>
          <w:tblHeader/>
        </w:trPr>
        <w:tc>
          <w:tcPr>
            <w:tcW w:type="dxa" w:w="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Deficiency
Ref.</w:t>
            </w:r>
          </w:p>
        </w:tc>
        <w:tc>
          <w:tcPr>
            <w:tcW w:type="dxa" w:w="17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Control ID</w:t>
            </w:r>
          </w:p>
        </w:tc>
        <w:tc>
          <w:tcPr>
            <w:tcW w:type="dxa" w:w="2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Control Name</w:t>
            </w:r>
          </w:p>
        </w:tc>
        <w:tc>
          <w:tcPr>
            <w:tcW w:type="dxa" w:w="15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Process Area</w:t>
            </w:r>
          </w:p>
        </w:tc>
        <w:tc>
          <w:tcPr>
            <w:tcW w:type="dxa" w:w="1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Severity</w:t>
            </w:r>
          </w:p>
        </w:tc>
        <w:tc>
          <w:tcPr>
            <w:tcW w:type="dxa" w:w="13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color w:val="833C00"/>
                <w:sz w:val="18"/>
                <w:szCs w:val="18"/>
              </w:rPr>
              <w:t xml:space="preserve">DEF-2024-01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CM-01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Change Authorization &amp; CAB Approval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Change Management</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color w:val="833C00"/>
                <w:sz w:val="18"/>
                <w:szCs w:val="18"/>
              </w:rPr>
              <w:t xml:space="preserve">High</w:t>
            </w:r>
          </w:p>
        </w:tc>
        <w:tc>
          <w:tcPr>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spacing w:before="0" w:after="0"/>
              <w:jc w:val="center"/>
            </w:pPr>
            <w:r>
              <w:rPr>
                <w:rFonts w:ascii="Arial" w:cs="Arial" w:eastAsia="Arial" w:hAnsi="Arial"/>
                <w:b/>
                <w:bCs/>
                <w:color w:val="C00000"/>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center"/>
            </w:pPr>
            <w:r>
              <w:rPr>
                <w:rFonts w:ascii="Arial" w:cs="Arial" w:eastAsia="Arial" w:hAnsi="Arial"/>
                <w:b/>
                <w:bCs/>
                <w:color w:val="7F6000"/>
                <w:sz w:val="18"/>
                <w:szCs w:val="18"/>
              </w:rPr>
              <w:t xml:space="preserve">DEF-2024-02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AM-03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Periodic Access Recertification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Access Management</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center"/>
            </w:pPr>
            <w:r>
              <w:rPr>
                <w:rFonts w:ascii="Arial" w:cs="Arial" w:eastAsia="Arial" w:hAnsi="Arial"/>
                <w:b/>
                <w:bCs/>
                <w:color w:val="7F6000"/>
                <w:sz w:val="18"/>
                <w:szCs w:val="18"/>
              </w:rPr>
              <w:t xml:space="preserve">Medium</w:t>
            </w:r>
          </w:p>
        </w:tc>
        <w:tc>
          <w:tcPr>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spacing w:before="0" w:after="0"/>
              <w:jc w:val="center"/>
            </w:pPr>
            <w:r>
              <w:rPr>
                <w:rFonts w:ascii="Arial" w:cs="Arial" w:eastAsia="Arial" w:hAnsi="Arial"/>
                <w:b/>
                <w:bCs/>
                <w:color w:val="C00000"/>
                <w:sz w:val="18"/>
                <w:szCs w:val="18"/>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center"/>
            </w:pPr>
            <w:r>
              <w:rPr>
                <w:rFonts w:ascii="Arial" w:cs="Arial" w:eastAsia="Arial" w:hAnsi="Arial"/>
                <w:b/>
                <w:bCs/>
                <w:color w:val="595959"/>
                <w:sz w:val="18"/>
                <w:szCs w:val="18"/>
              </w:rPr>
              <w:t xml:space="preserve">DEF-2024-03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AM-02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User Access Termination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Access Management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center"/>
            </w:pPr>
            <w:r>
              <w:rPr>
                <w:rFonts w:ascii="Arial" w:cs="Arial" w:eastAsia="Arial" w:hAnsi="Arial"/>
                <w:b/>
                <w:bCs/>
                <w:color w:val="595959"/>
                <w:sz w:val="18"/>
                <w:szCs w:val="18"/>
              </w:rPr>
              <w:t xml:space="preserve">Low</w:t>
            </w:r>
          </w:p>
        </w:tc>
        <w:tc>
          <w:tcPr>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spacing w:before="0" w:after="0"/>
              <w:jc w:val="center"/>
            </w:pPr>
            <w:r>
              <w:rPr>
                <w:rFonts w:ascii="Arial" w:cs="Arial" w:eastAsia="Arial" w:hAnsi="Arial"/>
                <w:b/>
                <w:bCs/>
                <w:color w:val="C00000"/>
                <w:sz w:val="18"/>
                <w:szCs w:val="18"/>
              </w:rPr>
              <w:t xml:space="preserve">Open</w:t>
            </w:r>
          </w:p>
        </w:tc>
      </w:tr>
    </w:tbl>
    <w:p>
      <w:pPr>
        <w:spacing w:before="180" w:after="0"/>
      </w:pPr>
    </w:p>
    <w:p>
      <w:pPr>
        <w:pStyle w:val="Heading1"/>
        <w:spacing w:before="320" w:after="100"/>
      </w:pPr>
      <w:r>
        <w:rPr>
          <w:rFonts w:ascii="Arial" w:cs="Arial" w:eastAsia="Arial" w:hAnsi="Arial"/>
          <w:b/>
          <w:bCs/>
          <w:color w:val="1F3864"/>
          <w:sz w:val="28"/>
          <w:szCs w:val="28"/>
        </w:rPr>
        <w:t xml:space="preserve">2.  Deficiency Classification Framework</w:t>
      </w:r>
    </w:p>
    <w:p>
      <w:pPr>
        <w:pBdr>
          <w:bottom w:val="single" w:color="2E5FA3" w:sz="12"/>
        </w:pBdr>
        <w:spacing w:before="100" w:after="100"/>
      </w:pPr>
    </w:p>
    <w:p>
      <w:pPr>
        <w:spacing w:before="80" w:after="80"/>
      </w:pPr>
      <w:r>
        <w:rPr>
          <w:rFonts w:ascii="Arial" w:cs="Arial" w:eastAsia="Arial" w:hAnsi="Arial"/>
          <w:sz w:val="20"/>
          <w:szCs w:val="20"/>
        </w:rPr>
        <w:t xml:space="preserve">Control deficiencies identified during ITGC testing have been classified in accordance with the Public Company Accounting Oversight Board (PCAOB) Auditing Standard No. 2201 and the definitions below: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Classification</w:t>
            </w:r>
          </w:p>
        </w:tc>
        <w:tc>
          <w:tcPr>
            <w:tcW w:type="dxa" w:w="77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Definition</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left"/>
            </w:pPr>
            <w:r>
              <w:rPr>
                <w:rFonts w:ascii="Arial" w:cs="Arial" w:eastAsia="Arial" w:hAnsi="Arial"/>
                <w:b/>
                <w:bCs/>
                <w:color w:val="833C00"/>
                <w:sz w:val="18"/>
                <w:szCs w:val="18"/>
              </w:rPr>
              <w:t xml:space="preserve">High (Significant Deficiency)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 deficiency, or combination of deficiencies, in internal control over financial reporting that is less severe than a material weakness, yet important enough to merit the attention of those responsible for oversight of the company's financial reporting. In the context of ITGC, a High-rated deficiency indicates that the control failure creates a meaningful risk that a misstatement in the financial statements would not be prevented or detected on a timely basis.</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left"/>
            </w:pPr>
            <w:r>
              <w:rPr>
                <w:rFonts w:ascii="Arial" w:cs="Arial" w:eastAsia="Arial" w:hAnsi="Arial"/>
                <w:b/>
                <w:bCs/>
                <w:color w:val="7F6000"/>
                <w:sz w:val="18"/>
                <w:szCs w:val="18"/>
              </w:rPr>
              <w:t xml:space="preserve">Medium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 deficiency that does not rise to the level of a significant deficiency or material weakness but indicates that the control is not operating as designed in a manner that warrants prompt management attention. A Medium-rated deficiency typically involves a key control with a moderate exception rate, or a control whose failure would have a meaningful but not immediately material impact on financial reporting reliability.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color w:val="595959"/>
                <w:sz w:val="18"/>
                <w:szCs w:val="18"/>
              </w:rPr>
              <w:t xml:space="preserve">Low</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An isolated control exception that does not rise to the level of a significant deficiency. A Low-rated deficiency typically involves a minor procedural deviation with a low exception rate and limited impact on financial reporting. While remediation is recommended, the risk of material misstatement resulting from this deficiency is remote.</w:t>
            </w:r>
          </w:p>
        </w:tc>
      </w:tr>
    </w:tbl>
    <w:p>
      <w:pPr>
        <w:spacing w:before="180" w:after="0"/>
      </w:pPr>
    </w:p>
    <w:p>
      <w:pPr>
        <w:pStyle w:val="Heading1"/>
        <w:spacing w:before="320" w:after="100"/>
      </w:pPr>
      <w:r>
        <w:rPr>
          <w:rFonts w:ascii="Arial" w:cs="Arial" w:eastAsia="Arial" w:hAnsi="Arial"/>
          <w:b/>
          <w:bCs/>
          <w:color w:val="1F3864"/>
          <w:sz w:val="28"/>
          <w:szCs w:val="28"/>
        </w:rPr>
        <w:t xml:space="preserve">3.  Detailed Deficiency Findings</w:t>
      </w:r>
    </w:p>
    <w:p>
      <w:pPr>
        <w:pBdr>
          <w:bottom w:val="single" w:color="2E5FA3" w:sz="12"/>
        </w:pBdr>
        <w:spacing w:before="100" w:after="10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280"/>
        <w:gridCol w:w="1440"/>
        <w:gridCol w:w="1200"/>
      </w:tblGrid>
      <w:tr>
        <w:tc>
          <w:tcPr>
            <w:tcW w:type="dxa" w:w="1440"/>
            <w:tcBorders>
              <w:top w:val="single" w:color="833C00" w:sz="1"/>
              <w:left w:val="single" w:color="833C00" w:sz="1"/>
              <w:bottom w:val="single" w:color="833C00" w:sz="1"/>
              <w:right w:val="single" w:color="833C00" w:sz="1"/>
            </w:tcBorders>
            <w:shd w:fill="833C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DEF-2024-01</w:t>
            </w:r>
          </w:p>
        </w:tc>
        <w:tc>
          <w:tcPr>
            <w:tcW w:type="dxa" w:w="5280"/>
            <w:tcBorders>
              <w:top w:val="single" w:color="833C00" w:sz="1"/>
              <w:left w:val="single" w:color="833C00" w:sz="1"/>
              <w:bottom w:val="single" w:color="833C00" w:sz="1"/>
              <w:right w:val="single" w:color="833C00" w:sz="1"/>
            </w:tcBorders>
            <w:shd w:fill="FCE4D6" w:val="clear"/>
            <w:tcMar>
              <w:top w:type="dxa" w:w="120"/>
              <w:left w:type="dxa" w:w="160"/>
              <w:bottom w:type="dxa" w:w="120"/>
              <w:right w:type="dxa" w:w="120"/>
            </w:tcMar>
          </w:tcPr>
          <w:p>
            <w:r>
              <w:rPr>
                <w:rFonts w:ascii="Arial" w:cs="Arial" w:eastAsia="Arial" w:hAnsi="Arial"/>
                <w:b/>
                <w:bCs/>
                <w:color w:val="833C00"/>
                <w:sz w:val="20"/>
                <w:szCs w:val="20"/>
              </w:rPr>
              <w:t xml:space="preserve">CM-01  —  Change Authorization &amp; CAB Approval</w:t>
            </w:r>
          </w:p>
        </w:tc>
        <w:tc>
          <w:tcPr>
            <w:tcW w:type="dxa" w:w="1440"/>
            <w:tcBorders>
              <w:top w:val="single" w:color="833C00" w:sz="1"/>
              <w:left w:val="single" w:color="833C00" w:sz="1"/>
              <w:bottom w:val="single" w:color="833C00" w:sz="1"/>
              <w:right w:val="single" w:color="833C00" w:sz="1"/>
            </w:tcBorders>
            <w:shd w:fill="833C00" w:val="clear"/>
            <w:tcMar>
              <w:top w:type="dxa" w:w="120"/>
              <w:left w:type="dxa" w:w="120"/>
              <w:bottom w:type="dxa" w:w="120"/>
              <w:right w:type="dxa" w:w="120"/>
            </w:tcMar>
          </w:tcPr>
          <w:p>
            <w:pPr>
              <w:jc w:val="center"/>
            </w:pPr>
            <w:r>
              <w:rPr>
                <w:rFonts w:ascii="Arial" w:cs="Arial" w:eastAsia="Arial" w:hAnsi="Arial"/>
                <w:b/>
                <w:bCs/>
                <w:color w:val="FFFFFF"/>
                <w:sz w:val="16"/>
                <w:szCs w:val="16"/>
              </w:rPr>
              <w:t xml:space="preserve">SEVERITY</w:t>
            </w:r>
          </w:p>
          <w:p>
            <w:pPr>
              <w:jc w:val="center"/>
            </w:pPr>
            <w:r>
              <w:rPr>
                <w:rFonts w:ascii="Arial" w:cs="Arial" w:eastAsia="Arial" w:hAnsi="Arial"/>
                <w:b/>
                <w:bCs/>
                <w:color w:val="FFFFFF"/>
                <w:sz w:val="22"/>
                <w:szCs w:val="22"/>
              </w:rPr>
              <w:t xml:space="preserve">HIGH</w:t>
            </w:r>
          </w:p>
        </w:tc>
        <w:tc>
          <w:tcPr>
            <w:tcW w:type="dxa" w:w="1200"/>
            <w:tcBorders>
              <w:top w:val="single" w:color="833C00" w:sz="1"/>
              <w:left w:val="single" w:color="833C00" w:sz="1"/>
              <w:bottom w:val="single" w:color="833C00" w:sz="1"/>
              <w:right w:val="single" w:color="833C00" w:sz="1"/>
            </w:tcBorders>
            <w:shd w:fill="FCE4D6" w:val="clear"/>
            <w:tcMar>
              <w:top w:type="dxa" w:w="120"/>
              <w:left w:type="dxa" w:w="120"/>
              <w:bottom w:type="dxa" w:w="120"/>
              <w:right w:type="dxa" w:w="120"/>
            </w:tcMar>
          </w:tcPr>
          <w:p>
            <w:pPr>
              <w:jc w:val="center"/>
            </w:pPr>
            <w:r>
              <w:rPr>
                <w:rFonts w:ascii="Arial" w:cs="Arial" w:eastAsia="Arial" w:hAnsi="Arial"/>
                <w:b/>
                <w:bCs/>
                <w:color w:val="833C00"/>
                <w:sz w:val="16"/>
                <w:szCs w:val="16"/>
              </w:rPr>
              <w:t xml:space="preserve">STATUS</w:t>
            </w:r>
          </w:p>
          <w:p>
            <w:pPr>
              <w:jc w:val="center"/>
            </w:pPr>
            <w:r>
              <w:rPr>
                <w:rFonts w:ascii="Arial" w:cs="Arial" w:eastAsia="Arial" w:hAnsi="Arial"/>
                <w:b/>
                <w:bCs/>
                <w:color w:val="C00000"/>
                <w:sz w:val="22"/>
                <w:szCs w:val="22"/>
              </w:rPr>
              <w:t xml:space="preserve">OPEN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Control ID &amp; Name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CM-01 — Change Authorization &amp; CAB Approval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Process Area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Change Management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Affected System(s)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All In-Scope Systems — SAP ECC 6.0, Microsoft Active Directory, InvManager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Control Description</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All changes to in-scope production systems must be submitted as ServiceNow Change Requests (CHG records) and receive documented CAB approval prior to implementation. Normal changes require review and approval by the Change Advisory Board (CAB), which includes IT Management, the applicable system owner, and a business process representative. Emergency changes require pre-implementation approval by the on-call IT Director or VP IT, with a post-implementation CAB review and root cause analysis within two business days.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Testing Period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January 1, 2024 – December 31, 2024 (FY2024)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Sample Tested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40 of 312 implemented change requests (CHG records) — proportionate random sample including 35 Normal and 5 Emergency changes.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FDCE0" w:val="clear"/>
            <w:tcMar>
              <w:top w:type="dxa" w:w="80"/>
              <w:left w:type="dxa" w:w="120"/>
              <w:bottom w:type="dxa" w:w="80"/>
              <w:right w:type="dxa" w:w="120"/>
            </w:tcMar>
            <w:vAlign w:val="center"/>
          </w:tcPr>
          <w:p>
            <w:r>
              <w:rPr>
                <w:rFonts w:ascii="Arial" w:cs="Arial" w:eastAsia="Arial" w:hAnsi="Arial"/>
                <w:b/>
                <w:bCs/>
                <w:color w:val="1F3864"/>
                <w:sz w:val="18"/>
                <w:szCs w:val="18"/>
              </w:rPr>
              <w:t xml:space="preserve">Exception Rate</w:t>
            </w:r>
          </w:p>
        </w:tc>
        <w:tc>
          <w:tcPr>
            <w:tcW w:type="dxa" w:w="7560"/>
            <w:tcBorders>
              <w:top w:val="single" w:color="AAAAAA" w:sz="1"/>
              <w:left w:val="single" w:color="AAAAAA" w:sz="1"/>
              <w:bottom w:val="single" w:color="AAAAAA" w:sz="1"/>
              <w:right w:val="single" w:color="AAAAAA" w:sz="1"/>
            </w:tcBorders>
            <w:shd w:fill="FFDCE0" w:val="clear"/>
            <w:tcMar>
              <w:top w:type="dxa" w:w="80"/>
              <w:left w:type="dxa" w:w="160"/>
              <w:bottom w:type="dxa" w:w="80"/>
              <w:right w:type="dxa" w:w="120"/>
            </w:tcMar>
          </w:tcPr>
          <w:p>
            <w:r>
              <w:rPr>
                <w:rFonts w:ascii="Arial" w:cs="Arial" w:eastAsia="Arial" w:hAnsi="Arial"/>
                <w:sz w:val="20"/>
                <w:szCs w:val="20"/>
              </w:rPr>
              <w:t xml:space="preserve">3 of 40 items (7.5%)</w:t>
            </w:r>
          </w:p>
        </w:tc>
      </w:tr>
    </w:tbl>
    <w:p>
      <w:pPr>
        <w:spacing w:before="60" w:after="0"/>
      </w:pPr>
    </w:p>
    <w:p>
      <w:pPr>
        <w:spacing w:before="160" w:after="60"/>
      </w:pPr>
      <w:r>
        <w:rPr>
          <w:rFonts w:ascii="Arial" w:cs="Arial" w:eastAsia="Arial" w:hAnsi="Arial"/>
          <w:b/>
          <w:bCs/>
          <w:color w:val="C00000"/>
          <w:sz w:val="20"/>
          <w:szCs w:val="20"/>
        </w:rPr>
        <w:t xml:space="preserve">Nature of Exceptions Identified</w:t>
      </w:r>
    </w:p>
    <w:p>
      <w:pPr>
        <w:spacing w:before="80" w:after="80"/>
      </w:pPr>
      <w:r>
        <w:rPr>
          <w:rFonts w:ascii="Arial" w:cs="Arial" w:eastAsia="Arial" w:hAnsi="Arial"/>
          <w:sz w:val="20"/>
          <w:szCs w:val="20"/>
        </w:rPr>
        <w:t xml:space="preserve">The following three exceptions were identified during testing of CM-01:</w:t>
      </w:r>
    </w:p>
    <w:p>
      <w:pPr>
        <w:spacing w:before="60" w:after="0"/>
      </w:pPr>
    </w:p>
    <w:p>
      <w:pPr>
        <w:spacing w:before="160" w:after="60"/>
      </w:pPr>
      <w:r>
        <w:rPr>
          <w:rFonts w:ascii="Arial" w:cs="Arial" w:eastAsia="Arial" w:hAnsi="Arial"/>
          <w:b/>
          <w:bCs/>
          <w:color w:val="1F3864"/>
          <w:sz w:val="20"/>
          <w:szCs w:val="20"/>
        </w:rPr>
        <w:t xml:space="preserve">Exception 1 — CHG0031847 (SAP ECC GL Configuration, 05/14/2024)</w:t>
      </w:r>
    </w:p>
    <w:p>
      <w:pPr>
        <w:spacing w:before="80" w:after="80"/>
      </w:pPr>
      <w:r>
        <w:rPr>
          <w:rFonts w:ascii="Arial" w:cs="Arial" w:eastAsia="Arial" w:hAnsi="Arial"/>
          <w:sz w:val="20"/>
          <w:szCs w:val="20"/>
        </w:rPr>
        <w:t xml:space="preserve">The ServiceNow CHG record for a SAP ECC general ledger account configuration update (CHG0031847) shows an implementation start timestamp of May 14, 2024 at 10:22 AM CT. The CAB approval was formally recorded in ServiceNow at 11:05 AM CT on May 14, 2024 — approximately 43 minutes after the implementation had commenced. The change owner (David Chen, SAP Basis Lead) indicated that verbal CAB approval was provided at the weekly CAB meeting on May 7, 2024, but the formal approval was not documented in ServiceNow until after implementation began. While CAB meeting minutes from May 7, 2024 confirm the change was discussed, the control requires documented pre-implementation approval. The retrospective recording of the approval does not satisfy the control requirement.</w:t>
      </w:r>
    </w:p>
    <w:p>
      <w:pPr>
        <w:spacing w:before="160" w:after="60"/>
      </w:pPr>
      <w:r>
        <w:rPr>
          <w:rFonts w:ascii="Arial" w:cs="Arial" w:eastAsia="Arial" w:hAnsi="Arial"/>
          <w:b/>
          <w:bCs/>
          <w:color w:val="1F3864"/>
          <w:sz w:val="20"/>
          <w:szCs w:val="20"/>
        </w:rPr>
        <w:t xml:space="preserve">Exception 2 — CHG0038291 (InvManager Database Schema Update, 08/29/2024)</w:t>
      </w:r>
    </w:p>
    <w:p>
      <w:pPr>
        <w:spacing w:before="80" w:after="80"/>
      </w:pPr>
      <w:r>
        <w:rPr>
          <w:rFonts w:ascii="Arial" w:cs="Arial" w:eastAsia="Arial" w:hAnsi="Arial"/>
          <w:sz w:val="20"/>
          <w:szCs w:val="20"/>
        </w:rPr>
        <w:t xml:space="preserve">The ServiceNow CHG record for a database schema modification to InvManager (CHG0038291) shows </w:t>
      </w:r>
      <w:r>
        <w:rPr>
          <w:rFonts w:ascii="Arial" w:cs="Arial" w:eastAsia="Arial" w:hAnsi="Arial"/>
          <w:b/>
          <w:bCs/>
          <w:sz w:val="20"/>
          <w:szCs w:val="20"/>
        </w:rPr>
        <w:t xml:space="preserve">no documented CAB approval of any kind</w:t>
      </w:r>
      <w:r>
        <w:rPr>
          <w:rFonts w:ascii="Arial" w:cs="Arial" w:eastAsia="Arial" w:hAnsi="Arial"/>
          <w:sz w:val="20"/>
          <w:szCs w:val="20"/>
        </w:rPr>
        <w:t xml:space="preserve"> — the approval field in ServiceNow is blank. The InvManager system owner (Raj Nair) indicated during inquiry that the change was considered "minor" and was implemented directly without being submitted to the CAB. This change affected the InvManager application database schema, specifically the </w:t>
      </w:r>
      <w:r>
        <w:rPr>
          <w:rFonts w:ascii="Arial" w:cs="Arial" w:eastAsia="Arial" w:hAnsi="Arial"/>
          <w:i/>
          <w:iCs/>
          <w:sz w:val="20"/>
          <w:szCs w:val="20"/>
        </w:rPr>
        <w:t xml:space="preserve">inventory_lots</w:t>
      </w:r>
      <w:r>
        <w:rPr>
          <w:rFonts w:ascii="Arial" w:cs="Arial" w:eastAsia="Arial" w:hAnsi="Arial"/>
          <w:sz w:val="20"/>
          <w:szCs w:val="20"/>
        </w:rPr>
        <w:t xml:space="preserve"> and </w:t>
      </w:r>
      <w:r>
        <w:rPr>
          <w:rFonts w:ascii="Arial" w:cs="Arial" w:eastAsia="Arial" w:hAnsi="Arial"/>
          <w:i/>
          <w:iCs/>
          <w:sz w:val="20"/>
          <w:szCs w:val="20"/>
        </w:rPr>
        <w:t xml:space="preserve">cost_adjustments</w:t>
      </w:r>
      <w:r>
        <w:rPr>
          <w:rFonts w:ascii="Arial" w:cs="Arial" w:eastAsia="Arial" w:hAnsi="Arial"/>
          <w:sz w:val="20"/>
          <w:szCs w:val="20"/>
        </w:rPr>
        <w:t xml:space="preserve"> tables, which interface directly with SAP ECC to support inventory valuation postings. No pre-implementation testing evidence, business owner sign-off, or technical approval was documented. This exception represents the most significant finding, as a change to a financially relevant system was implemented with no documented authorization whatsoever, in direct violation of the Company's Change Management Policy (IT-POL-CM-001 v3.1).</w:t>
      </w:r>
    </w:p>
    <w:p>
      <w:pPr>
        <w:spacing w:before="160" w:after="60"/>
      </w:pPr>
      <w:r>
        <w:rPr>
          <w:rFonts w:ascii="Arial" w:cs="Arial" w:eastAsia="Arial" w:hAnsi="Arial"/>
          <w:b/>
          <w:bCs/>
          <w:color w:val="1F3864"/>
          <w:sz w:val="20"/>
          <w:szCs w:val="20"/>
        </w:rPr>
        <w:t xml:space="preserve">Exception 3 — CHG0044102 (Active Directory Emergency Change, 11/03/2024)</w:t>
      </w:r>
    </w:p>
    <w:p>
      <w:pPr>
        <w:spacing w:before="80" w:after="80"/>
      </w:pPr>
      <w:r>
        <w:rPr>
          <w:rFonts w:ascii="Arial" w:cs="Arial" w:eastAsia="Arial" w:hAnsi="Arial"/>
          <w:sz w:val="20"/>
          <w:szCs w:val="20"/>
        </w:rPr>
        <w:t xml:space="preserve">A GPO modification to Active Directory (CHG0044102) was classified as an Emergency change and implemented on November 3, 2024 at 2:17 AM CT. The on-call IT Director provided pre-implementation approval at 2:09 AM CT (8 minutes prior — compliant with the emergency approval requirement). However, the required CAB post-implementation review was not completed until November 8, 2024 — three business days after implementation, exceeding the required two-business-day SLA stipulated in IT-POL-CM-003 v1.2. No documented escalation or exception approval was obtained for the delayed post-review.</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r>
              <w:rPr>
                <w:rFonts w:ascii="Arial" w:cs="Arial" w:eastAsia="Arial" w:hAnsi="Arial"/>
                <w:b/>
                <w:bCs/>
                <w:color w:val="1F3864"/>
                <w:sz w:val="18"/>
                <w:szCs w:val="18"/>
              </w:rPr>
              <w:t xml:space="preserve">Root Cause Analysis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before="0" w:after="80"/>
            </w:pPr>
            <w:r>
              <w:rPr>
                <w:rFonts w:ascii="Arial" w:cs="Arial" w:eastAsia="Arial" w:hAnsi="Arial"/>
                <w:sz w:val="20"/>
                <w:szCs w:val="20"/>
              </w:rPr>
              <w:t xml:space="preserve">Exception 1 (CHG0031847): Lack of adherence to the ServiceNow workflow requirement for formal pre-implementation approval recording. The change owner proceeded with implementation based on verbal confirmation from the CAB meeting held one week prior, without ensuring that formal approval was recorded in the system before work began. This reflects a cultural gap in the consistent application of the change management process.</w:t>
            </w:r>
          </w:p>
          <w:p>
            <w:pPr>
              <w:spacing w:before="0" w:after="80"/>
            </w:pPr>
            <w:r>
              <w:rPr>
                <w:rFonts w:ascii="Arial" w:cs="Arial" w:eastAsia="Arial" w:hAnsi="Arial"/>
                <w:sz w:val="20"/>
                <w:szCs w:val="20"/>
              </w:rPr>
              <w:t xml:space="preserve">Exception 2 (CHG0038291): A fundamental breakdown in change management awareness and compliance. The InvManager system owner did not submit the change to the CAB process, incorrectly classifying it as too minor to warrant formal approval. No escalation or override mechanism was triggered. This reflects both a knowledge gap (the system owner's misunderstanding of what constitutes a material change) and a process gap (no detective control to identify changes implemented without CHG records).</w:t>
            </w:r>
          </w:p>
          <w:p>
            <w:pPr>
              <w:spacing w:before="0" w:after="0"/>
            </w:pPr>
            <w:r>
              <w:rPr>
                <w:rFonts w:ascii="Arial" w:cs="Arial" w:eastAsia="Arial" w:hAnsi="Arial"/>
                <w:sz w:val="20"/>
                <w:szCs w:val="20"/>
              </w:rPr>
              <w:t xml:space="preserve">Exception 3 (CHG0044102): The IT operations team did not schedule or action the CAB post-review meeting within the required two-business-day window following the emergency change implementation. No reminder or workflow automation in ServiceNow was configured to escalate overdue post-reviews.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FDCE0" w:val="clear"/>
            <w:tcMar>
              <w:top w:type="dxa" w:w="80"/>
              <w:left w:type="dxa" w:w="120"/>
              <w:bottom w:type="dxa" w:w="80"/>
              <w:right w:type="dxa" w:w="120"/>
            </w:tcMar>
            <w:vAlign w:val="center"/>
          </w:tcPr>
          <w:p>
            <w:r>
              <w:rPr>
                <w:rFonts w:ascii="Arial" w:cs="Arial" w:eastAsia="Arial" w:hAnsi="Arial"/>
                <w:b/>
                <w:bCs/>
                <w:color w:val="1F3864"/>
                <w:sz w:val="18"/>
                <w:szCs w:val="18"/>
              </w:rPr>
              <w:t xml:space="preserve">Impact on Financial Reporting</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before="0" w:after="80"/>
            </w:pPr>
            <w:r>
              <w:rPr>
                <w:rFonts w:ascii="Arial" w:cs="Arial" w:eastAsia="Arial" w:hAnsi="Arial"/>
                <w:sz w:val="20"/>
                <w:szCs w:val="20"/>
              </w:rPr>
              <w:t xml:space="preserve">Exception 2 (CHG0038291) presents the most significant financial reporting risk. An unauthorized and undocumented modification to the InvManager database schema — specifically tables supporting inventory lot tracking and cost adjustments — could have introduced errors in inventory quantities or valuations. InvManager data is transmitted to SAP ECC and recorded in the Cost of Goods Sold (COGS) and Inventory accounts, which are material to MT Corporation's financial statements. Without documented testing or business owner sign-off, there is no assurance that the database schema change did not alter the accuracy of inventory data flowing into the financial statements.</w:t>
            </w:r>
          </w:p>
          <w:p>
            <w:pPr>
              <w:spacing w:before="0" w:after="80"/>
            </w:pPr>
            <w:r>
              <w:rPr>
                <w:rFonts w:ascii="Arial" w:cs="Arial" w:eastAsia="Arial" w:hAnsi="Arial"/>
                <w:sz w:val="20"/>
                <w:szCs w:val="20"/>
              </w:rPr>
              <w:t xml:space="preserve">Exception 1 (retroactive SAP ECC approval) presents a risk that changes to financial configuration could be implemented without adequate oversight, potentially allowing unauthorized modifications to GL account mappings, posting rules, or other configurations that directly affect financial statement presentation.</w:t>
            </w:r>
          </w:p>
          <w:p>
            <w:pPr>
              <w:spacing w:before="0" w:after="0"/>
            </w:pPr>
            <w:r>
              <w:rPr>
                <w:rFonts w:ascii="Arial" w:cs="Arial" w:eastAsia="Arial" w:hAnsi="Arial"/>
                <w:sz w:val="20"/>
                <w:szCs w:val="20"/>
              </w:rPr>
              <w:t xml:space="preserve">The combined pattern of exceptions (7.5% exception rate) suggests that the change management control is not consistently applied, increasing the aggregate risk that unauthorized or untested changes could affect financial reporting accuracy.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Recommendation</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before="0" w:after="60"/>
            </w:pPr>
            <w:r>
              <w:rPr>
                <w:rFonts w:ascii="Arial" w:cs="Arial" w:eastAsia="Arial" w:hAnsi="Arial"/>
                <w:b/>
                <w:bCs/>
                <w:color w:val="1F3864"/>
                <w:sz w:val="18"/>
                <w:szCs w:val="18"/>
              </w:rPr>
              <w:t xml:space="preserve">Immediate Actions:</w:t>
            </w:r>
          </w:p>
          <w:p>
            <w:pPr>
              <w:spacing w:before="0" w:after="60"/>
            </w:pPr>
            <w:r>
              <w:rPr>
                <w:rFonts w:ascii="Arial" w:cs="Arial" w:eastAsia="Arial" w:hAnsi="Arial"/>
                <w:sz w:val="18"/>
                <w:szCs w:val="18"/>
              </w:rPr>
              <w:t xml:space="preserve">1. Conduct a forensic review of the InvManager database schema changes implemented under CHG0038291 to confirm no unintended alterations to inventory data calculations occurred. Results should be documented and reviewed by the VP of Finance.</w:t>
            </w:r>
          </w:p>
          <w:p>
            <w:pPr>
              <w:spacing w:before="0" w:after="60"/>
            </w:pPr>
            <w:r>
              <w:rPr>
                <w:rFonts w:ascii="Arial" w:cs="Arial" w:eastAsia="Arial" w:hAnsi="Arial"/>
                <w:sz w:val="18"/>
                <w:szCs w:val="18"/>
              </w:rPr>
              <w:t xml:space="preserve">2. Implement a ServiceNow workflow automation that prevents a CHG record from transitioning to 'Implemented' status without a CAB approval timestamp — eliminating the ability to retroactively record approvals.</w:t>
            </w:r>
          </w:p>
          <w:p>
            <w:pPr>
              <w:spacing w:before="0" w:after="80"/>
            </w:pPr>
            <w:r>
              <w:rPr>
                <w:rFonts w:ascii="Arial" w:cs="Arial" w:eastAsia="Arial" w:hAnsi="Arial"/>
                <w:sz w:val="18"/>
                <w:szCs w:val="18"/>
              </w:rPr>
              <w:t xml:space="preserve">3. Implement a ServiceNow automated reminder and escalation workflow for Emergency change post-implementation reviews that are not completed within the required two-business-day SLA.</w:t>
            </w:r>
          </w:p>
          <w:p>
            <w:pPr>
              <w:spacing w:before="0" w:after="60"/>
            </w:pPr>
            <w:r>
              <w:rPr>
                <w:rFonts w:ascii="Arial" w:cs="Arial" w:eastAsia="Arial" w:hAnsi="Arial"/>
                <w:b/>
                <w:bCs/>
                <w:color w:val="1F3864"/>
                <w:sz w:val="18"/>
                <w:szCs w:val="18"/>
              </w:rPr>
              <w:t xml:space="preserve">Systemic Remediation:</w:t>
            </w:r>
          </w:p>
          <w:p>
            <w:pPr>
              <w:spacing w:before="0" w:after="60"/>
            </w:pPr>
            <w:r>
              <w:rPr>
                <w:rFonts w:ascii="Arial" w:cs="Arial" w:eastAsia="Arial" w:hAnsi="Arial"/>
                <w:sz w:val="18"/>
                <w:szCs w:val="18"/>
              </w:rPr>
              <w:t xml:space="preserve">4. Conduct mandatory change management process training for all IT system owners and developers, with specific emphasis on the requirement to submit all production changes — regardless of perceived scope — to the CAB process.</w:t>
            </w:r>
          </w:p>
          <w:p>
            <w:pPr>
              <w:spacing w:before="0" w:after="60"/>
            </w:pPr>
            <w:r>
              <w:rPr>
                <w:rFonts w:ascii="Arial" w:cs="Arial" w:eastAsia="Arial" w:hAnsi="Arial"/>
                <w:sz w:val="18"/>
                <w:szCs w:val="18"/>
              </w:rPr>
              <w:t xml:space="preserve">5. Implement a monthly automated report comparing production system changes (extracted from SAP STMS, AD change logs, and InvManager deployment logs) to approved CHG records to serve as a detective control identifying undocumented changes.</w:t>
            </w:r>
          </w:p>
          <w:p>
            <w:pPr>
              <w:spacing w:before="0" w:after="0"/>
            </w:pPr>
            <w:r>
              <w:rPr>
                <w:rFonts w:ascii="Arial" w:cs="Arial" w:eastAsia="Arial" w:hAnsi="Arial"/>
                <w:sz w:val="18"/>
                <w:szCs w:val="18"/>
              </w:rPr>
              <w:t xml:space="preserve">6. Consider implementing a change freeze period of 10 business days surrounding each quarter-end close to reduce the risk of unauthorized changes affecting period-end financial processing.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1"/>
              <w:left w:val="single" w:color="833C00" w:sz="1"/>
              <w:bottom w:val="single" w:color="833C00" w:sz="1"/>
              <w:right w:val="single" w:color="833C00" w:sz="1"/>
            </w:tcBorders>
            <w:shd w:fill="FCE4D6" w:val="clear"/>
            <w:tcMar>
              <w:top w:type="dxa" w:w="80"/>
              <w:left w:type="dxa" w:w="160"/>
              <w:bottom w:type="dxa" w:w="80"/>
              <w:right w:type="dxa" w:w="160"/>
            </w:tcMar>
          </w:tcPr>
          <w:p>
            <w:pPr>
              <w:spacing w:before="0" w:after="80"/>
            </w:pPr>
            <w:r>
              <w:rPr>
                <w:rFonts w:ascii="Arial" w:cs="Arial" w:eastAsia="Arial" w:hAnsi="Arial"/>
                <w:b/>
                <w:bCs/>
                <w:color w:val="833C00"/>
                <w:sz w:val="18"/>
                <w:szCs w:val="18"/>
              </w:rPr>
              <w:t xml:space="preserve">MANAGEMENT RESPONSE — DEF-2024-01</w:t>
            </w:r>
          </w:p>
          <w:p>
            <w:pPr>
              <w:spacing w:before="0" w:after="60"/>
            </w:pPr>
            <w:r>
              <w:rPr>
                <w:rFonts w:ascii="Arial" w:cs="Arial" w:eastAsia="Arial" w:hAnsi="Arial"/>
                <w:sz w:val="18"/>
                <w:szCs w:val="18"/>
              </w:rPr>
              <w:t xml:space="preserve">Management concurs with this finding. We acknowledge that the change management control did not operate effectively in the three instances identified. With respect to CHG0038291 (the InvManager database schema change), we have initiated a review of the schema modifications with Raj Nair and the InvManager development team. Preliminary results indicate the change was limited to adding an index to the </w:t>
            </w:r>
            <w:r>
              <w:rPr>
                <w:rFonts w:ascii="Arial" w:cs="Arial" w:eastAsia="Arial" w:hAnsi="Arial"/>
                <w:i/>
                <w:iCs/>
                <w:sz w:val="18"/>
                <w:szCs w:val="18"/>
              </w:rPr>
              <w:t xml:space="preserve">cost_adjustments</w:t>
            </w:r>
            <w:r>
              <w:rPr>
                <w:rFonts w:ascii="Arial" w:cs="Arial" w:eastAsia="Arial" w:hAnsi="Arial"/>
                <w:sz w:val="18"/>
                <w:szCs w:val="18"/>
              </w:rPr>
              <w:t xml:space="preserve"> table and did not alter any data calculation logic; however, we will complete a formal documented review and provide results to the audit team by February 28, 2025.</w:t>
            </w:r>
          </w:p>
          <w:p>
            <w:pPr>
              <w:spacing w:before="0" w:after="60"/>
            </w:pPr>
            <w:r>
              <w:rPr>
                <w:rFonts w:ascii="Arial" w:cs="Arial" w:eastAsia="Arial" w:hAnsi="Arial"/>
                <w:sz w:val="18"/>
                <w:szCs w:val="18"/>
              </w:rPr>
              <w:t xml:space="preserve">We will implement the ServiceNow workflow automation (Recommendation 2) by March 31, 2025, and will conduct mandatory change management training for all system owners and IT staff by March 15, 2025. The automated monthly change reconciliation report (Recommendation 5) will be implemented by April 30, 2025.</w:t>
            </w:r>
          </w:p>
          <w:p>
            <w:pPr>
              <w:spacing w:before="0" w:after="0"/>
            </w:pPr>
            <w:r>
              <w:rPr>
                <w:rFonts w:ascii="Arial" w:cs="Arial" w:eastAsia="Arial" w:hAnsi="Arial"/>
                <w:b/>
                <w:bCs/>
                <w:color w:val="833C00"/>
                <w:sz w:val="18"/>
                <w:szCs w:val="18"/>
              </w:rPr>
              <w:t xml:space="preserve">Responsible Party: Sarah Okonkwo, VP IT   |   Target Remediation Date: April 30, 2025</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280"/>
        <w:gridCol w:w="1440"/>
        <w:gridCol w:w="1200"/>
      </w:tblGrid>
      <w:tr>
        <w:tc>
          <w:tcPr>
            <w:tcW w:type="dxa" w:w="1440"/>
            <w:tcBorders>
              <w:top w:val="single" w:color="7F6000" w:sz="1"/>
              <w:left w:val="single" w:color="7F6000" w:sz="1"/>
              <w:bottom w:val="single" w:color="7F6000" w:sz="1"/>
              <w:right w:val="single" w:color="7F6000" w:sz="1"/>
            </w:tcBorders>
            <w:shd w:fill="7F600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DEF-2024-02</w:t>
            </w:r>
          </w:p>
        </w:tc>
        <w:tc>
          <w:tcPr>
            <w:tcW w:type="dxa" w:w="5280"/>
            <w:tcBorders>
              <w:top w:val="single" w:color="7F6000" w:sz="1"/>
              <w:left w:val="single" w:color="7F6000" w:sz="1"/>
              <w:bottom w:val="single" w:color="7F6000" w:sz="1"/>
              <w:right w:val="single" w:color="7F6000" w:sz="1"/>
            </w:tcBorders>
            <w:shd w:fill="FFF2CC" w:val="clear"/>
            <w:tcMar>
              <w:top w:type="dxa" w:w="120"/>
              <w:left w:type="dxa" w:w="160"/>
              <w:bottom w:type="dxa" w:w="120"/>
              <w:right w:type="dxa" w:w="120"/>
            </w:tcMar>
          </w:tcPr>
          <w:p>
            <w:r>
              <w:rPr>
                <w:rFonts w:ascii="Arial" w:cs="Arial" w:eastAsia="Arial" w:hAnsi="Arial"/>
                <w:b/>
                <w:bCs/>
                <w:color w:val="7F6000"/>
                <w:sz w:val="20"/>
                <w:szCs w:val="20"/>
              </w:rPr>
              <w:t xml:space="preserve">AM-03  —  Periodic Access Recertification</w:t>
            </w:r>
          </w:p>
        </w:tc>
        <w:tc>
          <w:tcPr>
            <w:tcW w:type="dxa" w:w="1440"/>
            <w:tcBorders>
              <w:top w:val="single" w:color="7F6000" w:sz="1"/>
              <w:left w:val="single" w:color="7F6000" w:sz="1"/>
              <w:bottom w:val="single" w:color="7F6000" w:sz="1"/>
              <w:right w:val="single" w:color="7F6000" w:sz="1"/>
            </w:tcBorders>
            <w:shd w:fill="7F6000" w:val="clear"/>
            <w:tcMar>
              <w:top w:type="dxa" w:w="120"/>
              <w:left w:type="dxa" w:w="120"/>
              <w:bottom w:type="dxa" w:w="120"/>
              <w:right w:type="dxa" w:w="120"/>
            </w:tcMar>
          </w:tcPr>
          <w:p>
            <w:pPr>
              <w:jc w:val="center"/>
            </w:pPr>
            <w:r>
              <w:rPr>
                <w:rFonts w:ascii="Arial" w:cs="Arial" w:eastAsia="Arial" w:hAnsi="Arial"/>
                <w:b/>
                <w:bCs/>
                <w:color w:val="FFFFFF"/>
                <w:sz w:val="16"/>
                <w:szCs w:val="16"/>
              </w:rPr>
              <w:t xml:space="preserve">SEVERITY</w:t>
            </w:r>
          </w:p>
          <w:p>
            <w:pPr>
              <w:jc w:val="center"/>
            </w:pPr>
            <w:r>
              <w:rPr>
                <w:rFonts w:ascii="Arial" w:cs="Arial" w:eastAsia="Arial" w:hAnsi="Arial"/>
                <w:b/>
                <w:bCs/>
                <w:color w:val="FFFFFF"/>
                <w:sz w:val="22"/>
                <w:szCs w:val="22"/>
              </w:rPr>
              <w:t xml:space="preserve">MEDIUM</w:t>
            </w:r>
          </w:p>
        </w:tc>
        <w:tc>
          <w:tcPr>
            <w:tcW w:type="dxa" w:w="1200"/>
            <w:tcBorders>
              <w:top w:val="single" w:color="7F6000" w:sz="1"/>
              <w:left w:val="single" w:color="7F6000" w:sz="1"/>
              <w:bottom w:val="single" w:color="7F6000" w:sz="1"/>
              <w:right w:val="single" w:color="7F6000" w:sz="1"/>
            </w:tcBorders>
            <w:shd w:fill="FFF2CC" w:val="clear"/>
            <w:tcMar>
              <w:top w:type="dxa" w:w="120"/>
              <w:left w:type="dxa" w:w="120"/>
              <w:bottom w:type="dxa" w:w="120"/>
              <w:right w:type="dxa" w:w="120"/>
            </w:tcMar>
          </w:tcPr>
          <w:p>
            <w:pPr>
              <w:jc w:val="center"/>
            </w:pPr>
            <w:r>
              <w:rPr>
                <w:rFonts w:ascii="Arial" w:cs="Arial" w:eastAsia="Arial" w:hAnsi="Arial"/>
                <w:b/>
                <w:bCs/>
                <w:color w:val="7F6000"/>
                <w:sz w:val="16"/>
                <w:szCs w:val="16"/>
              </w:rPr>
              <w:t xml:space="preserve">STATUS</w:t>
            </w:r>
          </w:p>
          <w:p>
            <w:pPr>
              <w:jc w:val="center"/>
            </w:pPr>
            <w:r>
              <w:rPr>
                <w:rFonts w:ascii="Arial" w:cs="Arial" w:eastAsia="Arial" w:hAnsi="Arial"/>
                <w:b/>
                <w:bCs/>
                <w:color w:val="C00000"/>
                <w:sz w:val="22"/>
                <w:szCs w:val="22"/>
              </w:rPr>
              <w:t xml:space="preserve">OPEN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Control ID &amp; Name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AM-03 — Periodic Access Recertification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Process Area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Access Management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Affected System(s)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InvManager (primary); all in-scope systems (SAP ECC, AD, InvManager) for Q3 2024 recertification cycle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Control Description</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System owners perform a formal quarterly access recertification for all in-scope systems. IT Security generates current user access listings, and system owners review each user's access, confirming it remains appropriate or revoking it. Completed, signed certifications must be uploaded to the SharePoint audit evidence repository within 15 days of quarter-end.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Testing Period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January 1, 2024 – December 31, 2024 (FY2024 — all 4 quarters)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Sample Tested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4 of 4 quarterly recertification cycles (full population tested — Q1, Q2, Q3, Q4 2024).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r>
              <w:rPr>
                <w:rFonts w:ascii="Arial" w:cs="Arial" w:eastAsia="Arial" w:hAnsi="Arial"/>
                <w:b/>
                <w:bCs/>
                <w:color w:val="1F3864"/>
                <w:sz w:val="18"/>
                <w:szCs w:val="18"/>
              </w:rPr>
              <w:t xml:space="preserve">Exception Rate</w:t>
            </w:r>
          </w:p>
        </w:tc>
        <w:tc>
          <w:tcPr>
            <w:tcW w:type="dxa" w:w="7560"/>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20"/>
            </w:tcMar>
          </w:tcPr>
          <w:p>
            <w:r>
              <w:rPr>
                <w:rFonts w:ascii="Arial" w:cs="Arial" w:eastAsia="Arial" w:hAnsi="Arial"/>
                <w:sz w:val="20"/>
                <w:szCs w:val="20"/>
              </w:rPr>
              <w:t xml:space="preserve">1 of 4 quarters (25%) — Q3 2024 recertification completed 13 days past required deadline.</w:t>
            </w:r>
          </w:p>
        </w:tc>
      </w:tr>
    </w:tbl>
    <w:p>
      <w:pPr>
        <w:spacing w:before="60" w:after="0"/>
      </w:pPr>
    </w:p>
    <w:p>
      <w:pPr>
        <w:spacing w:before="160" w:after="60"/>
      </w:pPr>
      <w:r>
        <w:rPr>
          <w:rFonts w:ascii="Arial" w:cs="Arial" w:eastAsia="Arial" w:hAnsi="Arial"/>
          <w:b/>
          <w:bCs/>
          <w:color w:val="7F6000"/>
          <w:sz w:val="20"/>
          <w:szCs w:val="20"/>
        </w:rPr>
        <w:t xml:space="preserve">Nature of Exception Identified</w:t>
      </w:r>
    </w:p>
    <w:p>
      <w:pPr>
        <w:spacing w:before="80" w:after="80"/>
      </w:pPr>
      <w:r>
        <w:rPr>
          <w:rFonts w:ascii="Arial" w:cs="Arial" w:eastAsia="Arial" w:hAnsi="Arial"/>
          <w:sz w:val="20"/>
          <w:szCs w:val="20"/>
        </w:rPr>
        <w:t xml:space="preserve">The Q3 2024 quarterly access recertification for all in-scope systems was required to be completed by October 15, 2024. The IT Security team generated access listings for SAP ECC, Active Directory, and InvManager on September 30, 2024, and distributed them to the respective system owners for review on October 1, 2024. The SAP ECC system owner (David Chen) completed and submitted his certification on October 14, 2024, and the Active Directory system owner (Linda Pham) completed hers on October 15, 2024 — both within the required deadline.</w:t>
      </w:r>
    </w:p>
    <w:p>
      <w:pPr>
        <w:spacing w:before="80" w:after="80"/>
      </w:pPr>
      <w:r>
        <w:rPr>
          <w:rFonts w:ascii="Arial" w:cs="Arial" w:eastAsia="Arial" w:hAnsi="Arial"/>
          <w:sz w:val="20"/>
          <w:szCs w:val="20"/>
        </w:rPr>
        <w:t xml:space="preserve">However, the InvManager system owner (Raj Nair) did not complete the InvManager access certification until October 27, 2024 — 12 days past the October 15, 2024 deadline. The completed Q3 certification package (all three systems) was subsequently uploaded to SharePoint on October 28, 2024 — 13 days past deadline. We noted that no escalation was triggered by the IT Security team when the deadline passed without the InvManager certification being received, and no delegated reviewer was assigned during Mr. Nair's absence.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Root Cause Analysis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Raj Nair (InvManager system owner) was on extended domestic travel from October 7 through October 25, 2024. During this period, the October 15 deadline for the Q3 access recertification passed without the certification being completed. No formal out-of-office coverage or delegation of the quarterly review responsibility was arranged prior to travel. The IT Security team did not have a documented escalation procedure or automated reminder workflow in place to notify management when a system owner failed to complete their recertification by the required deadline.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Impact on Financial Reporting</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before="0" w:after="80"/>
            </w:pPr>
            <w:r>
              <w:rPr>
                <w:rFonts w:ascii="Arial" w:cs="Arial" w:eastAsia="Arial" w:hAnsi="Arial"/>
                <w:sz w:val="20"/>
                <w:szCs w:val="20"/>
              </w:rPr>
              <w:t xml:space="preserve">The quarterly access recertification control is a key detective control designed to identify and remediate inappropriate or excessive user access on a timely basis. During the 13-day period of delayed completion (October 15 – October 28, 2024), the InvManager access roster was not reviewed, creating a window during which unauthorized or inappropriate user access would not have been detected.</w:t>
            </w:r>
          </w:p>
          <w:p>
            <w:pPr>
              <w:spacing w:before="0" w:after="80"/>
            </w:pPr>
            <w:r>
              <w:rPr>
                <w:rFonts w:ascii="Arial" w:cs="Arial" w:eastAsia="Arial" w:hAnsi="Arial"/>
                <w:sz w:val="20"/>
                <w:szCs w:val="20"/>
              </w:rPr>
              <w:t xml:space="preserve">InvManager manages inventory quantities and cost adjustments that are transmitted to SAP ECC and recorded in the Company's inventory and COGS balances. Users with inappropriate access during this period could have made unauthorized inventory adjustments that would have affected reported inventory valuations and cost of goods sold. While auditors performed a targeted review of InvManager transaction logs for the period October 15 – October 28, 2024 and did not identify evidence of unauthorized transactions, the absence of timely detective control activity represents a meaningful gap in the control environment.</w:t>
            </w:r>
          </w:p>
          <w:p>
            <w:pPr>
              <w:spacing w:before="0" w:after="0"/>
            </w:pPr>
            <w:r>
              <w:rPr>
                <w:rFonts w:ascii="Arial" w:cs="Arial" w:eastAsia="Arial" w:hAnsi="Arial"/>
                <w:sz w:val="20"/>
                <w:szCs w:val="20"/>
              </w:rPr>
              <w:t xml:space="preserve">The 25% exception rate (1 of 4 quarters) further indicates that this control cannot be relied upon to operate consistently throughout the fiscal year without remediation.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Recommendation</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before="0" w:after="60"/>
            </w:pPr>
            <w:r>
              <w:rPr>
                <w:rFonts w:ascii="Arial" w:cs="Arial" w:eastAsia="Arial" w:hAnsi="Arial"/>
                <w:sz w:val="18"/>
                <w:szCs w:val="18"/>
              </w:rPr>
              <w:t xml:space="preserve">1. Implement an automated email reminder workflow in SharePoint or ServiceNow that sends deadline reminders to system owners 10 days, 5 days, and 1 day before the quarterly access recertification deadline.</w:t>
            </w:r>
          </w:p>
          <w:p>
            <w:pPr>
              <w:spacing w:before="0" w:after="60"/>
            </w:pPr>
            <w:r>
              <w:rPr>
                <w:rFonts w:ascii="Arial" w:cs="Arial" w:eastAsia="Arial" w:hAnsi="Arial"/>
                <w:sz w:val="18"/>
                <w:szCs w:val="18"/>
              </w:rPr>
              <w:t xml:space="preserve">2. Establish a formal escalation procedure whereby, if a system owner does not complete the certification by the deadline, the IT Security Manager automatically escalates to the system owner's direct supervisor and designates a backup reviewer.</w:t>
            </w:r>
          </w:p>
          <w:p>
            <w:pPr>
              <w:spacing w:before="0" w:after="60"/>
            </w:pPr>
            <w:r>
              <w:rPr>
                <w:rFonts w:ascii="Arial" w:cs="Arial" w:eastAsia="Arial" w:hAnsi="Arial"/>
                <w:sz w:val="18"/>
                <w:szCs w:val="18"/>
              </w:rPr>
              <w:t xml:space="preserve">3. Require each system owner to designate a formal backup reviewer for quarterly access certifications as part of the annual IT controls planning process. The backup reviewer designation should be documented in the Access Review Procedure (IT-POL-AM-002).</w:t>
            </w:r>
          </w:p>
          <w:p>
            <w:pPr>
              <w:spacing w:before="0" w:after="60"/>
            </w:pPr>
            <w:r>
              <w:rPr>
                <w:rFonts w:ascii="Arial" w:cs="Arial" w:eastAsia="Arial" w:hAnsi="Arial"/>
                <w:sz w:val="18"/>
                <w:szCs w:val="18"/>
              </w:rPr>
              <w:t xml:space="preserve">4. Update the Access Review Procedure to require system owners to formally notify IT Security of any planned absence exceeding three days during a recertification window, triggering early completion or delegation protocols.</w:t>
            </w:r>
          </w:p>
          <w:p>
            <w:pPr>
              <w:spacing w:before="0" w:after="0"/>
            </w:pPr>
            <w:r>
              <w:rPr>
                <w:rFonts w:ascii="Arial" w:cs="Arial" w:eastAsia="Arial" w:hAnsi="Arial"/>
                <w:sz w:val="18"/>
                <w:szCs w:val="18"/>
              </w:rPr>
              <w:t xml:space="preserve">5. Consider consolidating the quarterly access certification into a unified workflow tool (such as a ServiceNow GRC module) that enforces deadlines, automates reminders, and provides management with real-time visibility into completion status across all system owners.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80"/>
              <w:left w:type="dxa" w:w="160"/>
              <w:bottom w:type="dxa" w:w="80"/>
              <w:right w:type="dxa" w:w="160"/>
            </w:tcMar>
          </w:tcPr>
          <w:p>
            <w:pPr>
              <w:spacing w:before="0" w:after="80"/>
            </w:pPr>
            <w:r>
              <w:rPr>
                <w:rFonts w:ascii="Arial" w:cs="Arial" w:eastAsia="Arial" w:hAnsi="Arial"/>
                <w:b/>
                <w:bCs/>
                <w:color w:val="7F6000"/>
                <w:sz w:val="18"/>
                <w:szCs w:val="18"/>
              </w:rPr>
              <w:t xml:space="preserve">MANAGEMENT RESPONSE — DEF-2024-02</w:t>
            </w:r>
          </w:p>
          <w:p>
            <w:pPr>
              <w:spacing w:before="0" w:after="60"/>
            </w:pPr>
            <w:r>
              <w:rPr>
                <w:rFonts w:ascii="Arial" w:cs="Arial" w:eastAsia="Arial" w:hAnsi="Arial"/>
                <w:sz w:val="18"/>
                <w:szCs w:val="18"/>
              </w:rPr>
              <w:t xml:space="preserve">Management concurs with this finding. We acknowledge that the Q3 2024 InvManager access recertification was not completed by the required deadline due to the system owner's travel schedule. We reviewed the InvManager transaction log for the period October 15 – October 28, 2024 and concur with the audit team's conclusion that no unauthorized transactions were identified during this period.</w:t>
            </w:r>
          </w:p>
          <w:p>
            <w:pPr>
              <w:spacing w:before="0" w:after="60"/>
            </w:pPr>
            <w:r>
              <w:rPr>
                <w:rFonts w:ascii="Arial" w:cs="Arial" w:eastAsia="Arial" w:hAnsi="Arial"/>
                <w:sz w:val="18"/>
                <w:szCs w:val="18"/>
              </w:rPr>
              <w:t xml:space="preserve">We will implement an automated reminder and escalation workflow in ServiceNow by March 15, 2025. We will also update IT-POL-AM-002 to require backup reviewer designations and establish out-of-office protocols for recertification periods. The Q4 2024 recertification has been completed on time (all certifications signed by January 10, 2025, ahead of the January 15, 2025 deadline).</w:t>
            </w:r>
          </w:p>
          <w:p>
            <w:pPr>
              <w:spacing w:before="0" w:after="0"/>
            </w:pPr>
            <w:r>
              <w:rPr>
                <w:rFonts w:ascii="Arial" w:cs="Arial" w:eastAsia="Arial" w:hAnsi="Arial"/>
                <w:b/>
                <w:bCs/>
                <w:color w:val="7F6000"/>
                <w:sz w:val="18"/>
                <w:szCs w:val="18"/>
              </w:rPr>
              <w:t xml:space="preserve">Responsible Party: Linda Pham, IT Security Manager   |   Target Remediation Date: March 31, 2025</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280"/>
        <w:gridCol w:w="1440"/>
        <w:gridCol w:w="1200"/>
      </w:tblGrid>
      <w:tr>
        <w:tc>
          <w:tcPr>
            <w:tcW w:type="dxa" w:w="1440"/>
            <w:tcBorders>
              <w:top w:val="single" w:color="595959" w:sz="1"/>
              <w:left w:val="single" w:color="595959" w:sz="1"/>
              <w:bottom w:val="single" w:color="595959" w:sz="1"/>
              <w:right w:val="single" w:color="595959" w:sz="1"/>
            </w:tcBorders>
            <w:shd w:fill="595959"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DEF-2024-03</w:t>
            </w:r>
          </w:p>
        </w:tc>
        <w:tc>
          <w:tcPr>
            <w:tcW w:type="dxa" w:w="5280"/>
            <w:tcBorders>
              <w:top w:val="single" w:color="595959" w:sz="1"/>
              <w:left w:val="single" w:color="595959" w:sz="1"/>
              <w:bottom w:val="single" w:color="595959" w:sz="1"/>
              <w:right w:val="single" w:color="595959" w:sz="1"/>
            </w:tcBorders>
            <w:shd w:fill="F2F2F2" w:val="clear"/>
            <w:tcMar>
              <w:top w:type="dxa" w:w="120"/>
              <w:left w:type="dxa" w:w="160"/>
              <w:bottom w:type="dxa" w:w="120"/>
              <w:right w:type="dxa" w:w="120"/>
            </w:tcMar>
          </w:tcPr>
          <w:p>
            <w:r>
              <w:rPr>
                <w:rFonts w:ascii="Arial" w:cs="Arial" w:eastAsia="Arial" w:hAnsi="Arial"/>
                <w:b/>
                <w:bCs/>
                <w:color w:val="595959"/>
                <w:sz w:val="20"/>
                <w:szCs w:val="20"/>
              </w:rPr>
              <w:t xml:space="preserve">AM-02  —  User Access Termination</w:t>
            </w:r>
          </w:p>
        </w:tc>
        <w:tc>
          <w:tcPr>
            <w:tcW w:type="dxa" w:w="1440"/>
            <w:tcBorders>
              <w:top w:val="single" w:color="595959" w:sz="1"/>
              <w:left w:val="single" w:color="595959" w:sz="1"/>
              <w:bottom w:val="single" w:color="595959" w:sz="1"/>
              <w:right w:val="single" w:color="595959" w:sz="1"/>
            </w:tcBorders>
            <w:shd w:fill="595959" w:val="clear"/>
            <w:tcMar>
              <w:top w:type="dxa" w:w="120"/>
              <w:left w:type="dxa" w:w="120"/>
              <w:bottom w:type="dxa" w:w="120"/>
              <w:right w:type="dxa" w:w="120"/>
            </w:tcMar>
          </w:tcPr>
          <w:p>
            <w:pPr>
              <w:jc w:val="center"/>
            </w:pPr>
            <w:r>
              <w:rPr>
                <w:rFonts w:ascii="Arial" w:cs="Arial" w:eastAsia="Arial" w:hAnsi="Arial"/>
                <w:b/>
                <w:bCs/>
                <w:color w:val="FFFFFF"/>
                <w:sz w:val="16"/>
                <w:szCs w:val="16"/>
              </w:rPr>
              <w:t xml:space="preserve">SEVERITY</w:t>
            </w:r>
          </w:p>
          <w:p>
            <w:pPr>
              <w:jc w:val="center"/>
            </w:pPr>
            <w:r>
              <w:rPr>
                <w:rFonts w:ascii="Arial" w:cs="Arial" w:eastAsia="Arial" w:hAnsi="Arial"/>
                <w:b/>
                <w:bCs/>
                <w:color w:val="FFFFFF"/>
                <w:sz w:val="22"/>
                <w:szCs w:val="22"/>
              </w:rPr>
              <w:t xml:space="preserve">LOW</w:t>
            </w:r>
          </w:p>
        </w:tc>
        <w:tc>
          <w:tcPr>
            <w:tcW w:type="dxa" w:w="1200"/>
            <w:tcBorders>
              <w:top w:val="single" w:color="595959" w:sz="1"/>
              <w:left w:val="single" w:color="595959" w:sz="1"/>
              <w:bottom w:val="single" w:color="595959" w:sz="1"/>
              <w:right w:val="single" w:color="595959" w:sz="1"/>
            </w:tcBorders>
            <w:shd w:fill="F2F2F2" w:val="clear"/>
            <w:tcMar>
              <w:top w:type="dxa" w:w="120"/>
              <w:left w:type="dxa" w:w="120"/>
              <w:bottom w:type="dxa" w:w="120"/>
              <w:right w:type="dxa" w:w="120"/>
            </w:tcMar>
          </w:tcPr>
          <w:p>
            <w:pPr>
              <w:jc w:val="center"/>
            </w:pPr>
            <w:r>
              <w:rPr>
                <w:rFonts w:ascii="Arial" w:cs="Arial" w:eastAsia="Arial" w:hAnsi="Arial"/>
                <w:b/>
                <w:bCs/>
                <w:color w:val="595959"/>
                <w:sz w:val="16"/>
                <w:szCs w:val="16"/>
              </w:rPr>
              <w:t xml:space="preserve">STATUS</w:t>
            </w:r>
          </w:p>
          <w:p>
            <w:pPr>
              <w:jc w:val="center"/>
            </w:pPr>
            <w:r>
              <w:rPr>
                <w:rFonts w:ascii="Arial" w:cs="Arial" w:eastAsia="Arial" w:hAnsi="Arial"/>
                <w:b/>
                <w:bCs/>
                <w:color w:val="C00000"/>
                <w:sz w:val="22"/>
                <w:szCs w:val="22"/>
              </w:rPr>
              <w:t xml:space="preserve">OPEN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Control ID &amp; Name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AM-02 — User Access Termination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Process Area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Access Management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Affected System(s)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SAP ECC 6.0 (primary); Active Directory (not affected — timely)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Control Description</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Upon employee termination, HR initiates an automated offboarding workflow in Workday that generates a ServiceNow termination ticket. IT Security is required to disable the Active Directory account and revoke SAP ECC and InvManager access within one business day of HR notification.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Testing Period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January 1, 2024 – December 31, 2024 (FY2024)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Sample Tested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25 of 43 employee terminations in FY2024 (random sample).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b/>
                <w:bCs/>
                <w:color w:val="1F3864"/>
                <w:sz w:val="18"/>
                <w:szCs w:val="18"/>
              </w:rPr>
              <w:t xml:space="preserve">Exception Rate</w:t>
            </w:r>
          </w:p>
        </w:tc>
        <w:tc>
          <w:tcPr>
            <w:tcW w:type="dxa" w:w="75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20"/>
            </w:tcMar>
          </w:tcPr>
          <w:p>
            <w:r>
              <w:rPr>
                <w:rFonts w:ascii="Arial" w:cs="Arial" w:eastAsia="Arial" w:hAnsi="Arial"/>
                <w:sz w:val="20"/>
                <w:szCs w:val="20"/>
              </w:rPr>
              <w:t xml:space="preserve">1 of 25 items (4%) — SAP ECC access revocation for 1 termination exceeded the 1 business day SLA by approximately 1 business day.</w:t>
            </w:r>
          </w:p>
        </w:tc>
      </w:tr>
    </w:tbl>
    <w:p>
      <w:pPr>
        <w:spacing w:before="60" w:after="0"/>
      </w:pPr>
    </w:p>
    <w:p>
      <w:pPr>
        <w:spacing w:before="160" w:after="60"/>
      </w:pPr>
      <w:r>
        <w:rPr>
          <w:rFonts w:ascii="Arial" w:cs="Arial" w:eastAsia="Arial" w:hAnsi="Arial"/>
          <w:b/>
          <w:bCs/>
          <w:color w:val="595959"/>
          <w:sz w:val="20"/>
          <w:szCs w:val="20"/>
        </w:rPr>
        <w:t xml:space="preserve">Nature of Exception Identified</w:t>
      </w:r>
    </w:p>
    <w:p>
      <w:pPr>
        <w:spacing w:before="80" w:after="80"/>
      </w:pPr>
      <w:r>
        <w:rPr>
          <w:rFonts w:ascii="Arial" w:cs="Arial" w:eastAsia="Arial" w:hAnsi="Arial"/>
          <w:sz w:val="20"/>
          <w:szCs w:val="20"/>
        </w:rPr>
        <w:t xml:space="preserve">During testing of the user access termination control, one exception was identified among the 25 sampled termination events. Employee K. Oduya was terminated on Friday, July 19, 2024. The HR offboarding workflow in Workday generated a ServiceNow termination ticket (INC0094417) at 4:43 PM CT on July 19, 2024 (the Friday evening prior to the weekend).</w:t>
      </w:r>
    </w:p>
    <w:p>
      <w:pPr>
        <w:spacing w:before="80" w:after="80"/>
      </w:pPr>
      <w:r>
        <w:rPr>
          <w:rFonts w:ascii="Arial" w:cs="Arial" w:eastAsia="Arial" w:hAnsi="Arial"/>
          <w:sz w:val="20"/>
          <w:szCs w:val="20"/>
        </w:rPr>
        <w:t xml:space="preserve">Active Directory account disablement was confirmed timely: Event ID 4725 in the AD Security Event Log shows the account was disabled at 9:14 AM CT on Monday, July 22, 2024 — the first business morning following the termination notification. This was within the one business day SLA.</w:t>
      </w:r>
    </w:p>
    <w:p>
      <w:pPr>
        <w:spacing w:before="80" w:after="80"/>
      </w:pPr>
      <w:r>
        <w:rPr>
          <w:rFonts w:ascii="Arial" w:cs="Arial" w:eastAsia="Arial" w:hAnsi="Arial"/>
          <w:sz w:val="20"/>
          <w:szCs w:val="20"/>
        </w:rPr>
        <w:t xml:space="preserve">However, SAP ECC authorization role revocation was not completed until July 23, 2024 at 2:31 PM CT — approximately two full business days after the HR notification, exceeding the required one business day SLA by approximately one business day. A review of the SAP SM20 Security Audit Log confirmed no logon attempts by K. Oduya's SAP user ID occurred during the period between termination and SAP access revocation.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Root Cause Analysis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The IT Security team processes offboarding tickets in ServiceNow on a first-in, first-out basis. During the week of July 22, 2024, the IT Security team was processing a backlog of access requests from the prior week while simultaneously handling the Monday morning access queue. The SAP ECC access revocation step for K. Oduya's ticket was not actioned until Tuesday, July 23. There was no systematic escalation or alerting mechanism to flag SAP-specific revocation steps as approaching or exceeding the one business day SLA within the ServiceNow ticket.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Impact on Financial Reporting</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r>
              <w:rPr>
                <w:rFonts w:ascii="Arial" w:cs="Arial" w:eastAsia="Arial" w:hAnsi="Arial"/>
                <w:sz w:val="20"/>
                <w:szCs w:val="20"/>
              </w:rPr>
              <w:t xml:space="preserve">The impact of this deficiency on financial reporting is assessed as low. The terminated employee's Active Directory account was disabled on the first business morning following termination, which effectively prevented any SSO-based access to most systems. Although the SAP ECC authorization roles were not revoked until the following business day, a review of the SAP SM20 Security Audit Log confirmed that no successful logon attempts were made by the terminated user's SAP account during the gap period. Therefore, no unauthorized SAP transactions were identified. The exception represents an isolated procedural delay rather than a systemic breakdown, with no evidence of financial impact.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color w:val="1F3864"/>
                <w:sz w:val="18"/>
                <w:szCs w:val="18"/>
              </w:rPr>
              <w:t xml:space="preserve">Recommendation</w:t>
            </w:r>
          </w:p>
        </w:tc>
        <w:tc>
          <w:tcPr>
            <w:tcW w:type="dxa" w:w="7560"/>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20"/>
            </w:tcMar>
          </w:tcPr>
          <w:p>
            <w:pPr>
              <w:spacing w:before="0" w:after="60"/>
            </w:pPr>
            <w:r>
              <w:rPr>
                <w:rFonts w:ascii="Arial" w:cs="Arial" w:eastAsia="Arial" w:hAnsi="Arial"/>
                <w:sz w:val="18"/>
                <w:szCs w:val="18"/>
              </w:rPr>
              <w:t xml:space="preserve">1. Configure ServiceNow to generate an automated escalation alert when a high-priority offboarding ticket step (specifically, SAP ECC and InvManager access revocation) has not been completed within 4 business hours of the ticket being assigned to IT Security.</w:t>
            </w:r>
          </w:p>
          <w:p>
            <w:pPr>
              <w:spacing w:before="0" w:after="60"/>
            </w:pPr>
            <w:r>
              <w:rPr>
                <w:rFonts w:ascii="Arial" w:cs="Arial" w:eastAsia="Arial" w:hAnsi="Arial"/>
                <w:sz w:val="18"/>
                <w:szCs w:val="18"/>
              </w:rPr>
              <w:t xml:space="preserve">2. Update the Offboarding SOP (IT-POL-HR-003) to explicitly sequence access revocation steps and assign primary and backup responsibility for each step when the primary owner is occupied with competing priorities.</w:t>
            </w:r>
          </w:p>
          <w:p>
            <w:pPr>
              <w:spacing w:before="0" w:after="0"/>
            </w:pPr>
            <w:r>
              <w:rPr>
                <w:rFonts w:ascii="Arial" w:cs="Arial" w:eastAsia="Arial" w:hAnsi="Arial"/>
                <w:sz w:val="18"/>
                <w:szCs w:val="18"/>
              </w:rPr>
              <w:t xml:space="preserve">3. Implement a daily exception report — generated by IT Security each business morning — listing any open offboarding tickets where access has not been fully revoked across all in-scope systems within the prior business day. This provides IT Security management with a simple monitoring tool without requiring ServiceNow workflow changes.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95959" w:sz="1"/>
              <w:left w:val="single" w:color="595959" w:sz="1"/>
              <w:bottom w:val="single" w:color="595959" w:sz="1"/>
              <w:right w:val="single" w:color="595959" w:sz="1"/>
            </w:tcBorders>
            <w:shd w:fill="F2F2F2" w:val="clear"/>
            <w:tcMar>
              <w:top w:type="dxa" w:w="80"/>
              <w:left w:type="dxa" w:w="160"/>
              <w:bottom w:type="dxa" w:w="80"/>
              <w:right w:type="dxa" w:w="160"/>
            </w:tcMar>
          </w:tcPr>
          <w:p>
            <w:pPr>
              <w:spacing w:before="0" w:after="80"/>
            </w:pPr>
            <w:r>
              <w:rPr>
                <w:rFonts w:ascii="Arial" w:cs="Arial" w:eastAsia="Arial" w:hAnsi="Arial"/>
                <w:b/>
                <w:bCs/>
                <w:color w:val="595959"/>
                <w:sz w:val="18"/>
                <w:szCs w:val="18"/>
              </w:rPr>
              <w:t xml:space="preserve">MANAGEMENT RESPONSE — DEF-2024-03</w:t>
            </w:r>
          </w:p>
          <w:p>
            <w:pPr>
              <w:spacing w:before="0" w:after="60"/>
            </w:pPr>
            <w:r>
              <w:rPr>
                <w:rFonts w:ascii="Arial" w:cs="Arial" w:eastAsia="Arial" w:hAnsi="Arial"/>
                <w:sz w:val="18"/>
                <w:szCs w:val="18"/>
              </w:rPr>
              <w:t xml:space="preserve">Management concurs with this finding. We acknowledge that the SAP ECC access revocation for K. Oduya was not completed within the required one business day SLA. We note, consistent with the audit team's finding, that the employee's Active Directory account was disabled timely and no unauthorized SAP activity was identified during the gap period. This was an isolated occurrence resulting from workload sequencing during a busy access processing period.</w:t>
            </w:r>
          </w:p>
          <w:p>
            <w:pPr>
              <w:spacing w:before="0" w:after="60"/>
            </w:pPr>
            <w:r>
              <w:rPr>
                <w:rFonts w:ascii="Arial" w:cs="Arial" w:eastAsia="Arial" w:hAnsi="Arial"/>
                <w:sz w:val="18"/>
                <w:szCs w:val="18"/>
              </w:rPr>
              <w:t xml:space="preserve">We will implement the ServiceNow escalation alert (Recommendation 1) by February 28, 2025 and will update the Offboarding SOP to address workload prioritization by March 15, 2025. The daily exception report (Recommendation 3) is simple to implement and will be operational by February 15, 2025.</w:t>
            </w:r>
          </w:p>
          <w:p>
            <w:pPr>
              <w:spacing w:before="0" w:after="0"/>
            </w:pPr>
            <w:r>
              <w:rPr>
                <w:rFonts w:ascii="Arial" w:cs="Arial" w:eastAsia="Arial" w:hAnsi="Arial"/>
                <w:b/>
                <w:bCs/>
                <w:color w:val="595959"/>
                <w:sz w:val="18"/>
                <w:szCs w:val="18"/>
              </w:rPr>
              <w:t xml:space="preserve">Responsible Party: Linda Pham, IT Security Manager   |   Target Remediation Date: March 15, 2025</w:t>
            </w:r>
          </w:p>
        </w:tc>
      </w:tr>
    </w:tbl>
    <w:p>
      <w:pPr>
        <w:spacing w:before="180" w:after="0"/>
      </w:pPr>
    </w:p>
    <w:p>
      <w:pPr>
        <w:pStyle w:val="Heading1"/>
        <w:spacing w:before="320" w:after="100"/>
      </w:pPr>
      <w:r>
        <w:rPr>
          <w:rFonts w:ascii="Arial" w:cs="Arial" w:eastAsia="Arial" w:hAnsi="Arial"/>
          <w:b/>
          <w:bCs/>
          <w:color w:val="1F3864"/>
          <w:sz w:val="28"/>
          <w:szCs w:val="28"/>
        </w:rPr>
        <w:t xml:space="preserve">4.  Deficiency Summary Table</w:t>
      </w:r>
    </w:p>
    <w:p>
      <w:pPr>
        <w:pBdr>
          <w:bottom w:val="single" w:color="2E5FA3" w:sz="12"/>
        </w:pBdr>
        <w:spacing w:before="100" w:after="100"/>
      </w:pPr>
    </w:p>
    <w:p>
      <w:pPr>
        <w:spacing w:before="80" w:after="80"/>
      </w:pPr>
      <w:r>
        <w:rPr>
          <w:rFonts w:ascii="Arial" w:cs="Arial" w:eastAsia="Arial" w:hAnsi="Arial"/>
          <w:sz w:val="20"/>
          <w:szCs w:val="20"/>
        </w:rPr>
        <w:t xml:space="preserve">The table below provides a consolidated summary of all deficiencies identified during FY2024 ITGC testing, including severity ratings, current status, responsible parties, and target remediation dates.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2200"/>
        <w:gridCol w:w="1400"/>
        <w:gridCol w:w="1060"/>
        <w:gridCol w:w="1600"/>
        <w:gridCol w:w="1200"/>
      </w:tblGrid>
      <w:tr>
        <w:trPr>
          <w:tblHeader/>
        </w:trPr>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Deficiency
Ref.</w:t>
            </w:r>
          </w:p>
        </w:tc>
        <w:tc>
          <w:tcPr>
            <w:tcW w:type="dxa" w:w="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Control
ID</w:t>
            </w:r>
          </w:p>
        </w:tc>
        <w:tc>
          <w:tcPr>
            <w:tcW w:type="dxa" w:w="2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Control / Finding Summary</w:t>
            </w:r>
          </w:p>
        </w:tc>
        <w:tc>
          <w:tcPr>
            <w:tcW w:type="dxa" w:w="1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Process
Area</w:t>
            </w:r>
          </w:p>
        </w:tc>
        <w:tc>
          <w:tcPr>
            <w:tcW w:type="dxa" w:w="106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Severity</w:t>
            </w:r>
          </w:p>
        </w:tc>
        <w:tc>
          <w:tcPr>
            <w:tcW w:type="dxa" w:w="16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Responsible
Party</w:t>
            </w:r>
          </w:p>
        </w:tc>
        <w:tc>
          <w:tcPr>
            <w:tcW w:type="dxa" w:w="12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Target
Remediation</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color w:val="833C00"/>
                <w:sz w:val="18"/>
                <w:szCs w:val="18"/>
              </w:rPr>
              <w:t xml:space="preserve">DEF-2024-01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CM-01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3 of 40 sampled change requests (7.5%) were implemented without complete prior CAB approval. One change (InvManager DB schema) had no approval whatsoever.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Change Mgmt.</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color w:val="833C00"/>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Sarah Okonkwo, VP 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April 30, 2025</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center"/>
            </w:pPr>
            <w:r>
              <w:rPr>
                <w:rFonts w:ascii="Arial" w:cs="Arial" w:eastAsia="Arial" w:hAnsi="Arial"/>
                <w:b/>
                <w:bCs/>
                <w:color w:val="7F6000"/>
                <w:sz w:val="18"/>
                <w:szCs w:val="18"/>
              </w:rPr>
              <w:t xml:space="preserve">DEF-2024-02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AM-03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Q3 2024 quarterly access recertification for InvManager completed 13 days past required deadline due to system owner travel with no coverage arranged.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Access Mgmt.</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center"/>
            </w:pPr>
            <w:r>
              <w:rPr>
                <w:rFonts w:ascii="Arial" w:cs="Arial" w:eastAsia="Arial" w:hAnsi="Arial"/>
                <w:b/>
                <w:bCs/>
                <w:color w:val="7F6000"/>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Linda Pham, IT Security Mgr.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March 31, 2025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center"/>
            </w:pPr>
            <w:r>
              <w:rPr>
                <w:rFonts w:ascii="Arial" w:cs="Arial" w:eastAsia="Arial" w:hAnsi="Arial"/>
                <w:b/>
                <w:bCs/>
                <w:color w:val="595959"/>
                <w:sz w:val="18"/>
                <w:szCs w:val="18"/>
              </w:rPr>
              <w:t xml:space="preserve">DEF-2024-03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AM-02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SAP ECC access revocation for 1 of 25 sampled terminations (4%) exceeded the 1 business day SLA by approximately 1 business day. AD disable was timely; no unauthorized activity identified.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Access Mgmt.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center"/>
            </w:pPr>
            <w:r>
              <w:rPr>
                <w:rFonts w:ascii="Arial" w:cs="Arial" w:eastAsia="Arial" w:hAnsi="Arial"/>
                <w:b/>
                <w:bCs/>
                <w:color w:val="595959"/>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Linda Pham, IT Security Mgr.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March 15, 2025</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DCE0" w:val="clear"/>
            <w:tcMar>
              <w:top w:type="dxa" w:w="60"/>
              <w:left w:type="dxa" w:w="120"/>
              <w:bottom w:type="dxa" w:w="60"/>
              <w:right w:type="dxa" w:w="120"/>
            </w:tcMar>
          </w:tcPr>
          <w:p>
            <w:r>
              <w:rPr>
                <w:rFonts w:ascii="Arial" w:cs="Arial" w:eastAsia="Arial" w:hAnsi="Arial"/>
                <w:b/>
                <w:bCs/>
                <w:color w:val="C00000"/>
                <w:sz w:val="18"/>
                <w:szCs w:val="18"/>
              </w:rPr>
              <w:t xml:space="preserve">● OPEN</w:t>
            </w:r>
            <w:r>
              <w:rPr>
                <w:rFonts w:ascii="Arial" w:cs="Arial" w:eastAsia="Arial" w:hAnsi="Arial"/>
                <w:sz w:val="18"/>
                <w:szCs w:val="18"/>
              </w:rPr>
              <w:t xml:space="preserve"> — Deficiency has been communicated to management. Remediation in progress or pending initiation. Will be re-tested in FY2025 interim ITGC procedures.</w:t>
            </w:r>
          </w:p>
        </w:tc>
        <w:tc>
          <w:tcPr>
            <w:tcW w:type="dxa" w:w="46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 REMEDIATED</w:t>
            </w:r>
            <w:r>
              <w:rPr>
                <w:rFonts w:ascii="Arial" w:cs="Arial" w:eastAsia="Arial" w:hAnsi="Arial"/>
                <w:sz w:val="18"/>
                <w:szCs w:val="18"/>
              </w:rPr>
              <w:t xml:space="preserve"> — Remediation completed and verified by the audit team. Evidence of remediation retained in workpapers.</w:t>
            </w:r>
          </w:p>
        </w:tc>
      </w:tr>
    </w:tbl>
    <w:p>
      <w:pPr>
        <w:spacing w:before="180" w:after="0"/>
      </w:pPr>
    </w:p>
    <w:p>
      <w:pPr>
        <w:pStyle w:val="Heading1"/>
        <w:spacing w:before="320" w:after="100"/>
      </w:pPr>
      <w:r>
        <w:rPr>
          <w:rFonts w:ascii="Arial" w:cs="Arial" w:eastAsia="Arial" w:hAnsi="Arial"/>
          <w:b/>
          <w:bCs/>
          <w:color w:val="1F3864"/>
          <w:sz w:val="28"/>
          <w:szCs w:val="28"/>
        </w:rPr>
        <w:t xml:space="preserve">5.  Conclusion and Next Steps</w:t>
      </w:r>
    </w:p>
    <w:p>
      <w:pPr>
        <w:pBdr>
          <w:bottom w:val="single" w:color="2E5FA3" w:sz="12"/>
        </w:pBdr>
        <w:spacing w:before="100" w:after="100"/>
      </w:pPr>
    </w:p>
    <w:p>
      <w:pPr>
        <w:spacing w:before="80" w:after="80"/>
      </w:pPr>
      <w:r>
        <w:rPr>
          <w:rFonts w:ascii="Arial" w:cs="Arial" w:eastAsia="Arial" w:hAnsi="Arial"/>
          <w:sz w:val="20"/>
          <w:szCs w:val="20"/>
        </w:rPr>
        <w:t xml:space="preserve">The three deficiencies identified in this memorandum collectively indicate that MT Corporation's ITGC control environment requires targeted remediation in the areas of change management authorization and access management. The High-rated deficiency (DEF-2024-01) warrants priority attention given the evidence of changes implemented without documented approval in financially relevant systems.</w:t>
      </w:r>
    </w:p>
    <w:p>
      <w:pPr>
        <w:spacing w:before="80" w:after="80"/>
      </w:pPr>
      <w:r>
        <w:rPr>
          <w:rFonts w:ascii="Arial" w:cs="Arial" w:eastAsia="Arial" w:hAnsi="Arial"/>
          <w:sz w:val="20"/>
          <w:szCs w:val="20"/>
        </w:rPr>
        <w:t xml:space="preserve">Management is requested to:</w:t>
      </w:r>
    </w:p>
    <w:p>
      <w:pPr>
        <w:pStyle w:val="ListParagraph"/>
        <w:numPr>
          <w:ilvl w:val="0"/>
          <w:numId w:val="2"/>
        </w:numPr>
        <w:spacing w:before="40" w:after="40"/>
      </w:pPr>
      <w:r>
        <w:rPr>
          <w:rFonts w:ascii="Arial" w:cs="Arial" w:eastAsia="Arial" w:hAnsi="Arial"/>
          <w:sz w:val="20"/>
          <w:szCs w:val="20"/>
        </w:rPr>
        <w:t xml:space="preserve">Review this memorandum and provide formal written management responses for each deficiency by February 21, 2025 (responses have been incorporated above in draft form pending formal sign-off).</w:t>
      </w:r>
    </w:p>
    <w:p>
      <w:pPr>
        <w:pStyle w:val="ListParagraph"/>
        <w:numPr>
          <w:ilvl w:val="0"/>
          <w:numId w:val="2"/>
        </w:numPr>
        <w:spacing w:before="40" w:after="40"/>
      </w:pPr>
      <w:r>
        <w:rPr>
          <w:rFonts w:ascii="Arial" w:cs="Arial" w:eastAsia="Arial" w:hAnsi="Arial"/>
          <w:sz w:val="20"/>
          <w:szCs w:val="20"/>
        </w:rPr>
        <w:t xml:space="preserve">Implement the recommended remediation actions in accordance with the target dates noted above.</w:t>
      </w:r>
    </w:p>
    <w:p>
      <w:pPr>
        <w:pStyle w:val="ListParagraph"/>
        <w:numPr>
          <w:ilvl w:val="0"/>
          <w:numId w:val="2"/>
        </w:numPr>
        <w:spacing w:before="40" w:after="40"/>
      </w:pPr>
      <w:r>
        <w:rPr>
          <w:rFonts w:ascii="Arial" w:cs="Arial" w:eastAsia="Arial" w:hAnsi="Arial"/>
          <w:sz w:val="20"/>
          <w:szCs w:val="20"/>
        </w:rPr>
        <w:t xml:space="preserve">Provide the audit team with evidence of remediation as it becomes available, including ServiceNow workflow configuration screenshots, updated policy documents, and training completion records.</w:t>
      </w:r>
    </w:p>
    <w:p>
      <w:pPr>
        <w:spacing w:before="60" w:after="0"/>
      </w:pPr>
    </w:p>
    <w:p>
      <w:pPr>
        <w:spacing w:before="80" w:after="80"/>
      </w:pPr>
      <w:r>
        <w:rPr>
          <w:rFonts w:ascii="Arial" w:cs="Arial" w:eastAsia="Arial" w:hAnsi="Arial"/>
          <w:sz w:val="20"/>
          <w:szCs w:val="20"/>
        </w:rPr>
        <w:t xml:space="preserve">The audit team will perform follow-up procedures during FY2025 interim ITGC testing to assess whether the identified deficiencies have been appropriately remediated. Deficiencies that remain open at the time of FY2025 testing will be evaluated for potential elevation in severity rating.</w:t>
      </w:r>
    </w:p>
    <w:p>
      <w:pPr>
        <w:spacing w:before="180" w:after="0"/>
      </w:pPr>
    </w:p>
    <w:p>
      <w:pPr>
        <w:pBdr>
          <w:bottom w:val="single" w:color="2E5FA3" w:sz="12"/>
        </w:pBdr>
        <w:spacing w:before="100" w:after="100"/>
      </w:pPr>
    </w:p>
    <w:p>
      <w:pPr>
        <w:spacing w:before="120" w:after="0"/>
      </w:pPr>
    </w:p>
    <w:p>
      <w:pPr>
        <w:pStyle w:val="Heading2"/>
        <w:spacing w:before="200" w:after="80"/>
      </w:pPr>
      <w:r>
        <w:rPr>
          <w:rFonts w:ascii="Arial" w:cs="Arial" w:eastAsia="Arial" w:hAnsi="Arial"/>
          <w:b/>
          <w:bCs/>
          <w:color w:val="2E5FA3"/>
          <w:sz w:val="24"/>
          <w:szCs w:val="24"/>
        </w:rPr>
        <w:t xml:space="preserve">Auditor Sign-Off</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Prepared By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Reviewed By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bCs/>
                <w:color w:val="1F3864"/>
                <w:sz w:val="18"/>
                <w:szCs w:val="18"/>
              </w:rPr>
              <w:t xml:space="preserve">Acknowledged By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Mihir Trivedi
Associate
Date: February 10, 2025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John Doe
Senior Associate
Date: ___________________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color w:val="000000"/>
                <w:sz w:val="18"/>
                <w:szCs w:val="18"/>
              </w:rPr>
              <w:t xml:space="preserve">Sarah Okonkwo
VP Information Technology
Date: ___________________</w:t>
            </w:r>
          </w:p>
        </w:tc>
      </w:tr>
    </w:tbl>
    <w:p>
      <w:pPr>
        <w:spacing w:before="12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spacing w:before="80" w:after="0"/>
    </w:pPr>
    <w:r>
      <w:rPr>
        <w:rFonts w:ascii="Arial" w:cs="Arial" w:eastAsia="Arial" w:hAnsi="Arial"/>
        <w:color w:val="595959"/>
        <w:sz w:val="16"/>
        <w:szCs w:val="16"/>
      </w:rPr>
      <w:t xml:space="preserve">Prepared: Mihir Trivedi  |  Reviewed: John Doe  |  February 10, 2025</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spacing w:before="0" w:after="80"/>
    </w:pPr>
    <w:r>
      <w:rPr>
        <w:rFonts w:ascii="Arial" w:cs="Arial" w:eastAsia="Arial" w:hAnsi="Arial"/>
        <w:color w:val="595959"/>
        <w:sz w:val="16"/>
        <w:szCs w:val="16"/>
      </w:rPr>
      <w:t xml:space="preserve">MT Corporation — ITGC Deficiency Memorandum — FY2024</w:t>
    </w:r>
    <w:r>
      <w:rPr>
        <w:rFonts w:ascii="Arial" w:cs="Arial" w:eastAsia="Arial" w:hAnsi="Arial"/>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2026-03-12T16:09:15.245Z</dcterms:created>
  <dcterms:modified xsi:type="dcterms:W3CDTF">2026-03-12T16:09:15.246Z</dcterms:modified>
</cp:coreProperties>
</file>

<file path=docProps/custom.xml><?xml version="1.0" encoding="utf-8"?>
<Properties xmlns="http://schemas.openxmlformats.org/officeDocument/2006/custom-properties" xmlns:vt="http://schemas.openxmlformats.org/officeDocument/2006/docPropsVTypes"/>
</file>