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0" w:after="200"/>
        <w:jc w:val="center"/>
      </w:pPr>
      <w:r>
        <w:rPr>
          <w:rFonts w:ascii="Arial" w:cs="Arial" w:eastAsia="Arial" w:hAnsi="Arial"/>
          <w:b/>
          <w:bCs/>
          <w:color w:val="1F3864"/>
          <w:sz w:val="52"/>
          <w:szCs w:val="52"/>
        </w:rPr>
        <w:t xml:space="preserve">MT CORPORATION</w:t>
      </w:r>
    </w:p>
    <w:p>
      <w:pPr>
        <w:spacing w:before="0" w:after="100"/>
        <w:jc w:val="center"/>
      </w:pPr>
      <w:r>
        <w:rPr>
          <w:rFonts w:ascii="Arial" w:cs="Arial" w:eastAsia="Arial" w:hAnsi="Arial"/>
          <w:color w:val="2E5FA3"/>
          <w:sz w:val="32"/>
          <w:szCs w:val="32"/>
        </w:rPr>
        <w:t xml:space="preserve">Information Technology General Controls (ITGC) Audit</w:t>
      </w:r>
    </w:p>
    <w:p>
      <w:pPr>
        <w:spacing w:before="0" w:after="600"/>
        <w:jc w:val="center"/>
      </w:pPr>
      <w:r>
        <w:rPr>
          <w:rFonts w:ascii="Arial" w:cs="Arial" w:eastAsia="Arial" w:hAnsi="Arial"/>
          <w:b/>
          <w:bCs/>
          <w:color w:val="2E5FA3"/>
          <w:sz w:val="28"/>
          <w:szCs w:val="28"/>
        </w:rPr>
        <w:t xml:space="preserve">Planning Memorandum – Fiscal Year 2024</w:t>
      </w:r>
    </w:p>
    <w:p>
      <w:pPr>
        <w:pBdr>
          <w:bottom w:val="single" w:color="1F3864" w:sz="12"/>
        </w:pBdr>
        <w:spacing w:before="120" w:after="120"/>
      </w:pPr>
    </w:p>
    <w:p>
      <w:pPr>
        <w:spacing w:before="400"/>
      </w:pPr>
    </w:p>
    <w:p>
      <w:pPr>
        <w:spacing w:before="80" w:after="80"/>
      </w:pPr>
      <w:r>
        <w:rPr>
          <w:rFonts w:ascii="Arial" w:cs="Arial" w:eastAsia="Arial" w:hAnsi="Arial"/>
          <w:b/>
          <w:bCs/>
          <w:color w:val="1F3864"/>
          <w:sz w:val="22"/>
          <w:szCs w:val="22"/>
        </w:rPr>
        <w:t xml:space="preserve">Client: </w:t>
      </w:r>
      <w:r>
        <w:rPr>
          <w:rFonts w:ascii="Arial" w:cs="Arial" w:eastAsia="Arial" w:hAnsi="Arial"/>
          <w:sz w:val="22"/>
          <w:szCs w:val="22"/>
        </w:rPr>
        <w:t xml:space="preserve">MT Corporation</w:t>
      </w:r>
    </w:p>
    <w:p>
      <w:pPr>
        <w:spacing w:before="80" w:after="80"/>
      </w:pPr>
      <w:r>
        <w:rPr>
          <w:rFonts w:ascii="Arial" w:cs="Arial" w:eastAsia="Arial" w:hAnsi="Arial"/>
          <w:b/>
          <w:bCs/>
          <w:color w:val="1F3864"/>
          <w:sz w:val="22"/>
          <w:szCs w:val="22"/>
        </w:rPr>
        <w:t xml:space="preserve">Fiscal Year: </w:t>
      </w:r>
      <w:r>
        <w:rPr>
          <w:rFonts w:ascii="Arial" w:cs="Arial" w:eastAsia="Arial" w:hAnsi="Arial"/>
          <w:sz w:val="22"/>
          <w:szCs w:val="22"/>
        </w:rPr>
        <w:t xml:space="preserve">January 1, 2024 – December 31, 2024</w:t>
      </w:r>
    </w:p>
    <w:p>
      <w:pPr>
        <w:spacing w:before="80" w:after="80"/>
      </w:pPr>
      <w:r>
        <w:rPr>
          <w:rFonts w:ascii="Arial" w:cs="Arial" w:eastAsia="Arial" w:hAnsi="Arial"/>
          <w:b/>
          <w:bCs/>
          <w:color w:val="1F3864"/>
          <w:sz w:val="22"/>
          <w:szCs w:val="22"/>
        </w:rPr>
        <w:t xml:space="preserve">Engagement Type: </w:t>
      </w:r>
      <w:r>
        <w:rPr>
          <w:rFonts w:ascii="Arial" w:cs="Arial" w:eastAsia="Arial" w:hAnsi="Arial"/>
          <w:sz w:val="22"/>
          <w:szCs w:val="22"/>
        </w:rPr>
        <w:t xml:space="preserve">SOX Section 404 – ITGC Audit</w:t>
      </w:r>
    </w:p>
    <w:p>
      <w:pPr>
        <w:spacing w:before="80" w:after="80"/>
      </w:pPr>
      <w:r>
        <w:rPr>
          <w:rFonts w:ascii="Arial" w:cs="Arial" w:eastAsia="Arial" w:hAnsi="Arial"/>
          <w:b/>
          <w:bCs/>
          <w:color w:val="1F3864"/>
          <w:sz w:val="22"/>
          <w:szCs w:val="22"/>
        </w:rPr>
        <w:t xml:space="preserve">Prepared By: </w:t>
      </w:r>
      <w:r>
        <w:rPr>
          <w:rFonts w:ascii="Arial" w:cs="Arial" w:eastAsia="Arial" w:hAnsi="Arial"/>
          <w:sz w:val="22"/>
          <w:szCs w:val="22"/>
        </w:rPr>
        <w:t xml:space="preserve">Mihir Trivedi, Associate</w:t>
      </w:r>
    </w:p>
    <w:p>
      <w:pPr>
        <w:spacing w:before="80" w:after="80"/>
      </w:pPr>
      <w:r>
        <w:rPr>
          <w:rFonts w:ascii="Arial" w:cs="Arial" w:eastAsia="Arial" w:hAnsi="Arial"/>
          <w:b/>
          <w:bCs/>
          <w:color w:val="1F3864"/>
          <w:sz w:val="22"/>
          <w:szCs w:val="22"/>
        </w:rPr>
        <w:t xml:space="preserve">Reviewed By: </w:t>
      </w:r>
      <w:r>
        <w:rPr>
          <w:rFonts w:ascii="Arial" w:cs="Arial" w:eastAsia="Arial" w:hAnsi="Arial"/>
          <w:sz w:val="22"/>
          <w:szCs w:val="22"/>
        </w:rPr>
        <w:t xml:space="preserve">John Doe, Senior Associate</w:t>
      </w:r>
    </w:p>
    <w:p>
      <w:pPr>
        <w:spacing w:before="80" w:after="80"/>
      </w:pPr>
      <w:r>
        <w:rPr>
          <w:rFonts w:ascii="Arial" w:cs="Arial" w:eastAsia="Arial" w:hAnsi="Arial"/>
          <w:b/>
          <w:bCs/>
          <w:color w:val="1F3864"/>
          <w:sz w:val="22"/>
          <w:szCs w:val="22"/>
        </w:rPr>
        <w:t xml:space="preserve">Date Prepared: </w:t>
      </w:r>
      <w:r>
        <w:rPr>
          <w:rFonts w:ascii="Arial" w:cs="Arial" w:eastAsia="Arial" w:hAnsi="Arial"/>
          <w:sz w:val="22"/>
          <w:szCs w:val="22"/>
        </w:rPr>
        <w:t xml:space="preserve">January 6, 2025</w:t>
      </w:r>
    </w:p>
    <w:p>
      <w:pPr>
        <w:spacing w:before="80" w:after="80"/>
      </w:pPr>
      <w:r>
        <w:rPr>
          <w:rFonts w:ascii="Arial" w:cs="Arial" w:eastAsia="Arial" w:hAnsi="Arial"/>
          <w:b/>
          <w:bCs/>
          <w:color w:val="1F3864"/>
          <w:sz w:val="22"/>
          <w:szCs w:val="22"/>
        </w:rPr>
        <w:t xml:space="preserve">Document Status: </w:t>
      </w:r>
      <w:r>
        <w:rPr>
          <w:rFonts w:ascii="Arial" w:cs="Arial" w:eastAsia="Arial" w:hAnsi="Arial"/>
          <w:sz w:val="22"/>
          <w:szCs w:val="22"/>
        </w:rPr>
        <w:t xml:space="preserve">DRAFT – Subject to Review</w:t>
      </w:r>
    </w:p>
    <w:p>
      <w:pPr>
        <w:spacing w:before="400"/>
      </w:pPr>
    </w:p>
    <w:p>
      <w:pPr>
        <w:pBdr>
          <w:bottom w:val="single" w:color="1F3864" w:sz="12"/>
        </w:pBdr>
        <w:spacing w:before="120" w:after="120"/>
      </w:pPr>
    </w:p>
    <w:p>
      <w:pPr>
        <w:spacing w:before="200" w:after="80"/>
        <w:jc w:val="center"/>
      </w:pPr>
      <w:r>
        <w:rPr>
          <w:rFonts w:ascii="Arial" w:cs="Arial" w:eastAsia="Arial" w:hAnsi="Arial"/>
          <w:b/>
          <w:bCs/>
          <w:color w:val="C00000"/>
          <w:sz w:val="20"/>
          <w:szCs w:val="20"/>
        </w:rPr>
        <w:t xml:space="preserve">CONFIDENTIAL</w:t>
      </w:r>
    </w:p>
    <w:p>
      <w:pPr>
        <w:spacing w:before="0" w:after="0"/>
        <w:jc w:val="center"/>
      </w:pPr>
      <w:r>
        <w:rPr>
          <w:rFonts w:ascii="Arial" w:cs="Arial" w:eastAsia="Arial" w:hAnsi="Arial"/>
          <w:i/>
          <w:iCs/>
          <w:color w:val="666666"/>
          <w:sz w:val="16"/>
          <w:szCs w:val="16"/>
        </w:rPr>
        <w:t xml:space="preserve">This document contains privileged and confidential information intended solely for the use of MT Corporation management and authorized audit personnel.</w:t>
      </w:r>
    </w:p>
    <w:p>
      <w:r>
        <w:br w:type="page"/>
      </w:r>
    </w:p>
    <w:p>
      <w:pPr>
        <w:pStyle w:val="Heading1"/>
        <w:spacing w:before="320" w:after="120"/>
      </w:pPr>
      <w:r>
        <w:rPr>
          <w:rFonts w:ascii="Arial" w:cs="Arial" w:eastAsia="Arial" w:hAnsi="Arial"/>
          <w:b/>
          <w:bCs/>
          <w:color w:val="1F3864"/>
          <w:sz w:val="28"/>
          <w:szCs w:val="28"/>
        </w:rPr>
        <w:t xml:space="preserve">1.  Background and Engagement Overview</w:t>
      </w:r>
    </w:p>
    <w:p>
      <w:pPr>
        <w:pBdr>
          <w:bottom w:val="single" w:color="2E5FA3" w:sz="12"/>
        </w:pBdr>
        <w:spacing w:before="120" w:after="120"/>
      </w:pPr>
    </w:p>
    <w:p>
      <w:pPr>
        <w:pStyle w:val="Heading2"/>
        <w:spacing w:before="200" w:after="80"/>
      </w:pPr>
      <w:r>
        <w:rPr>
          <w:rFonts w:ascii="Arial" w:cs="Arial" w:eastAsia="Arial" w:hAnsi="Arial"/>
          <w:b/>
          <w:bCs/>
          <w:color w:val="2E5FA3"/>
          <w:sz w:val="24"/>
          <w:szCs w:val="24"/>
        </w:rPr>
        <w:t xml:space="preserve">1.1  Company Background</w:t>
      </w:r>
    </w:p>
    <w:p>
      <w:pPr>
        <w:spacing w:before="60" w:after="60"/>
      </w:pPr>
      <w:r>
        <w:rPr>
          <w:rFonts w:ascii="Arial" w:cs="Arial" w:eastAsia="Arial" w:hAnsi="Arial"/>
          <w:sz w:val="20"/>
          <w:szCs w:val="20"/>
        </w:rPr>
        <w:t xml:space="preserve">MT Corporation ("MT Corp" or the "Company") is a publicly traded manufacturing company headquartered in Pflugerville, Texas. The Company is subject to the reporting requirements of the Securities Exchange Act of 1934, including the internal control provisions of Section 404 of the Sarbanes-Oxley Act of 2002 ("SOX"). For fiscal year 2024, the Company reported annual revenues of approximately $500 million.</w:t>
      </w:r>
    </w:p>
    <w:p>
      <w:pPr>
        <w:spacing w:before="60" w:after="60"/>
      </w:pPr>
      <w:r>
        <w:rPr>
          <w:rFonts w:ascii="Arial" w:cs="Arial" w:eastAsia="Arial" w:hAnsi="Arial"/>
          <w:sz w:val="20"/>
          <w:szCs w:val="20"/>
        </w:rPr>
        <w:t xml:space="preserve">MT Corp's operations span multiple manufacturing facilities and distribution centers, supported by an enterprise-wide technology infrastructure. The IT environment plays a critical role in supporting key financial reporting processes, including procurement-to-pay, order-to-cash, and inventory management.</w:t>
      </w:r>
    </w:p>
    <w:p>
      <w:pPr>
        <w:pStyle w:val="Heading2"/>
        <w:spacing w:before="200" w:after="80"/>
      </w:pPr>
      <w:r>
        <w:rPr>
          <w:rFonts w:ascii="Arial" w:cs="Arial" w:eastAsia="Arial" w:hAnsi="Arial"/>
          <w:b/>
          <w:bCs/>
          <w:color w:val="2E5FA3"/>
          <w:sz w:val="24"/>
          <w:szCs w:val="24"/>
        </w:rPr>
        <w:t xml:space="preserve">1.2  Engagement Objectives</w:t>
      </w:r>
    </w:p>
    <w:p>
      <w:pPr>
        <w:spacing w:before="60" w:after="60"/>
      </w:pPr>
      <w:r>
        <w:rPr>
          <w:rFonts w:ascii="Arial" w:cs="Arial" w:eastAsia="Arial" w:hAnsi="Arial"/>
          <w:sz w:val="20"/>
          <w:szCs w:val="20"/>
        </w:rPr>
        <w:t xml:space="preserve">The primary objectives of this ITGC audit engagement are as follows:</w:t>
      </w:r>
    </w:p>
    <w:p>
      <w:pPr>
        <w:pStyle w:val="ListParagraph"/>
        <w:numPr>
          <w:ilvl w:val="0"/>
          <w:numId w:val="2"/>
        </w:numPr>
        <w:spacing w:before="40" w:after="40"/>
      </w:pPr>
      <w:r>
        <w:rPr>
          <w:rFonts w:ascii="Arial" w:cs="Arial" w:eastAsia="Arial" w:hAnsi="Arial"/>
          <w:sz w:val="20"/>
          <w:szCs w:val="20"/>
        </w:rPr>
        <w:t xml:space="preserve">Evaluate the design and operating effectiveness of IT General Controls (ITGCs) over in-scope systems supporting MT Corporation's financial reporting processes.</w:t>
      </w:r>
    </w:p>
    <w:p>
      <w:pPr>
        <w:pStyle w:val="ListParagraph"/>
        <w:numPr>
          <w:ilvl w:val="0"/>
          <w:numId w:val="2"/>
        </w:numPr>
        <w:spacing w:before="40" w:after="40"/>
      </w:pPr>
      <w:r>
        <w:rPr>
          <w:rFonts w:ascii="Arial" w:cs="Arial" w:eastAsia="Arial" w:hAnsi="Arial"/>
          <w:sz w:val="20"/>
          <w:szCs w:val="20"/>
        </w:rPr>
        <w:t xml:space="preserve">Identify and communicate control deficiencies, if any, that could affect the reliability of data generated by in-scope systems and, by extension, the accuracy of the Company's financial statements.</w:t>
      </w:r>
    </w:p>
    <w:p>
      <w:pPr>
        <w:pStyle w:val="ListParagraph"/>
        <w:numPr>
          <w:ilvl w:val="0"/>
          <w:numId w:val="2"/>
        </w:numPr>
        <w:spacing w:before="40" w:after="40"/>
      </w:pPr>
      <w:r>
        <w:rPr>
          <w:rFonts w:ascii="Arial" w:cs="Arial" w:eastAsia="Arial" w:hAnsi="Arial"/>
          <w:sz w:val="20"/>
          <w:szCs w:val="20"/>
        </w:rPr>
        <w:t xml:space="preserve">Provide management with actionable recommendations to remediate identified deficiencies and enhance the overall IT control environment.</w:t>
      </w:r>
    </w:p>
    <w:p>
      <w:pPr>
        <w:pStyle w:val="ListParagraph"/>
        <w:numPr>
          <w:ilvl w:val="0"/>
          <w:numId w:val="2"/>
        </w:numPr>
        <w:spacing w:before="40" w:after="40"/>
      </w:pPr>
      <w:r>
        <w:rPr>
          <w:rFonts w:ascii="Arial" w:cs="Arial" w:eastAsia="Arial" w:hAnsi="Arial"/>
          <w:sz w:val="20"/>
          <w:szCs w:val="20"/>
        </w:rPr>
        <w:t xml:space="preserve">Fulfill the requirements of SOX Section 404(b) with respect to independent assessment of internal controls over financial reporting (ICFR).</w:t>
      </w:r>
    </w:p>
    <w:p>
      <w:pPr>
        <w:pStyle w:val="Heading2"/>
        <w:spacing w:before="200" w:after="80"/>
      </w:pPr>
      <w:r>
        <w:rPr>
          <w:rFonts w:ascii="Arial" w:cs="Arial" w:eastAsia="Arial" w:hAnsi="Arial"/>
          <w:b/>
          <w:bCs/>
          <w:color w:val="2E5FA3"/>
          <w:sz w:val="24"/>
          <w:szCs w:val="24"/>
        </w:rPr>
        <w:t xml:space="preserve">1.3  Audit Standards and Framework</w:t>
      </w:r>
    </w:p>
    <w:p>
      <w:pPr>
        <w:spacing w:before="60" w:after="60"/>
      </w:pPr>
      <w:r>
        <w:rPr>
          <w:rFonts w:ascii="Arial" w:cs="Arial" w:eastAsia="Arial" w:hAnsi="Arial"/>
          <w:sz w:val="20"/>
          <w:szCs w:val="20"/>
        </w:rPr>
        <w:t xml:space="preserve">This engagement has been conducted in accordance with the following professional standards and frameworks:</w:t>
      </w:r>
    </w:p>
    <w:p>
      <w:pPr>
        <w:pStyle w:val="ListParagraph"/>
        <w:numPr>
          <w:ilvl w:val="0"/>
          <w:numId w:val="2"/>
        </w:numPr>
        <w:spacing w:before="40" w:after="40"/>
      </w:pPr>
      <w:r>
        <w:rPr>
          <w:rFonts w:ascii="Arial" w:cs="Arial" w:eastAsia="Arial" w:hAnsi="Arial"/>
          <w:sz w:val="20"/>
          <w:szCs w:val="20"/>
        </w:rPr>
        <w:t xml:space="preserve">Sarbanes-Oxley Act of 2002, Section 404 – Management Assessment of Internal Controls</w:t>
      </w:r>
    </w:p>
    <w:p>
      <w:pPr>
        <w:pStyle w:val="ListParagraph"/>
        <w:numPr>
          <w:ilvl w:val="0"/>
          <w:numId w:val="2"/>
        </w:numPr>
        <w:spacing w:before="40" w:after="40"/>
      </w:pPr>
      <w:r>
        <w:rPr>
          <w:rFonts w:ascii="Arial" w:cs="Arial" w:eastAsia="Arial" w:hAnsi="Arial"/>
          <w:sz w:val="20"/>
          <w:szCs w:val="20"/>
        </w:rPr>
        <w:t xml:space="preserve">Public Company Accounting Oversight Board (PCAOB) Auditing Standard No. 2201 – An Audit of Internal Control over Financial Reporting</w:t>
      </w:r>
    </w:p>
    <w:p>
      <w:pPr>
        <w:pStyle w:val="ListParagraph"/>
        <w:numPr>
          <w:ilvl w:val="0"/>
          <w:numId w:val="2"/>
        </w:numPr>
        <w:spacing w:before="40" w:after="40"/>
      </w:pPr>
      <w:r>
        <w:rPr>
          <w:rFonts w:ascii="Arial" w:cs="Arial" w:eastAsia="Arial" w:hAnsi="Arial"/>
          <w:sz w:val="20"/>
          <w:szCs w:val="20"/>
        </w:rPr>
        <w:t xml:space="preserve">ISACA COBIT 2019 Framework – Control Objectives for Information and Related Technologies</w:t>
      </w:r>
    </w:p>
    <w:p>
      <w:pPr>
        <w:pStyle w:val="ListParagraph"/>
        <w:numPr>
          <w:ilvl w:val="0"/>
          <w:numId w:val="2"/>
        </w:numPr>
        <w:spacing w:before="40" w:after="40"/>
      </w:pPr>
      <w:r>
        <w:rPr>
          <w:rFonts w:ascii="Arial" w:cs="Arial" w:eastAsia="Arial" w:hAnsi="Arial"/>
          <w:sz w:val="20"/>
          <w:szCs w:val="20"/>
        </w:rPr>
        <w:t xml:space="preserve">NIST Special Publication 800-53 – Security and Privacy Controls for Federal Information Systems (used as supplemental reference)</w:t>
      </w:r>
    </w:p>
    <w:p>
      <w:pPr>
        <w:pStyle w:val="ListParagraph"/>
        <w:numPr>
          <w:ilvl w:val="0"/>
          <w:numId w:val="2"/>
        </w:numPr>
        <w:spacing w:before="40" w:after="40"/>
      </w:pPr>
      <w:r>
        <w:rPr>
          <w:rFonts w:ascii="Arial" w:cs="Arial" w:eastAsia="Arial" w:hAnsi="Arial"/>
          <w:sz w:val="20"/>
          <w:szCs w:val="20"/>
        </w:rPr>
        <w:t xml:space="preserve">IT Governance Institute (ITGI) – ITGC Best Practices for SOX Compliance</w:t>
      </w:r>
    </w:p>
    <w:p>
      <w:pPr>
        <w:pStyle w:val="Heading1"/>
        <w:spacing w:before="320" w:after="120"/>
      </w:pPr>
      <w:r>
        <w:rPr>
          <w:rFonts w:ascii="Arial" w:cs="Arial" w:eastAsia="Arial" w:hAnsi="Arial"/>
          <w:b/>
          <w:bCs/>
          <w:color w:val="1F3864"/>
          <w:sz w:val="28"/>
          <w:szCs w:val="28"/>
        </w:rPr>
        <w:t xml:space="preserve">2.  Audit Scope</w:t>
      </w:r>
    </w:p>
    <w:p>
      <w:pPr>
        <w:pBdr>
          <w:bottom w:val="single" w:color="2E5FA3" w:sz="12"/>
        </w:pBdr>
        <w:spacing w:before="120" w:after="120"/>
      </w:pPr>
    </w:p>
    <w:p>
      <w:pPr>
        <w:pStyle w:val="Heading2"/>
        <w:spacing w:before="200" w:after="80"/>
      </w:pPr>
      <w:r>
        <w:rPr>
          <w:rFonts w:ascii="Arial" w:cs="Arial" w:eastAsia="Arial" w:hAnsi="Arial"/>
          <w:b/>
          <w:bCs/>
          <w:color w:val="2E5FA3"/>
          <w:sz w:val="24"/>
          <w:szCs w:val="24"/>
        </w:rPr>
        <w:t xml:space="preserve">2.1  In-Scope Systems</w:t>
      </w:r>
    </w:p>
    <w:p>
      <w:pPr>
        <w:spacing w:before="60" w:after="60"/>
      </w:pPr>
      <w:r>
        <w:rPr>
          <w:rFonts w:ascii="Arial" w:cs="Arial" w:eastAsia="Arial" w:hAnsi="Arial"/>
          <w:sz w:val="20"/>
          <w:szCs w:val="20"/>
        </w:rPr>
        <w:t xml:space="preserve">The following information systems have been identified as in-scope for the FY2024 ITGC audit, based on their direct support of financial reporting processes and the materiality of transactions they process:</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3160"/>
      </w:tblGrid>
      <w:tr>
        <w:trPr>
          <w:tblHeader/>
        </w:trPr>
        <w:tc>
          <w:tcPr>
            <w:tcW w:type="dxa" w:w="1600"/>
            <w:tcBorders>
              <w:top w:val="single" w:color="1F3864" w:sz="2"/>
              <w:left w:val="single" w:color="CCCCCC" w:sz="1"/>
              <w:bottom w:val="single" w:color="1F3864" w:sz="2"/>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System</w:t>
            </w:r>
          </w:p>
        </w:tc>
        <w:tc>
          <w:tcPr>
            <w:tcW w:type="dxa" w:w="2400"/>
            <w:tcBorders>
              <w:top w:val="single" w:color="1F3864" w:sz="2"/>
              <w:left w:val="single" w:color="CCCCCC" w:sz="1"/>
              <w:bottom w:val="single" w:color="1F3864" w:sz="2"/>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200"/>
            <w:tcBorders>
              <w:top w:val="single" w:color="1F3864" w:sz="2"/>
              <w:left w:val="single" w:color="CCCCCC" w:sz="1"/>
              <w:bottom w:val="single" w:color="1F3864" w:sz="2"/>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Relevance to Financial Reporting</w:t>
            </w:r>
          </w:p>
        </w:tc>
        <w:tc>
          <w:tcPr>
            <w:tcW w:type="dxa" w:w="3160"/>
            <w:tcBorders>
              <w:top w:val="single" w:color="1F3864" w:sz="2"/>
              <w:left w:val="single" w:color="CCCCCC" w:sz="1"/>
              <w:bottom w:val="single" w:color="1F3864" w:sz="2"/>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Supported Financial Processes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SAP ECC 6.0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Enterprise Resource Planning (ERP) system – primary system of record for all financial transactions.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Processes and records substantially all financial transactions; source of record for general ledger.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Procure-to-Pay (P2P), Order-to-Cash (O2C), General Ledger, Fixed Assets, Accounts Payable/Receivable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Microsoft Active Directory (AD)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Centralized user authentication and authorization platform for all domain-joined systems.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Controls access to all in-scope applications; enforces password and account policies.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User authentication for SAP ECC, InvManager, and all domain-joined workstations and servers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InvManager (Custom)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Proprietary web-based inventory management application developed and maintained internally.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Manages inventory quantities and valuations that feed into SAP ECC for financial reporting.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Inventory tracking, cycle count management, inventory adjustments, COGS reporting</w:t>
            </w:r>
          </w:p>
        </w:tc>
      </w:tr>
    </w:tbl>
    <w:p>
      <w:pPr>
        <w:spacing w:before="160"/>
      </w:pPr>
    </w:p>
    <w:p>
      <w:pPr>
        <w:pStyle w:val="Heading2"/>
        <w:spacing w:before="200" w:after="80"/>
      </w:pPr>
      <w:r>
        <w:rPr>
          <w:rFonts w:ascii="Arial" w:cs="Arial" w:eastAsia="Arial" w:hAnsi="Arial"/>
          <w:b/>
          <w:bCs/>
          <w:color w:val="2E5FA3"/>
          <w:sz w:val="24"/>
          <w:szCs w:val="24"/>
        </w:rPr>
        <w:t xml:space="preserve">2.2  Out-of-Scope Systems</w:t>
      </w:r>
    </w:p>
    <w:p>
      <w:pPr>
        <w:spacing w:before="60" w:after="60"/>
      </w:pPr>
      <w:r>
        <w:rPr>
          <w:rFonts w:ascii="Arial" w:cs="Arial" w:eastAsia="Arial" w:hAnsi="Arial"/>
          <w:sz w:val="20"/>
          <w:szCs w:val="20"/>
        </w:rPr>
        <w:t xml:space="preserve">The following systems were considered but excluded from the FY2024 ITGC audit scope based on materiality assessments and indirect impact on financial reporting:</w:t>
      </w:r>
    </w:p>
    <w:p>
      <w:pPr>
        <w:pStyle w:val="ListParagraph"/>
        <w:numPr>
          <w:ilvl w:val="0"/>
          <w:numId w:val="2"/>
        </w:numPr>
        <w:spacing w:before="40" w:after="40"/>
      </w:pPr>
      <w:r>
        <w:rPr>
          <w:rFonts w:ascii="Arial" w:cs="Arial" w:eastAsia="Arial" w:hAnsi="Arial"/>
          <w:sz w:val="20"/>
          <w:szCs w:val="20"/>
        </w:rPr>
        <w:t xml:space="preserve">Salesforce CRM – does not directly process or record financial transactions; no direct interface to the general ledger.</w:t>
      </w:r>
    </w:p>
    <w:p>
      <w:pPr>
        <w:pStyle w:val="ListParagraph"/>
        <w:numPr>
          <w:ilvl w:val="0"/>
          <w:numId w:val="2"/>
        </w:numPr>
        <w:spacing w:before="40" w:after="40"/>
      </w:pPr>
      <w:r>
        <w:rPr>
          <w:rFonts w:ascii="Arial" w:cs="Arial" w:eastAsia="Arial" w:hAnsi="Arial"/>
          <w:sz w:val="20"/>
          <w:szCs w:val="20"/>
        </w:rPr>
        <w:t xml:space="preserve">Workday HCM – payroll transactions are manually reconciled and posted to SAP ECC; covered under a separate payroll controls review.</w:t>
      </w:r>
    </w:p>
    <w:p>
      <w:pPr>
        <w:pStyle w:val="ListParagraph"/>
        <w:numPr>
          <w:ilvl w:val="0"/>
          <w:numId w:val="2"/>
        </w:numPr>
        <w:spacing w:before="40" w:after="40"/>
      </w:pPr>
      <w:r>
        <w:rPr>
          <w:rFonts w:ascii="Arial" w:cs="Arial" w:eastAsia="Arial" w:hAnsi="Arial"/>
          <w:sz w:val="20"/>
          <w:szCs w:val="20"/>
        </w:rPr>
        <w:t xml:space="preserve">SharePoint / Microsoft 365 – used for document management and collaboration; not a system of record for financial data.</w:t>
      </w:r>
    </w:p>
    <w:p>
      <w:pPr>
        <w:pStyle w:val="Heading2"/>
        <w:spacing w:before="200" w:after="80"/>
      </w:pPr>
      <w:r>
        <w:rPr>
          <w:rFonts w:ascii="Arial" w:cs="Arial" w:eastAsia="Arial" w:hAnsi="Arial"/>
          <w:b/>
          <w:bCs/>
          <w:color w:val="2E5FA3"/>
          <w:sz w:val="24"/>
          <w:szCs w:val="24"/>
        </w:rPr>
        <w:t xml:space="preserve">2.3  In-Scope Locations</w:t>
      </w:r>
    </w:p>
    <w:p>
      <w:pPr>
        <w:spacing w:before="60" w:after="60"/>
      </w:pPr>
      <w:r>
        <w:rPr>
          <w:rFonts w:ascii="Arial" w:cs="Arial" w:eastAsia="Arial" w:hAnsi="Arial"/>
          <w:sz w:val="20"/>
          <w:szCs w:val="20"/>
        </w:rPr>
        <w:t xml:space="preserve">ITGC testing covers controls operated from and for the following locations:</w:t>
      </w:r>
    </w:p>
    <w:p>
      <w:pPr>
        <w:pStyle w:val="ListParagraph"/>
        <w:numPr>
          <w:ilvl w:val="0"/>
          <w:numId w:val="2"/>
        </w:numPr>
        <w:spacing w:before="40" w:after="40"/>
      </w:pPr>
      <w:r>
        <w:rPr>
          <w:rFonts w:ascii="Arial" w:cs="Arial" w:eastAsia="Arial" w:hAnsi="Arial"/>
          <w:sz w:val="20"/>
          <w:szCs w:val="20"/>
        </w:rPr>
        <w:t xml:space="preserve">MT Corporation Headquarters – Pflugerville, Texas (primary IT operations and administration)</w:t>
      </w:r>
    </w:p>
    <w:p>
      <w:pPr>
        <w:pStyle w:val="ListParagraph"/>
        <w:numPr>
          <w:ilvl w:val="0"/>
          <w:numId w:val="2"/>
        </w:numPr>
        <w:spacing w:before="40" w:after="40"/>
      </w:pPr>
      <w:r>
        <w:rPr>
          <w:rFonts w:ascii="Arial" w:cs="Arial" w:eastAsia="Arial" w:hAnsi="Arial"/>
          <w:sz w:val="20"/>
          <w:szCs w:val="20"/>
        </w:rPr>
        <w:t xml:space="preserve">Manufacturing Facility 1 – Austin, Texas (SAP ECC users; InvManager primary user base)</w:t>
      </w:r>
    </w:p>
    <w:p>
      <w:pPr>
        <w:pStyle w:val="ListParagraph"/>
        <w:numPr>
          <w:ilvl w:val="0"/>
          <w:numId w:val="2"/>
        </w:numPr>
        <w:spacing w:before="40" w:after="40"/>
      </w:pPr>
      <w:r>
        <w:rPr>
          <w:rFonts w:ascii="Arial" w:cs="Arial" w:eastAsia="Arial" w:hAnsi="Arial"/>
          <w:sz w:val="20"/>
          <w:szCs w:val="20"/>
        </w:rPr>
        <w:t xml:space="preserve">Manufacturing Facility 2 – San Antonio, Texas (SAP ECC users; limited InvManager access)</w:t>
      </w:r>
    </w:p>
    <w:p>
      <w:pPr>
        <w:pStyle w:val="ListParagraph"/>
        <w:numPr>
          <w:ilvl w:val="0"/>
          <w:numId w:val="2"/>
        </w:numPr>
        <w:spacing w:before="40" w:after="40"/>
      </w:pPr>
      <w:r>
        <w:rPr>
          <w:rFonts w:ascii="Arial" w:cs="Arial" w:eastAsia="Arial" w:hAnsi="Arial"/>
          <w:sz w:val="20"/>
          <w:szCs w:val="20"/>
        </w:rPr>
        <w:t xml:space="preserve">Data Center – Pflugerville, Texas (primary hosting for SAP ECC and InvManager; AD domain controllers)</w:t>
      </w:r>
    </w:p>
    <w:p>
      <w:pPr>
        <w:pStyle w:val="Heading2"/>
        <w:spacing w:before="200" w:after="80"/>
      </w:pPr>
      <w:r>
        <w:rPr>
          <w:rFonts w:ascii="Arial" w:cs="Arial" w:eastAsia="Arial" w:hAnsi="Arial"/>
          <w:b/>
          <w:bCs/>
          <w:color w:val="2E5FA3"/>
          <w:sz w:val="24"/>
          <w:szCs w:val="24"/>
        </w:rPr>
        <w:t xml:space="preserve">2.4  In-Scope ITGC Process Areas</w:t>
      </w:r>
    </w:p>
    <w:p>
      <w:pPr>
        <w:spacing w:before="60" w:after="60"/>
      </w:pPr>
      <w:r>
        <w:rPr>
          <w:rFonts w:ascii="Arial" w:cs="Arial" w:eastAsia="Arial" w:hAnsi="Arial"/>
          <w:sz w:val="20"/>
          <w:szCs w:val="20"/>
        </w:rPr>
        <w:t xml:space="preserve">The audit covers the following three ITGC process areas, which represent the key categories of controls relevant to SOX compliance:</w:t>
      </w:r>
    </w:p>
    <w:p>
      <w:pPr>
        <w:pStyle w:val="ListParagraph"/>
        <w:numPr>
          <w:ilvl w:val="0"/>
          <w:numId w:val="2"/>
        </w:numPr>
        <w:spacing w:before="40" w:after="40"/>
      </w:pPr>
      <w:r>
        <w:rPr>
          <w:rFonts w:ascii="Arial" w:cs="Arial" w:eastAsia="Arial" w:hAnsi="Arial"/>
          <w:sz w:val="20"/>
          <w:szCs w:val="20"/>
        </w:rPr>
        <w:t xml:space="preserve">Access Management (AM) – Controls over the provisioning, modification, termination, and periodic review of logical user access to in-scope systems.</w:t>
      </w:r>
    </w:p>
    <w:p>
      <w:pPr>
        <w:pStyle w:val="ListParagraph"/>
        <w:numPr>
          <w:ilvl w:val="0"/>
          <w:numId w:val="2"/>
        </w:numPr>
        <w:spacing w:before="40" w:after="40"/>
      </w:pPr>
      <w:r>
        <w:rPr>
          <w:rFonts w:ascii="Arial" w:cs="Arial" w:eastAsia="Arial" w:hAnsi="Arial"/>
          <w:sz w:val="20"/>
          <w:szCs w:val="20"/>
        </w:rPr>
        <w:t xml:space="preserve">Change Management (CM) – Controls over the authorization, testing, approval, and deployment of changes to in-scope systems and underlying infrastructure.</w:t>
      </w:r>
    </w:p>
    <w:p>
      <w:pPr>
        <w:pStyle w:val="ListParagraph"/>
        <w:numPr>
          <w:ilvl w:val="0"/>
          <w:numId w:val="2"/>
        </w:numPr>
        <w:spacing w:before="40" w:after="40"/>
      </w:pPr>
      <w:r>
        <w:rPr>
          <w:rFonts w:ascii="Arial" w:cs="Arial" w:eastAsia="Arial" w:hAnsi="Arial"/>
          <w:sz w:val="20"/>
          <w:szCs w:val="20"/>
        </w:rPr>
        <w:t xml:space="preserve">IT Operations (OPS) – Controls over the availability, reliability, and continuity of IT operations, including backup, job scheduling, and incident management.</w:t>
      </w:r>
    </w:p>
    <w:p>
      <w:pPr>
        <w:pStyle w:val="Heading1"/>
        <w:spacing w:before="320" w:after="120"/>
      </w:pPr>
      <w:r>
        <w:rPr>
          <w:rFonts w:ascii="Arial" w:cs="Arial" w:eastAsia="Arial" w:hAnsi="Arial"/>
          <w:b/>
          <w:bCs/>
          <w:color w:val="1F3864"/>
          <w:sz w:val="28"/>
          <w:szCs w:val="28"/>
        </w:rPr>
        <w:t xml:space="preserve">3.  Key Controls Identified by Process</w:t>
      </w:r>
    </w:p>
    <w:p>
      <w:pPr>
        <w:pBdr>
          <w:bottom w:val="single" w:color="2E5FA3" w:sz="12"/>
        </w:pBdr>
        <w:spacing w:before="120" w:after="120"/>
      </w:pPr>
    </w:p>
    <w:p>
      <w:pPr>
        <w:spacing w:before="60" w:after="60"/>
      </w:pPr>
      <w:r>
        <w:rPr>
          <w:rFonts w:ascii="Arial" w:cs="Arial" w:eastAsia="Arial" w:hAnsi="Arial"/>
          <w:sz w:val="20"/>
          <w:szCs w:val="20"/>
        </w:rPr>
        <w:t xml:space="preserve">The following table summarizes the key controls identified within each ITGC process area. These controls were identified through a combination of IT risk assessment procedures, walkthroughs conducted in November 2024, and review of prior year workpapers and management-prepared control documentation.</w:t>
      </w:r>
    </w:p>
    <w:p>
      <w:pPr>
        <w:spacing w:before="140"/>
      </w:pPr>
    </w:p>
    <w:p>
      <w:pPr>
        <w:pStyle w:val="Heading2"/>
        <w:spacing w:before="200" w:after="80"/>
      </w:pPr>
      <w:r>
        <w:rPr>
          <w:rFonts w:ascii="Arial" w:cs="Arial" w:eastAsia="Arial" w:hAnsi="Arial"/>
          <w:b/>
          <w:bCs/>
          <w:color w:val="2E5FA3"/>
          <w:sz w:val="24"/>
          <w:szCs w:val="24"/>
        </w:rPr>
        <w:t xml:space="preserve">3.1  Access Management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460"/>
        <w:gridCol w:w="1200"/>
        <w:gridCol w:w="1300"/>
      </w:tblGrid>
      <w:tr>
        <w:trPr>
          <w:tblHeader/>
        </w:trPr>
        <w:tc>
          <w:tcPr>
            <w:tcW w:type="dxa" w:w="900"/>
            <w:tcBorders>
              <w:top w:val="single" w:color="1F3864" w:sz="2"/>
              <w:left w:val="single" w:color="CCCCCC" w:sz="1"/>
              <w:bottom w:val="single" w:color="1F3864" w:sz="2"/>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Control ID</w:t>
            </w:r>
          </w:p>
        </w:tc>
        <w:tc>
          <w:tcPr>
            <w:tcW w:type="dxa" w:w="2500"/>
            <w:tcBorders>
              <w:top w:val="single" w:color="1F3864" w:sz="2"/>
              <w:left w:val="single" w:color="CCCCCC" w:sz="1"/>
              <w:bottom w:val="single" w:color="1F3864" w:sz="2"/>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Control Name</w:t>
            </w:r>
          </w:p>
        </w:tc>
        <w:tc>
          <w:tcPr>
            <w:tcW w:type="dxa" w:w="3460"/>
            <w:tcBorders>
              <w:top w:val="single" w:color="1F3864" w:sz="2"/>
              <w:left w:val="single" w:color="CCCCCC" w:sz="1"/>
              <w:bottom w:val="single" w:color="1F3864" w:sz="2"/>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Control Description</w:t>
            </w:r>
          </w:p>
        </w:tc>
        <w:tc>
          <w:tcPr>
            <w:tcW w:type="dxa" w:w="1200"/>
            <w:tcBorders>
              <w:top w:val="single" w:color="1F3864" w:sz="2"/>
              <w:left w:val="single" w:color="CCCCCC" w:sz="1"/>
              <w:bottom w:val="single" w:color="1F3864" w:sz="2"/>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System</w:t>
            </w:r>
          </w:p>
        </w:tc>
        <w:tc>
          <w:tcPr>
            <w:tcW w:type="dxa" w:w="1300"/>
            <w:tcBorders>
              <w:top w:val="single" w:color="1F3864" w:sz="2"/>
              <w:left w:val="single" w:color="CCCCCC" w:sz="1"/>
              <w:bottom w:val="single" w:color="1F3864" w:sz="2"/>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AM-01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User Access Provisioning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New user access requests must be submitted via the IT Service Desk ticketing system and approved by the user's direct manager and the applicable system owner prior to provisioning in SAP ECC, AD, or InvManager.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Manual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AM-02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User Access Termination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Upon employee termination, HR notifies IT Security within 24 hours via automated workflow in the HRIS. IT Security disables accounts in Active Directory and revokes SAP ECC and InvManager access within one business day of notification.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AD / All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Automated / Manual</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AM-03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Periodic Access Recertification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System owners and business process owners perform a formal quarterly review of all user access for in-scope systems to confirm that access remains appropriate. Results are documented and retained for audit purposes.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Manual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AM-04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Segregation of Duties (SoD)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The SAP security team runs a monthly SoD conflict report using transaction SU10 to identify users with conflicting role assignments. Identified conflicts are investigated and remediated or formally risk-accepted by management within 30 days.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SAP ECC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Automated / Manual</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AM-05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Password Policy Enforcement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 Directory Group Policy Objects (GPOs) enforce minimum password complexity requirements: 12-character minimum, complexity requirements, 90-day expiration, 10-password history, and account lockout after 5 failed attempts.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Automated</w:t>
            </w:r>
          </w:p>
        </w:tc>
      </w:tr>
    </w:tbl>
    <w:p>
      <w:pPr>
        <w:spacing w:before="180"/>
      </w:pPr>
    </w:p>
    <w:p>
      <w:pPr>
        <w:pStyle w:val="Heading2"/>
        <w:spacing w:before="200" w:after="80"/>
      </w:pPr>
      <w:r>
        <w:rPr>
          <w:rFonts w:ascii="Arial" w:cs="Arial" w:eastAsia="Arial" w:hAnsi="Arial"/>
          <w:b/>
          <w:bCs/>
          <w:color w:val="2E5FA3"/>
          <w:sz w:val="24"/>
          <w:szCs w:val="24"/>
        </w:rPr>
        <w:t xml:space="preserve">3.2  Change Management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460"/>
        <w:gridCol w:w="1200"/>
        <w:gridCol w:w="1300"/>
      </w:tblGrid>
      <w:tr>
        <w:trPr>
          <w:tblHeader/>
        </w:trPr>
        <w:tc>
          <w:tcPr>
            <w:tcW w:type="dxa" w:w="900"/>
            <w:tcBorders>
              <w:top w:val="single" w:color="1F3864" w:sz="2"/>
              <w:left w:val="single" w:color="CCCCCC" w:sz="1"/>
              <w:bottom w:val="single" w:color="1F3864" w:sz="2"/>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Control ID</w:t>
            </w:r>
          </w:p>
        </w:tc>
        <w:tc>
          <w:tcPr>
            <w:tcW w:type="dxa" w:w="2500"/>
            <w:tcBorders>
              <w:top w:val="single" w:color="1F3864" w:sz="2"/>
              <w:left w:val="single" w:color="CCCCCC" w:sz="1"/>
              <w:bottom w:val="single" w:color="1F3864" w:sz="2"/>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Control Name</w:t>
            </w:r>
          </w:p>
        </w:tc>
        <w:tc>
          <w:tcPr>
            <w:tcW w:type="dxa" w:w="3460"/>
            <w:tcBorders>
              <w:top w:val="single" w:color="1F3864" w:sz="2"/>
              <w:left w:val="single" w:color="CCCCCC" w:sz="1"/>
              <w:bottom w:val="single" w:color="1F3864" w:sz="2"/>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Control Description</w:t>
            </w:r>
          </w:p>
        </w:tc>
        <w:tc>
          <w:tcPr>
            <w:tcW w:type="dxa" w:w="1200"/>
            <w:tcBorders>
              <w:top w:val="single" w:color="1F3864" w:sz="2"/>
              <w:left w:val="single" w:color="CCCCCC" w:sz="1"/>
              <w:bottom w:val="single" w:color="1F3864" w:sz="2"/>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System</w:t>
            </w:r>
          </w:p>
        </w:tc>
        <w:tc>
          <w:tcPr>
            <w:tcW w:type="dxa" w:w="1300"/>
            <w:tcBorders>
              <w:top w:val="single" w:color="1F3864" w:sz="2"/>
              <w:left w:val="single" w:color="CCCCCC" w:sz="1"/>
              <w:bottom w:val="single" w:color="1F3864" w:sz="2"/>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CM-01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Change Authorization and Approval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All changes to in-scope production systems must be reviewed and approved by the Change Advisory Board (CAB) prior to implementation. CAB approval is documented in the IT Service Management tool (ServiceNow). Emergency changes follow an expedited approval process.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Manual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CM-02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Testing Prior to Production Deployment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All application and infrastructure changes must be tested in a dedicated quality assurance (QA) environment and signed off by the business process owner and IT development lead prior to migration to production. Testing evidence is retained in ServiceNow.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SAP / InvManager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Manual</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CM-03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Emergency Change Management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Emergency changes are documented in ServiceNow and require post-implementation approval by the CAB and the applicable system owner within two business days. A root cause analysis is completed for all emergency changes.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Manual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CM-04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Segregation of Duties in Change Migration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Developers do not have the ability to migrate code changes directly to the SAP ECC production environment. The SAP Basis team holds exclusive transport release authority; access is restricted via SAP authorization object S_TRANSPRT.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SAP ECC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Automated</w:t>
            </w:r>
          </w:p>
        </w:tc>
      </w:tr>
    </w:tbl>
    <w:p>
      <w:pPr>
        <w:spacing w:before="180"/>
      </w:pPr>
    </w:p>
    <w:p>
      <w:pPr>
        <w:pStyle w:val="Heading2"/>
        <w:spacing w:before="200" w:after="80"/>
      </w:pPr>
      <w:r>
        <w:rPr>
          <w:rFonts w:ascii="Arial" w:cs="Arial" w:eastAsia="Arial" w:hAnsi="Arial"/>
          <w:b/>
          <w:bCs/>
          <w:color w:val="2E5FA3"/>
          <w:sz w:val="24"/>
          <w:szCs w:val="24"/>
        </w:rPr>
        <w:t xml:space="preserve">3.3  IT Operations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460"/>
        <w:gridCol w:w="1200"/>
        <w:gridCol w:w="1300"/>
      </w:tblGrid>
      <w:tr>
        <w:trPr>
          <w:tblHeader/>
        </w:trPr>
        <w:tc>
          <w:tcPr>
            <w:tcW w:type="dxa" w:w="900"/>
            <w:tcBorders>
              <w:top w:val="single" w:color="1F3864" w:sz="2"/>
              <w:left w:val="single" w:color="CCCCCC" w:sz="1"/>
              <w:bottom w:val="single" w:color="1F3864" w:sz="2"/>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Control ID</w:t>
            </w:r>
          </w:p>
        </w:tc>
        <w:tc>
          <w:tcPr>
            <w:tcW w:type="dxa" w:w="2500"/>
            <w:tcBorders>
              <w:top w:val="single" w:color="1F3864" w:sz="2"/>
              <w:left w:val="single" w:color="CCCCCC" w:sz="1"/>
              <w:bottom w:val="single" w:color="1F3864" w:sz="2"/>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Control Name</w:t>
            </w:r>
          </w:p>
        </w:tc>
        <w:tc>
          <w:tcPr>
            <w:tcW w:type="dxa" w:w="3460"/>
            <w:tcBorders>
              <w:top w:val="single" w:color="1F3864" w:sz="2"/>
              <w:left w:val="single" w:color="CCCCCC" w:sz="1"/>
              <w:bottom w:val="single" w:color="1F3864" w:sz="2"/>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Control Description</w:t>
            </w:r>
          </w:p>
        </w:tc>
        <w:tc>
          <w:tcPr>
            <w:tcW w:type="dxa" w:w="1200"/>
            <w:tcBorders>
              <w:top w:val="single" w:color="1F3864" w:sz="2"/>
              <w:left w:val="single" w:color="CCCCCC" w:sz="1"/>
              <w:bottom w:val="single" w:color="1F3864" w:sz="2"/>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System</w:t>
            </w:r>
          </w:p>
        </w:tc>
        <w:tc>
          <w:tcPr>
            <w:tcW w:type="dxa" w:w="1300"/>
            <w:tcBorders>
              <w:top w:val="single" w:color="1F3864" w:sz="2"/>
              <w:left w:val="single" w:color="CCCCCC" w:sz="1"/>
              <w:bottom w:val="single" w:color="1F3864" w:sz="2"/>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OPS-01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Backup Monitoring and Review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The IT Operations team monitors daily backup job completion for SAP ECC, InvManager application/database, and Active Directory via an automated monitoring dashboard (SolarWinds Backup). Failed backups trigger automated alerts, and the on-call team investigates and resolves failures within four hours.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Automated / Manual</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OPS-02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Batch Job Scheduling and Monitoring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Critical batch jobs in SAP ECC (e.g., MRP runs, period-end postings, interface jobs to InvManager) are scheduled and monitored via SAP's central job management (transaction SM37). Failed batch jobs generate alerts and are investigated by the on-call team within two hours of failure.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SAP ECC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Automated / Manual</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OPS-03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Incident and Problem Management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IT incidents affecting in-scope production systems are logged, classified, and resolved in accordance with the Company's Incident Management Policy. High-severity (P1/P2) incidents are escalated to senior IT management and the IT Security team. Root cause analyses are completed for all P1 incidents.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All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Manual</w:t>
            </w:r>
          </w:p>
        </w:tc>
      </w:tr>
    </w:tbl>
    <w:p>
      <w:pPr>
        <w:pStyle w:val="Heading1"/>
        <w:spacing w:before="320" w:after="120"/>
      </w:pPr>
      <w:r>
        <w:rPr>
          <w:rFonts w:ascii="Arial" w:cs="Arial" w:eastAsia="Arial" w:hAnsi="Arial"/>
          <w:b/>
          <w:bCs/>
          <w:color w:val="1F3864"/>
          <w:sz w:val="28"/>
          <w:szCs w:val="28"/>
        </w:rPr>
        <w:t xml:space="preserve">4.  Risk Assessment</w:t>
      </w:r>
    </w:p>
    <w:p>
      <w:pPr>
        <w:pBdr>
          <w:bottom w:val="single" w:color="2E5FA3" w:sz="12"/>
        </w:pBdr>
        <w:spacing w:before="120" w:after="120"/>
      </w:pPr>
    </w:p>
    <w:p>
      <w:pPr>
        <w:pStyle w:val="Heading2"/>
        <w:spacing w:before="200" w:after="80"/>
      </w:pPr>
      <w:r>
        <w:rPr>
          <w:rFonts w:ascii="Arial" w:cs="Arial" w:eastAsia="Arial" w:hAnsi="Arial"/>
          <w:b/>
          <w:bCs/>
          <w:color w:val="2E5FA3"/>
          <w:sz w:val="24"/>
          <w:szCs w:val="24"/>
        </w:rPr>
        <w:t xml:space="preserve">4.1  Overview</w:t>
      </w:r>
    </w:p>
    <w:p>
      <w:pPr>
        <w:spacing w:before="60" w:after="60"/>
      </w:pPr>
      <w:r>
        <w:rPr>
          <w:rFonts w:ascii="Arial" w:cs="Arial" w:eastAsia="Arial" w:hAnsi="Arial"/>
          <w:sz w:val="20"/>
          <w:szCs w:val="20"/>
        </w:rPr>
        <w:t xml:space="preserve">A risk assessment was performed to identify and evaluate the IT-related risks that could affect the reliability of MT Corporation's financial reporting. The risk assessment considered factors including: the complexity of the IT environment, the volume of transactions processed, the degree of automation in financial reporting processes, the results of prior year ITGC audits, and information obtained during walkthroughs and discussions with IT management.</w:t>
      </w:r>
    </w:p>
    <w:p>
      <w:pPr>
        <w:pStyle w:val="Heading2"/>
        <w:spacing w:before="200" w:after="80"/>
      </w:pPr>
      <w:r>
        <w:rPr>
          <w:rFonts w:ascii="Arial" w:cs="Arial" w:eastAsia="Arial" w:hAnsi="Arial"/>
          <w:b/>
          <w:bCs/>
          <w:color w:val="2E5FA3"/>
          <w:sz w:val="24"/>
          <w:szCs w:val="24"/>
        </w:rPr>
        <w:t xml:space="preserve">4.2  Inherent Risk Assessment</w:t>
      </w:r>
    </w:p>
    <w:p>
      <w:pPr>
        <w:spacing w:before="60" w:after="60"/>
      </w:pPr>
      <w:r>
        <w:rPr>
          <w:rFonts w:ascii="Arial" w:cs="Arial" w:eastAsia="Arial" w:hAnsi="Arial"/>
          <w:sz w:val="20"/>
          <w:szCs w:val="20"/>
        </w:rPr>
        <w:t xml:space="preserve">Inherent risk was assessed at both the entity level and the system level. The following factors contributed to the inherent risk profile for this engagement:</w:t>
      </w:r>
    </w:p>
    <w:p>
      <w:pPr>
        <w:pStyle w:val="ListParagraph"/>
        <w:numPr>
          <w:ilvl w:val="0"/>
          <w:numId w:val="2"/>
        </w:numPr>
        <w:spacing w:before="40" w:after="40"/>
      </w:pPr>
      <w:r>
        <w:rPr>
          <w:rFonts w:ascii="Arial" w:cs="Arial" w:eastAsia="Arial" w:hAnsi="Arial"/>
          <w:sz w:val="20"/>
          <w:szCs w:val="20"/>
        </w:rPr>
        <w:t xml:space="preserve">SAP ECC – High inherent risk. SAP ECC is the primary system of record for all financial transactions. The complexity of SAP's role-based authorization model, the volume of transactions processed (estimated 1.2 million transactions per year), and the high degree of automation in financial reporting processes result in a high inherent risk rating.</w:t>
      </w:r>
    </w:p>
    <w:p>
      <w:pPr>
        <w:pStyle w:val="ListParagraph"/>
        <w:numPr>
          <w:ilvl w:val="0"/>
          <w:numId w:val="2"/>
        </w:numPr>
        <w:spacing w:before="40" w:after="40"/>
      </w:pPr>
      <w:r>
        <w:rPr>
          <w:rFonts w:ascii="Arial" w:cs="Arial" w:eastAsia="Arial" w:hAnsi="Arial"/>
          <w:sz w:val="20"/>
          <w:szCs w:val="20"/>
        </w:rPr>
        <w:t xml:space="preserve">Active Directory – Medium-High inherent risk. AD serves as the centralized authentication platform for all in-scope applications. Compromise of AD access controls could result in unauthorized access to financial data across multiple systems.</w:t>
      </w:r>
    </w:p>
    <w:p>
      <w:pPr>
        <w:pStyle w:val="ListParagraph"/>
        <w:numPr>
          <w:ilvl w:val="0"/>
          <w:numId w:val="2"/>
        </w:numPr>
        <w:spacing w:before="40" w:after="40"/>
      </w:pPr>
      <w:r>
        <w:rPr>
          <w:rFonts w:ascii="Arial" w:cs="Arial" w:eastAsia="Arial" w:hAnsi="Arial"/>
          <w:sz w:val="20"/>
          <w:szCs w:val="20"/>
        </w:rPr>
        <w:t xml:space="preserve">InvManager (Custom Application) – High inherent risk. As a custom-developed application, InvManager lacks the benefit of vendor-provided security patches and standard hardening. Additionally, inventory valuations from InvManager feed directly into cost-of-goods-sold calculations in SAP ECC, with no automated reconciliation control between the two systems.</w:t>
      </w:r>
    </w:p>
    <w:p>
      <w:pPr>
        <w:pStyle w:val="Heading2"/>
        <w:spacing w:before="200" w:after="80"/>
      </w:pPr>
      <w:r>
        <w:rPr>
          <w:rFonts w:ascii="Arial" w:cs="Arial" w:eastAsia="Arial" w:hAnsi="Arial"/>
          <w:b/>
          <w:bCs/>
          <w:color w:val="2E5FA3"/>
          <w:sz w:val="24"/>
          <w:szCs w:val="24"/>
        </w:rPr>
        <w:t xml:space="preserve">4.3  Control Risk Assessment</w:t>
      </w:r>
    </w:p>
    <w:p>
      <w:pPr>
        <w:spacing w:before="60" w:after="60"/>
      </w:pPr>
      <w:r>
        <w:rPr>
          <w:rFonts w:ascii="Arial" w:cs="Arial" w:eastAsia="Arial" w:hAnsi="Arial"/>
          <w:sz w:val="20"/>
          <w:szCs w:val="20"/>
        </w:rPr>
        <w:t xml:space="preserve">Control risk was assessed based on the results of prior year ITGC testing, management's self-assessment, and the walkthroughs performed in November 2024. The following control risk considerations were noted:</w:t>
      </w:r>
    </w:p>
    <w:p>
      <w:pPr>
        <w:pStyle w:val="ListParagraph"/>
        <w:numPr>
          <w:ilvl w:val="0"/>
          <w:numId w:val="2"/>
        </w:numPr>
        <w:spacing w:before="40" w:after="40"/>
      </w:pPr>
      <w:r>
        <w:rPr>
          <w:rFonts w:ascii="Arial" w:cs="Arial" w:eastAsia="Arial" w:hAnsi="Arial"/>
          <w:sz w:val="20"/>
          <w:szCs w:val="20"/>
        </w:rPr>
        <w:t xml:space="preserve">Access Management – Medium control risk. The FY2023 audit identified one exception related to untimely termination of a former employee's access in SAP ECC. Management implemented a new HRIS-to-AD automated workflow in Q1 2024 to address this finding. The FY2024 testing will assess the effectiveness of this remediation.</w:t>
      </w:r>
    </w:p>
    <w:p>
      <w:pPr>
        <w:pStyle w:val="ListParagraph"/>
        <w:numPr>
          <w:ilvl w:val="0"/>
          <w:numId w:val="2"/>
        </w:numPr>
        <w:spacing w:before="40" w:after="40"/>
      </w:pPr>
      <w:r>
        <w:rPr>
          <w:rFonts w:ascii="Arial" w:cs="Arial" w:eastAsia="Arial" w:hAnsi="Arial"/>
          <w:sz w:val="20"/>
          <w:szCs w:val="20"/>
        </w:rPr>
        <w:t xml:space="preserve">Change Management – Medium-Low control risk. Change management controls were found to be generally effective in FY2023. One emergency change was processed without proper post-implementation documentation; the Company updated its emergency change procedures in response.</w:t>
      </w:r>
    </w:p>
    <w:p>
      <w:pPr>
        <w:pStyle w:val="ListParagraph"/>
        <w:numPr>
          <w:ilvl w:val="0"/>
          <w:numId w:val="2"/>
        </w:numPr>
        <w:spacing w:before="40" w:after="40"/>
      </w:pPr>
      <w:r>
        <w:rPr>
          <w:rFonts w:ascii="Arial" w:cs="Arial" w:eastAsia="Arial" w:hAnsi="Arial"/>
          <w:sz w:val="20"/>
          <w:szCs w:val="20"/>
        </w:rPr>
        <w:t xml:space="preserve">IT Operations – Low control risk. No significant exceptions were noted in FY2023. The IT Operations team is experienced and well-staffed. Backup and monitoring procedures are largely automated.</w:t>
      </w:r>
    </w:p>
    <w:p>
      <w:pPr>
        <w:pStyle w:val="Heading2"/>
        <w:spacing w:before="200" w:after="80"/>
      </w:pPr>
      <w:r>
        <w:rPr>
          <w:rFonts w:ascii="Arial" w:cs="Arial" w:eastAsia="Arial" w:hAnsi="Arial"/>
          <w:b/>
          <w:bCs/>
          <w:color w:val="2E5FA3"/>
          <w:sz w:val="24"/>
          <w:szCs w:val="24"/>
        </w:rPr>
        <w:t xml:space="preserve">4.4  Overall Audit Approach</w:t>
      </w:r>
    </w:p>
    <w:p>
      <w:pPr>
        <w:spacing w:before="60" w:after="60"/>
      </w:pPr>
      <w:r>
        <w:rPr>
          <w:rFonts w:ascii="Arial" w:cs="Arial" w:eastAsia="Arial" w:hAnsi="Arial"/>
          <w:sz w:val="20"/>
          <w:szCs w:val="20"/>
        </w:rPr>
        <w:t xml:space="preserve">Based on the risk assessment, the following approach has been adopted for FY2024 ITGC testing:</w:t>
      </w:r>
    </w:p>
    <w:p>
      <w:pPr>
        <w:pStyle w:val="ListParagraph"/>
        <w:numPr>
          <w:ilvl w:val="0"/>
          <w:numId w:val="2"/>
        </w:numPr>
        <w:spacing w:before="40" w:after="40"/>
      </w:pPr>
      <w:r>
        <w:rPr>
          <w:rFonts w:ascii="Arial" w:cs="Arial" w:eastAsia="Arial" w:hAnsi="Arial"/>
          <w:sz w:val="20"/>
          <w:szCs w:val="20"/>
        </w:rPr>
        <w:t xml:space="preserve">For high-risk controls (SAP ECC access management, InvManager access management), testing will include both design effectiveness and operating effectiveness assessments with increased sample sizes.</w:t>
      </w:r>
    </w:p>
    <w:p>
      <w:pPr>
        <w:pStyle w:val="ListParagraph"/>
        <w:numPr>
          <w:ilvl w:val="0"/>
          <w:numId w:val="2"/>
        </w:numPr>
        <w:spacing w:before="40" w:after="40"/>
      </w:pPr>
      <w:r>
        <w:rPr>
          <w:rFonts w:ascii="Arial" w:cs="Arial" w:eastAsia="Arial" w:hAnsi="Arial"/>
          <w:sz w:val="20"/>
          <w:szCs w:val="20"/>
        </w:rPr>
        <w:t xml:space="preserve">For medium-risk controls (change management, AD access controls), standard sample sizes and testing procedures will be applied.</w:t>
      </w:r>
    </w:p>
    <w:p>
      <w:pPr>
        <w:pStyle w:val="ListParagraph"/>
        <w:numPr>
          <w:ilvl w:val="0"/>
          <w:numId w:val="2"/>
        </w:numPr>
        <w:spacing w:before="40" w:after="40"/>
      </w:pPr>
      <w:r>
        <w:rPr>
          <w:rFonts w:ascii="Arial" w:cs="Arial" w:eastAsia="Arial" w:hAnsi="Arial"/>
          <w:sz w:val="20"/>
          <w:szCs w:val="20"/>
        </w:rPr>
        <w:t xml:space="preserve">For low-risk controls (IT operations, backup monitoring), reduced sample sizes may be applied where prior year testing was fully effective, subject to Senior Associate review and approval.</w:t>
      </w:r>
    </w:p>
    <w:p>
      <w:pPr>
        <w:pStyle w:val="ListParagraph"/>
        <w:numPr>
          <w:ilvl w:val="0"/>
          <w:numId w:val="2"/>
        </w:numPr>
        <w:spacing w:before="40" w:after="40"/>
      </w:pPr>
      <w:r>
        <w:rPr>
          <w:rFonts w:ascii="Arial" w:cs="Arial" w:eastAsia="Arial" w:hAnsi="Arial"/>
          <w:sz w:val="20"/>
          <w:szCs w:val="20"/>
        </w:rPr>
        <w:t xml:space="preserve">All controls identified as key controls (i.e., controls that, if they fail, could result in a material misstatement in the financial statements) will be tested regardless of risk level.</w:t>
      </w:r>
    </w:p>
    <w:p>
      <w:pPr>
        <w:pStyle w:val="Heading1"/>
        <w:spacing w:before="320" w:after="120"/>
      </w:pPr>
      <w:r>
        <w:rPr>
          <w:rFonts w:ascii="Arial" w:cs="Arial" w:eastAsia="Arial" w:hAnsi="Arial"/>
          <w:b/>
          <w:bCs/>
          <w:color w:val="1F3864"/>
          <w:sz w:val="28"/>
          <w:szCs w:val="28"/>
        </w:rPr>
        <w:t xml:space="preserve">5.  Testing Approach</w:t>
      </w:r>
    </w:p>
    <w:p>
      <w:pPr>
        <w:pBdr>
          <w:bottom w:val="single" w:color="2E5FA3" w:sz="12"/>
        </w:pBdr>
        <w:spacing w:before="120" w:after="120"/>
      </w:pPr>
    </w:p>
    <w:p>
      <w:pPr>
        <w:pStyle w:val="Heading2"/>
        <w:spacing w:before="200" w:after="80"/>
      </w:pPr>
      <w:r>
        <w:rPr>
          <w:rFonts w:ascii="Arial" w:cs="Arial" w:eastAsia="Arial" w:hAnsi="Arial"/>
          <w:b/>
          <w:bCs/>
          <w:color w:val="2E5FA3"/>
          <w:sz w:val="24"/>
          <w:szCs w:val="24"/>
        </w:rPr>
        <w:t xml:space="preserve">5.1  Types of Testing</w:t>
      </w:r>
    </w:p>
    <w:p>
      <w:pPr>
        <w:spacing w:before="60" w:after="60"/>
      </w:pPr>
      <w:r>
        <w:rPr>
          <w:rFonts w:ascii="Arial" w:cs="Arial" w:eastAsia="Arial" w:hAnsi="Arial"/>
          <w:sz w:val="20"/>
          <w:szCs w:val="20"/>
        </w:rPr>
        <w:t xml:space="preserve">Testing for each control will consist of the following components:</w:t>
      </w:r>
    </w:p>
    <w:p>
      <w:pPr>
        <w:pStyle w:val="ListParagraph"/>
        <w:numPr>
          <w:ilvl w:val="0"/>
          <w:numId w:val="2"/>
        </w:numPr>
        <w:spacing w:before="40" w:after="40"/>
      </w:pPr>
      <w:r>
        <w:rPr>
          <w:rFonts w:ascii="Arial" w:cs="Arial" w:eastAsia="Arial" w:hAnsi="Arial"/>
          <w:sz w:val="20"/>
          <w:szCs w:val="20"/>
        </w:rPr>
        <w:t xml:space="preserve">Test of Design (ToD): Evaluate whether the control is designed to prevent or detect a material misstatement. ToD procedures include walkthroughs, review of policy documentation, and inquiry of control owners.</w:t>
      </w:r>
    </w:p>
    <w:p>
      <w:pPr>
        <w:pStyle w:val="ListParagraph"/>
        <w:numPr>
          <w:ilvl w:val="0"/>
          <w:numId w:val="2"/>
        </w:numPr>
        <w:spacing w:before="40" w:after="40"/>
      </w:pPr>
      <w:r>
        <w:rPr>
          <w:rFonts w:ascii="Arial" w:cs="Arial" w:eastAsia="Arial" w:hAnsi="Arial"/>
          <w:sz w:val="20"/>
          <w:szCs w:val="20"/>
        </w:rPr>
        <w:t xml:space="preserve">Test of Operating Effectiveness (ToOE): Evaluate whether the control has operated effectively throughout the FY2024 audit period (January 1 – December 31, 2024). ToOE procedures include inspection of evidence, re-performance, and observation.</w:t>
      </w:r>
    </w:p>
    <w:p>
      <w:pPr>
        <w:pStyle w:val="Heading2"/>
        <w:spacing w:before="200" w:after="80"/>
      </w:pPr>
      <w:r>
        <w:rPr>
          <w:rFonts w:ascii="Arial" w:cs="Arial" w:eastAsia="Arial" w:hAnsi="Arial"/>
          <w:b/>
          <w:bCs/>
          <w:color w:val="2E5FA3"/>
          <w:sz w:val="24"/>
          <w:szCs w:val="24"/>
        </w:rPr>
        <w:t xml:space="preserve">5.2  Sample Sizes</w:t>
      </w:r>
    </w:p>
    <w:p>
      <w:pPr>
        <w:spacing w:before="60" w:after="60"/>
      </w:pPr>
      <w:r>
        <w:rPr>
          <w:rFonts w:ascii="Arial" w:cs="Arial" w:eastAsia="Arial" w:hAnsi="Arial"/>
          <w:sz w:val="20"/>
          <w:szCs w:val="20"/>
        </w:rPr>
        <w:t xml:space="preserve">Sample sizes for operating effectiveness testing are determined based on control frequency and risk level, consistent with PCAOB guidance and firm methodology:</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60"/>
        <w:gridCol w:w="1960"/>
        <w:gridCol w:w="3040"/>
      </w:tblGrid>
      <w:tr>
        <w:trPr>
          <w:tblHeader/>
        </w:trPr>
        <w:tc>
          <w:tcPr>
            <w:tcW w:type="dxa" w:w="2400"/>
            <w:tcBorders>
              <w:top w:val="single" w:color="1F3864" w:sz="2"/>
              <w:left w:val="single" w:color="CCCCCC" w:sz="1"/>
              <w:bottom w:val="single" w:color="1F3864" w:sz="2"/>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Control Frequency</w:t>
            </w:r>
          </w:p>
        </w:tc>
        <w:tc>
          <w:tcPr>
            <w:tcW w:type="dxa" w:w="1960"/>
            <w:tcBorders>
              <w:top w:val="single" w:color="1F3864" w:sz="2"/>
              <w:left w:val="single" w:color="CCCCCC" w:sz="1"/>
              <w:bottom w:val="single" w:color="1F3864" w:sz="2"/>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Standard Sample Size</w:t>
            </w:r>
          </w:p>
        </w:tc>
        <w:tc>
          <w:tcPr>
            <w:tcW w:type="dxa" w:w="1960"/>
            <w:tcBorders>
              <w:top w:val="single" w:color="1F3864" w:sz="2"/>
              <w:left w:val="single" w:color="CCCCCC" w:sz="1"/>
              <w:bottom w:val="single" w:color="1F3864" w:sz="2"/>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High-Risk Sample Size</w:t>
            </w:r>
          </w:p>
        </w:tc>
        <w:tc>
          <w:tcPr>
            <w:tcW w:type="dxa" w:w="3040"/>
            <w:tcBorders>
              <w:top w:val="single" w:color="1F3864" w:sz="2"/>
              <w:left w:val="single" w:color="CCCCCC" w:sz="1"/>
              <w:bottom w:val="single" w:color="1F3864" w:sz="2"/>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Annual (1x per year)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 (100%)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 (100%)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Full population tested.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Quarterly (4x per year)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 (100%)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High-risk: full population. Standard: 2 of 4 quarters.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Monthly (12x per year)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Random selection across the audit period.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Daily (250+ per year)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25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40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Random sample using RAND() function in Excel. Selection reviewed by Senior Associate.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Event-driven (per occurrence)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25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40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e.g., New user provisioning requests, change tickets.</w:t>
            </w:r>
          </w:p>
        </w:tc>
      </w:tr>
    </w:tbl>
    <w:p>
      <w:pPr>
        <w:spacing w:before="120"/>
      </w:pPr>
    </w:p>
    <w:p>
      <w:pPr>
        <w:pStyle w:val="Heading2"/>
        <w:spacing w:before="200" w:after="80"/>
      </w:pPr>
      <w:r>
        <w:rPr>
          <w:rFonts w:ascii="Arial" w:cs="Arial" w:eastAsia="Arial" w:hAnsi="Arial"/>
          <w:b/>
          <w:bCs/>
          <w:color w:val="2E5FA3"/>
          <w:sz w:val="24"/>
          <w:szCs w:val="24"/>
        </w:rPr>
        <w:t xml:space="preserve">5.3  Evidence Collection and Documentation</w:t>
      </w:r>
    </w:p>
    <w:p>
      <w:pPr>
        <w:spacing w:before="60" w:after="60"/>
      </w:pPr>
      <w:r>
        <w:rPr>
          <w:rFonts w:ascii="Arial" w:cs="Arial" w:eastAsia="Arial" w:hAnsi="Arial"/>
          <w:sz w:val="20"/>
          <w:szCs w:val="20"/>
        </w:rPr>
        <w:t xml:space="preserve">Evidence will be obtained from the following sources and documented in the testing workpapers:</w:t>
      </w:r>
    </w:p>
    <w:p>
      <w:pPr>
        <w:pStyle w:val="ListParagraph"/>
        <w:numPr>
          <w:ilvl w:val="0"/>
          <w:numId w:val="2"/>
        </w:numPr>
        <w:spacing w:before="40" w:after="40"/>
      </w:pPr>
      <w:r>
        <w:rPr>
          <w:rFonts w:ascii="Arial" w:cs="Arial" w:eastAsia="Arial" w:hAnsi="Arial"/>
          <w:sz w:val="20"/>
          <w:szCs w:val="20"/>
        </w:rPr>
        <w:t xml:space="preserve">SAP ECC: System-generated reports using transaction codes including SU01 (user master data), SU10 (mass user maintenance), SE16 (table browser), SM37 (background job monitoring), SM20 (security audit log), SUIM (user information system), and STMS (transport management system).</w:t>
      </w:r>
    </w:p>
    <w:p>
      <w:pPr>
        <w:pStyle w:val="ListParagraph"/>
        <w:numPr>
          <w:ilvl w:val="0"/>
          <w:numId w:val="2"/>
        </w:numPr>
        <w:spacing w:before="40" w:after="40"/>
      </w:pPr>
      <w:r>
        <w:rPr>
          <w:rFonts w:ascii="Arial" w:cs="Arial" w:eastAsia="Arial" w:hAnsi="Arial"/>
          <w:sz w:val="20"/>
          <w:szCs w:val="20"/>
        </w:rPr>
        <w:t xml:space="preserve">Active Directory: PowerShell scripts and AD administrative tools will be used to generate user listing reports, group membership reports, disabled account logs, and Group Policy Object (GPO) configuration exports.</w:t>
      </w:r>
    </w:p>
    <w:p>
      <w:pPr>
        <w:pStyle w:val="ListParagraph"/>
        <w:numPr>
          <w:ilvl w:val="0"/>
          <w:numId w:val="2"/>
        </w:numPr>
        <w:spacing w:before="40" w:after="40"/>
      </w:pPr>
      <w:r>
        <w:rPr>
          <w:rFonts w:ascii="Arial" w:cs="Arial" w:eastAsia="Arial" w:hAnsi="Arial"/>
          <w:sz w:val="20"/>
          <w:szCs w:val="20"/>
        </w:rPr>
        <w:t xml:space="preserve">ServiceNow: Change request tickets (CHG records), incident tickets (INC records), and access request records will be extracted from ServiceNow and included as evidence.</w:t>
      </w:r>
    </w:p>
    <w:p>
      <w:pPr>
        <w:pStyle w:val="ListParagraph"/>
        <w:numPr>
          <w:ilvl w:val="0"/>
          <w:numId w:val="2"/>
        </w:numPr>
        <w:spacing w:before="40" w:after="40"/>
      </w:pPr>
      <w:r>
        <w:rPr>
          <w:rFonts w:ascii="Arial" w:cs="Arial" w:eastAsia="Arial" w:hAnsi="Arial"/>
          <w:sz w:val="20"/>
          <w:szCs w:val="20"/>
        </w:rPr>
        <w:t xml:space="preserve">InvManager: Access listings will be requested from the application administrator; user role assignment reports will be obtained via database query.</w:t>
      </w:r>
    </w:p>
    <w:p>
      <w:pPr>
        <w:pStyle w:val="ListParagraph"/>
        <w:numPr>
          <w:ilvl w:val="0"/>
          <w:numId w:val="2"/>
        </w:numPr>
        <w:spacing w:before="40" w:after="40"/>
      </w:pPr>
      <w:r>
        <w:rPr>
          <w:rFonts w:ascii="Arial" w:cs="Arial" w:eastAsia="Arial" w:hAnsi="Arial"/>
          <w:sz w:val="20"/>
          <w:szCs w:val="20"/>
        </w:rPr>
        <w:t xml:space="preserve">Supporting Documentation: HR termination notifications, access request approval emails, backup monitoring reports (SolarWinds), and other supporting documents will be obtained from the respective process owners.</w:t>
      </w:r>
    </w:p>
    <w:p>
      <w:pPr>
        <w:pStyle w:val="Heading2"/>
        <w:spacing w:before="200" w:after="80"/>
      </w:pPr>
      <w:r>
        <w:rPr>
          <w:rFonts w:ascii="Arial" w:cs="Arial" w:eastAsia="Arial" w:hAnsi="Arial"/>
          <w:b/>
          <w:bCs/>
          <w:color w:val="2E5FA3"/>
          <w:sz w:val="24"/>
          <w:szCs w:val="24"/>
        </w:rPr>
        <w:t xml:space="preserve">5.4  Deficiency Evaluation</w:t>
      </w:r>
    </w:p>
    <w:p>
      <w:pPr>
        <w:spacing w:before="60" w:after="60"/>
      </w:pPr>
      <w:r>
        <w:rPr>
          <w:rFonts w:ascii="Arial" w:cs="Arial" w:eastAsia="Arial" w:hAnsi="Arial"/>
          <w:sz w:val="20"/>
          <w:szCs w:val="20"/>
        </w:rPr>
        <w:t xml:space="preserve">Identified control exceptions will be evaluated and classified as follows:</w:t>
      </w:r>
    </w:p>
    <w:p>
      <w:pPr>
        <w:pStyle w:val="ListParagraph"/>
        <w:numPr>
          <w:ilvl w:val="0"/>
          <w:numId w:val="2"/>
        </w:numPr>
        <w:spacing w:before="40" w:after="40"/>
      </w:pPr>
      <w:r>
        <w:rPr>
          <w:rFonts w:ascii="Arial" w:cs="Arial" w:eastAsia="Arial" w:hAnsi="Arial"/>
          <w:sz w:val="20"/>
          <w:szCs w:val="20"/>
        </w:rPr>
        <w:t xml:space="preserve">Significant Deficiency: A deficiency, or combination of deficiencies, in ICFR that is less severe than a material weakness, yet important enough to merit attention by those responsible for oversight of the Company's financial reporting.</w:t>
      </w:r>
    </w:p>
    <w:p>
      <w:pPr>
        <w:pStyle w:val="ListParagraph"/>
        <w:numPr>
          <w:ilvl w:val="0"/>
          <w:numId w:val="2"/>
        </w:numPr>
        <w:spacing w:before="40" w:after="40"/>
      </w:pPr>
      <w:r>
        <w:rPr>
          <w:rFonts w:ascii="Arial" w:cs="Arial" w:eastAsia="Arial" w:hAnsi="Arial"/>
          <w:sz w:val="20"/>
          <w:szCs w:val="20"/>
        </w:rPr>
        <w:t xml:space="preserve">Material Weakness: A deficiency, or combination of deficiencies, in ICFR such that there is a reasonable possibility that a material misstatement of the annual or interim financial statements will not be prevented or detected on a timely basis.</w:t>
      </w:r>
    </w:p>
    <w:p>
      <w:pPr>
        <w:pStyle w:val="ListParagraph"/>
        <w:numPr>
          <w:ilvl w:val="0"/>
          <w:numId w:val="2"/>
        </w:numPr>
        <w:spacing w:before="40" w:after="40"/>
      </w:pPr>
      <w:r>
        <w:rPr>
          <w:rFonts w:ascii="Arial" w:cs="Arial" w:eastAsia="Arial" w:hAnsi="Arial"/>
          <w:sz w:val="20"/>
          <w:szCs w:val="20"/>
        </w:rPr>
        <w:t xml:space="preserve">Control Deficiency: A deficiency that does not rise to the level of a significant deficiency or material weakness but nonetheless warrants management's attention and remediation.</w:t>
      </w:r>
    </w:p>
    <w:p>
      <w:pPr>
        <w:pStyle w:val="Heading1"/>
        <w:spacing w:before="320" w:after="120"/>
      </w:pPr>
      <w:r>
        <w:rPr>
          <w:rFonts w:ascii="Arial" w:cs="Arial" w:eastAsia="Arial" w:hAnsi="Arial"/>
          <w:b/>
          <w:bCs/>
          <w:color w:val="1F3864"/>
          <w:sz w:val="28"/>
          <w:szCs w:val="28"/>
        </w:rPr>
        <w:t xml:space="preserve">6.  Engagement Timeline and Team Roles</w:t>
      </w:r>
    </w:p>
    <w:p>
      <w:pPr>
        <w:pBdr>
          <w:bottom w:val="single" w:color="2E5FA3" w:sz="12"/>
        </w:pBdr>
        <w:spacing w:before="120" w:after="120"/>
      </w:pPr>
    </w:p>
    <w:p>
      <w:pPr>
        <w:pStyle w:val="Heading2"/>
        <w:spacing w:before="200" w:after="80"/>
      </w:pPr>
      <w:r>
        <w:rPr>
          <w:rFonts w:ascii="Arial" w:cs="Arial" w:eastAsia="Arial" w:hAnsi="Arial"/>
          <w:b/>
          <w:bCs/>
          <w:color w:val="2E5FA3"/>
          <w:sz w:val="24"/>
          <w:szCs w:val="24"/>
        </w:rPr>
        <w:t xml:space="preserve">6.1  Engagement Timeline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60"/>
        <w:gridCol w:w="2400"/>
        <w:gridCol w:w="2200"/>
      </w:tblGrid>
      <w:tr>
        <w:trPr>
          <w:tblHeader/>
        </w:trPr>
        <w:tc>
          <w:tcPr>
            <w:tcW w:type="dxa" w:w="2400"/>
            <w:tcBorders>
              <w:top w:val="single" w:color="1F3864" w:sz="2"/>
              <w:left w:val="single" w:color="CCCCCC" w:sz="1"/>
              <w:bottom w:val="single" w:color="1F3864" w:sz="2"/>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360"/>
            <w:tcBorders>
              <w:top w:val="single" w:color="1F3864" w:sz="2"/>
              <w:left w:val="single" w:color="CCCCCC" w:sz="1"/>
              <w:bottom w:val="single" w:color="1F3864" w:sz="2"/>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Activities</w:t>
            </w:r>
          </w:p>
        </w:tc>
        <w:tc>
          <w:tcPr>
            <w:tcW w:type="dxa" w:w="2400"/>
            <w:tcBorders>
              <w:top w:val="single" w:color="1F3864" w:sz="2"/>
              <w:left w:val="single" w:color="CCCCCC" w:sz="1"/>
              <w:bottom w:val="single" w:color="1F3864" w:sz="2"/>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Target Dates</w:t>
            </w:r>
          </w:p>
        </w:tc>
        <w:tc>
          <w:tcPr>
            <w:tcW w:type="dxa" w:w="2200"/>
            <w:tcBorders>
              <w:top w:val="single" w:color="1F3864" w:sz="2"/>
              <w:left w:val="single" w:color="CCCCCC" w:sz="1"/>
              <w:bottom w:val="single" w:color="1F3864" w:sz="2"/>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Responsible Party</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1 – Planning</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Risk assessment; scoping; walkthroughs; planning memo preparation.</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October 28 – November 22, 2024</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Mihir Trivedi (Associate)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2 – Fieldwork (Interim)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Testing of access management and change management controls; preliminary evidence collection.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November 25 – December 20, 2024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Mihir Trivedi (Associate)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3 – Fieldwork (Year-End)</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Testing of IT operations controls; rollforward testing; sample selection for full-year populations.</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January 6 – January 24, 2025</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Mihir Trivedi (Associate)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4 – Review and Evaluation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Senior Associate review of workpapers; deficiency evaluation; discussion with management.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January 27 – February 7, 2025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John Doe (Senior Associate)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5 – Reporting</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Draft deficiency memo; draft management letter; management responses; final reporting.</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February 10 – February 28, 2025</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Mihir Trivedi &amp; John Doe</w:t>
            </w:r>
          </w:p>
        </w:tc>
      </w:tr>
    </w:tbl>
    <w:p>
      <w:pPr>
        <w:spacing w:before="200"/>
      </w:pPr>
    </w:p>
    <w:p>
      <w:pPr>
        <w:pStyle w:val="Heading2"/>
        <w:spacing w:before="200" w:after="80"/>
      </w:pPr>
      <w:r>
        <w:rPr>
          <w:rFonts w:ascii="Arial" w:cs="Arial" w:eastAsia="Arial" w:hAnsi="Arial"/>
          <w:b/>
          <w:bCs/>
          <w:color w:val="2E5FA3"/>
          <w:sz w:val="24"/>
          <w:szCs w:val="24"/>
        </w:rPr>
        <w:t xml:space="preserve">6.2  Team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F3864" w:sz="2"/>
              <w:left w:val="single" w:color="CCCCCC" w:sz="1"/>
              <w:bottom w:val="single" w:color="1F3864" w:sz="2"/>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Team Member</w:t>
            </w:r>
          </w:p>
        </w:tc>
        <w:tc>
          <w:tcPr>
            <w:tcW w:type="dxa" w:w="1800"/>
            <w:tcBorders>
              <w:top w:val="single" w:color="1F3864" w:sz="2"/>
              <w:left w:val="single" w:color="CCCCCC" w:sz="1"/>
              <w:bottom w:val="single" w:color="1F3864" w:sz="2"/>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Title / Role</w:t>
            </w:r>
          </w:p>
        </w:tc>
        <w:tc>
          <w:tcPr>
            <w:tcW w:type="dxa" w:w="5160"/>
            <w:tcBorders>
              <w:top w:val="single" w:color="1F3864" w:sz="2"/>
              <w:left w:val="single" w:color="CCCCCC" w:sz="1"/>
              <w:bottom w:val="single" w:color="1F3864" w:sz="2"/>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Responsibilities</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Mihir Trivedi</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Associate</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Perform walkthroughs; execute test procedures; collect and document evidence; prepare workpapers; draft deficiency memo and management letter; respond to review notes.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18"/>
                <w:szCs w:val="18"/>
              </w:rPr>
              <w:t xml:space="preserve">John Doe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Senior Associate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Review and approve planning memorandum; supervise fieldwork; review workpapers for completeness and accuracy; evaluate deficiency severity; review draft reports; communicate findings to management.</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18"/>
                <w:szCs w:val="18"/>
              </w:rPr>
              <w:t xml:space="preserve">MT Corp – IT Management</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Client</w:t>
            </w:r>
          </w:p>
        </w:tc>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18"/>
                <w:szCs w:val="18"/>
              </w:rPr>
              <w:t xml:space="preserve">Provide requested evidence and documentation; respond to auditor inquiries; review and respond to identified deficiencies; provide management responses for inclusion in the deficiency memorandum.</w:t>
            </w:r>
          </w:p>
        </w:tc>
      </w:tr>
    </w:tbl>
    <w:p>
      <w:pPr>
        <w:spacing w:before="200"/>
      </w:pPr>
    </w:p>
    <w:p>
      <w:pPr>
        <w:pStyle w:val="Heading2"/>
        <w:spacing w:before="200" w:after="80"/>
      </w:pPr>
      <w:r>
        <w:rPr>
          <w:rFonts w:ascii="Arial" w:cs="Arial" w:eastAsia="Arial" w:hAnsi="Arial"/>
          <w:b/>
          <w:bCs/>
          <w:color w:val="2E5FA3"/>
          <w:sz w:val="24"/>
          <w:szCs w:val="24"/>
        </w:rPr>
        <w:t xml:space="preserve">6.3  Key Contacts</w:t>
      </w:r>
    </w:p>
    <w:p>
      <w:pPr>
        <w:spacing w:before="60" w:after="60"/>
      </w:pPr>
      <w:r>
        <w:rPr>
          <w:rFonts w:ascii="Arial" w:cs="Arial" w:eastAsia="Arial" w:hAnsi="Arial"/>
          <w:sz w:val="20"/>
          <w:szCs w:val="20"/>
        </w:rPr>
        <w:t xml:space="preserve">The following MT Corporation personnel have been identified as key contacts for this engagement:</w:t>
      </w:r>
    </w:p>
    <w:p>
      <w:pPr>
        <w:pStyle w:val="ListParagraph"/>
        <w:numPr>
          <w:ilvl w:val="0"/>
          <w:numId w:val="2"/>
        </w:numPr>
        <w:spacing w:before="40" w:after="40"/>
      </w:pPr>
      <w:r>
        <w:rPr>
          <w:rFonts w:ascii="Arial" w:cs="Arial" w:eastAsia="Arial" w:hAnsi="Arial"/>
          <w:sz w:val="20"/>
          <w:szCs w:val="20"/>
        </w:rPr>
        <w:t xml:space="preserve">Sarah Okonkwo, VP of Information Technology – Primary IT management contact and escalation point.</w:t>
      </w:r>
    </w:p>
    <w:p>
      <w:pPr>
        <w:pStyle w:val="ListParagraph"/>
        <w:numPr>
          <w:ilvl w:val="0"/>
          <w:numId w:val="2"/>
        </w:numPr>
        <w:spacing w:before="40" w:after="40"/>
      </w:pPr>
      <w:r>
        <w:rPr>
          <w:rFonts w:ascii="Arial" w:cs="Arial" w:eastAsia="Arial" w:hAnsi="Arial"/>
          <w:sz w:val="20"/>
          <w:szCs w:val="20"/>
        </w:rPr>
        <w:t xml:space="preserve">David Chen, SAP Basis Team Lead – Primary contact for SAP ECC technical matters and evidence provision.</w:t>
      </w:r>
    </w:p>
    <w:p>
      <w:pPr>
        <w:pStyle w:val="ListParagraph"/>
        <w:numPr>
          <w:ilvl w:val="0"/>
          <w:numId w:val="2"/>
        </w:numPr>
        <w:spacing w:before="40" w:after="40"/>
      </w:pPr>
      <w:r>
        <w:rPr>
          <w:rFonts w:ascii="Arial" w:cs="Arial" w:eastAsia="Arial" w:hAnsi="Arial"/>
          <w:sz w:val="20"/>
          <w:szCs w:val="20"/>
        </w:rPr>
        <w:t xml:space="preserve">Linda Pham, IT Security Manager – Primary contact for Active Directory, access management, and security policy documentation.</w:t>
      </w:r>
    </w:p>
    <w:p>
      <w:pPr>
        <w:pStyle w:val="ListParagraph"/>
        <w:numPr>
          <w:ilvl w:val="0"/>
          <w:numId w:val="2"/>
        </w:numPr>
        <w:spacing w:before="40" w:after="40"/>
      </w:pPr>
      <w:r>
        <w:rPr>
          <w:rFonts w:ascii="Arial" w:cs="Arial" w:eastAsia="Arial" w:hAnsi="Arial"/>
          <w:sz w:val="20"/>
          <w:szCs w:val="20"/>
        </w:rPr>
        <w:t xml:space="preserve">Raj Nair, InvManager Application Owner – Primary contact for InvManager application access and change management.</w:t>
      </w:r>
    </w:p>
    <w:p>
      <w:pPr>
        <w:pStyle w:val="ListParagraph"/>
        <w:numPr>
          <w:ilvl w:val="0"/>
          <w:numId w:val="2"/>
        </w:numPr>
        <w:spacing w:before="40" w:after="40"/>
      </w:pPr>
      <w:r>
        <w:rPr>
          <w:rFonts w:ascii="Arial" w:cs="Arial" w:eastAsia="Arial" w:hAnsi="Arial"/>
          <w:sz w:val="20"/>
          <w:szCs w:val="20"/>
        </w:rPr>
        <w:t xml:space="preserve">Michael Torres, IT Operations Manager – Primary contact for backup, batch job monitoring, and incident management.</w:t>
      </w:r>
    </w:p>
    <w:p>
      <w:pPr>
        <w:spacing w:before="400"/>
      </w:pPr>
    </w:p>
    <w:p>
      <w:pPr>
        <w:pBdr>
          <w:bottom w:val="single" w:color="2E5FA3" w:sz="12"/>
        </w:pBdr>
        <w:spacing w:before="120" w:after="120"/>
      </w:pPr>
    </w:p>
    <w:p>
      <w:pPr>
        <w:pStyle w:val="Heading2"/>
        <w:spacing w:before="200" w:after="80"/>
      </w:pPr>
      <w:r>
        <w:rPr>
          <w:rFonts w:ascii="Arial" w:cs="Arial" w:eastAsia="Arial" w:hAnsi="Arial"/>
          <w:b/>
          <w:bCs/>
          <w:color w:val="2E5FA3"/>
          <w:sz w:val="24"/>
          <w:szCs w:val="24"/>
        </w:rPr>
        <w:t xml:space="preserve">Preparer Sign-off</w:t>
      </w:r>
    </w:p>
    <w:p>
      <w:pPr>
        <w:spacing w:before="80" w:after="40"/>
      </w:pPr>
      <w:r>
        <w:rPr>
          <w:rFonts w:ascii="Arial" w:cs="Arial" w:eastAsia="Arial" w:hAnsi="Arial"/>
          <w:b/>
          <w:bCs/>
          <w:sz w:val="20"/>
          <w:szCs w:val="20"/>
        </w:rPr>
        <w:t xml:space="preserve">Prepared by: </w:t>
      </w:r>
      <w:r>
        <w:rPr>
          <w:rFonts w:ascii="Arial" w:cs="Arial" w:eastAsia="Arial" w:hAnsi="Arial"/>
          <w:sz w:val="20"/>
          <w:szCs w:val="20"/>
        </w:rPr>
        <w:t xml:space="preserve">Mihir Trivedi, Associate</w:t>
      </w:r>
    </w:p>
    <w:p>
      <w:pPr>
        <w:spacing w:before="40" w:after="40"/>
      </w:pPr>
      <w:r>
        <w:rPr>
          <w:rFonts w:ascii="Arial" w:cs="Arial" w:eastAsia="Arial" w:hAnsi="Arial"/>
          <w:sz w:val="20"/>
          <w:szCs w:val="20"/>
        </w:rPr>
        <w:t xml:space="preserve">Date: January 6, 2025</w:t>
      </w:r>
    </w:p>
    <w:p>
      <w:pPr>
        <w:spacing w:before="160"/>
      </w:pPr>
    </w:p>
    <w:p>
      <w:pPr>
        <w:pStyle w:val="Heading2"/>
        <w:spacing w:before="200" w:after="80"/>
      </w:pPr>
      <w:r>
        <w:rPr>
          <w:rFonts w:ascii="Arial" w:cs="Arial" w:eastAsia="Arial" w:hAnsi="Arial"/>
          <w:b/>
          <w:bCs/>
          <w:color w:val="2E5FA3"/>
          <w:sz w:val="24"/>
          <w:szCs w:val="24"/>
        </w:rPr>
        <w:t xml:space="preserve">Reviewer Sign-off</w:t>
      </w:r>
    </w:p>
    <w:p>
      <w:pPr>
        <w:spacing w:before="80" w:after="40"/>
      </w:pPr>
      <w:r>
        <w:rPr>
          <w:rFonts w:ascii="Arial" w:cs="Arial" w:eastAsia="Arial" w:hAnsi="Arial"/>
          <w:b/>
          <w:bCs/>
          <w:sz w:val="20"/>
          <w:szCs w:val="20"/>
        </w:rPr>
        <w:t xml:space="preserve">Reviewed by: </w:t>
      </w:r>
      <w:r>
        <w:rPr>
          <w:rFonts w:ascii="Arial" w:cs="Arial" w:eastAsia="Arial" w:hAnsi="Arial"/>
          <w:sz w:val="20"/>
          <w:szCs w:val="20"/>
        </w:rPr>
        <w:t xml:space="preserve">John Doe, Senior Associate</w:t>
      </w:r>
    </w:p>
    <w:p>
      <w:pPr>
        <w:spacing w:before="40" w:after="40"/>
      </w:pPr>
      <w:r>
        <w:rPr>
          <w:rFonts w:ascii="Arial" w:cs="Arial" w:eastAsia="Arial" w:hAnsi="Arial"/>
          <w:sz w:val="20"/>
          <w:szCs w:val="20"/>
        </w:rPr>
        <w:t xml:space="preserve">Date: ___________________</w:t>
      </w:r>
    </w:p>
    <w:p>
      <w:pPr>
        <w:spacing w:before="40" w:after="40"/>
      </w:pPr>
      <w:r>
        <w:rPr>
          <w:rFonts w:ascii="Arial" w:cs="Arial" w:eastAsia="Arial" w:hAnsi="Arial"/>
          <w:sz w:val="20"/>
          <w:szCs w:val="20"/>
        </w:rPr>
        <w:t xml:space="preserve">Review Notes: ___________________________________________________________________________________________________________</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1"/>
      </w:pBdr>
      <w:tabs>
        <w:tab w:val="right" w:pos="9360"/>
      </w:tabs>
      <w:spacing w:before="80" w:after="0"/>
    </w:pPr>
    <w:r>
      <w:rPr>
        <w:rFonts w:ascii="Arial" w:cs="Arial" w:eastAsia="Arial" w:hAnsi="Arial"/>
        <w:color w:val="555555"/>
        <w:sz w:val="16"/>
        <w:szCs w:val="16"/>
      </w:rPr>
      <w:t xml:space="preserve">Prepared by: Mihir Trivedi | Reviewed by: John Doe</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tabs>
        <w:tab w:val="right" w:pos="9360"/>
      </w:tabs>
      <w:spacing w:before="0" w:after="80"/>
    </w:pPr>
    <w:r>
      <w:rPr>
        <w:rFonts w:ascii="Arial" w:cs="Arial" w:eastAsia="Arial" w:hAnsi="Arial"/>
        <w:color w:val="555555"/>
        <w:sz w:val="16"/>
        <w:szCs w:val="16"/>
      </w:rPr>
      <w:t xml:space="preserve">MT Corporation – ITGC Planning Memorandum – FY2024</w:t>
    </w:r>
    <w:r>
      <w:rPr>
        <w:rFonts w:ascii="Arial" w:cs="Arial" w:eastAsia="Arial" w:hAnsi="Arial"/>
        <w:b/>
        <w:bCs/>
        <w:color w:val="C0000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2026-03-12T15:23:12.376Z</dcterms:created>
  <dcterms:modified xsi:type="dcterms:W3CDTF">2026-03-12T15:23:12.377Z</dcterms:modified>
</cp:coreProperties>
</file>

<file path=docProps/custom.xml><?xml version="1.0" encoding="utf-8"?>
<Properties xmlns="http://schemas.openxmlformats.org/officeDocument/2006/custom-properties" xmlns:vt="http://schemas.openxmlformats.org/officeDocument/2006/docPropsVTypes"/>
</file>