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none" w:color="FFFFFF" w:sz="0"/>
              <w:left w:val="none" w:color="FFFFFF" w:sz="0"/>
              <w:bottom w:val="none" w:color="FFFFFF" w:sz="0"/>
              <w:right w:val="none" w:color="FFFFFF" w:sz="0"/>
            </w:tcBorders>
            <w:shd w:fill="1F3864" w:val="clear"/>
            <w:tcMar>
              <w:top w:type="dxa" w:w="160"/>
              <w:left w:type="dxa" w:w="200"/>
              <w:bottom w:type="dxa" w:w="160"/>
              <w:right w:type="dxa" w:w="120"/>
            </w:tcMar>
          </w:tcPr>
          <w:p>
            <w:pPr>
              <w:spacing w:before="0" w:after="40"/>
            </w:pPr>
            <w:r>
              <w:rPr>
                <w:rFonts w:ascii="Arial" w:cs="Arial" w:eastAsia="Arial" w:hAnsi="Arial"/>
                <w:b/>
                <w:bCs/>
                <w:color w:val="FFFFFF"/>
                <w:sz w:val="32"/>
                <w:szCs w:val="32"/>
              </w:rPr>
              <w:t xml:space="preserve">TRIVEDI &amp; DOE LLP</w:t>
            </w:r>
          </w:p>
          <w:p>
            <w:pPr>
              <w:spacing w:before="0" w:after="0"/>
            </w:pPr>
            <w:r>
              <w:rPr>
                <w:rFonts w:ascii="Arial" w:cs="Arial" w:eastAsia="Arial" w:hAnsi="Arial"/>
                <w:i/>
                <w:iCs/>
                <w:color w:val="D6E4F0"/>
                <w:sz w:val="16"/>
                <w:szCs w:val="16"/>
              </w:rPr>
              <w:t xml:space="preserve">Certified Public Accountants &amp; IT Assurance Advisors</w:t>
            </w:r>
          </w:p>
        </w:tc>
        <w:tc>
          <w:tcPr>
            <w:tcW w:type="dxa" w:w="3600"/>
            <w:tcBorders>
              <w:top w:val="none" w:color="FFFFFF" w:sz="0"/>
              <w:left w:val="none" w:color="FFFFFF" w:sz="0"/>
              <w:bottom w:val="none" w:color="FFFFFF" w:sz="0"/>
              <w:right w:val="none" w:color="FFFFFF" w:sz="0"/>
            </w:tcBorders>
            <w:shd w:fill="2E5FA3" w:val="clear"/>
            <w:tcMar>
              <w:top w:type="dxa" w:w="120"/>
              <w:left w:type="dxa" w:w="200"/>
              <w:bottom w:type="dxa" w:w="120"/>
              <w:right w:type="dxa" w:w="120"/>
            </w:tcMar>
          </w:tcPr>
          <w:p>
            <w:pPr>
              <w:spacing w:before="0" w:after="30"/>
            </w:pPr>
            <w:r>
              <w:rPr>
                <w:rFonts w:ascii="Arial" w:cs="Arial" w:eastAsia="Arial" w:hAnsi="Arial"/>
                <w:color w:val="FFFFFF"/>
                <w:sz w:val="16"/>
                <w:szCs w:val="16"/>
              </w:rPr>
              <w:t xml:space="preserve">500 Congress Avenue, Suite 2200</w:t>
            </w:r>
          </w:p>
          <w:p>
            <w:pPr>
              <w:spacing w:before="0" w:after="30"/>
            </w:pPr>
            <w:r>
              <w:rPr>
                <w:rFonts w:ascii="Arial" w:cs="Arial" w:eastAsia="Arial" w:hAnsi="Arial"/>
                <w:color w:val="FFFFFF"/>
                <w:sz w:val="16"/>
                <w:szCs w:val="16"/>
              </w:rPr>
              <w:t xml:space="preserve">Austin, Texas  78701</w:t>
            </w:r>
          </w:p>
          <w:p>
            <w:pPr>
              <w:spacing w:before="0" w:after="30"/>
            </w:pPr>
            <w:r>
              <w:rPr>
                <w:rFonts w:ascii="Arial" w:cs="Arial" w:eastAsia="Arial" w:hAnsi="Arial"/>
                <w:color w:val="FFFFFF"/>
                <w:sz w:val="16"/>
                <w:szCs w:val="16"/>
              </w:rPr>
              <w:t xml:space="preserve">T: (512) 555-0192   F: (512) 555-0193</w:t>
            </w:r>
          </w:p>
          <w:p>
            <w:pPr>
              <w:spacing w:before="0" w:after="0"/>
            </w:pPr>
            <w:r>
              <w:rPr>
                <w:rFonts w:ascii="Arial" w:cs="Arial" w:eastAsia="Arial" w:hAnsi="Arial"/>
                <w:i/>
                <w:iCs/>
                <w:color w:val="D6E4F0"/>
                <w:sz w:val="16"/>
                <w:szCs w:val="16"/>
              </w:rPr>
              <w:t xml:space="preserve">www.trivediandoe.com</w:t>
            </w:r>
          </w:p>
        </w:tc>
      </w:tr>
    </w:tbl>
    <w:p>
      <w:pPr>
        <w:spacing w:before="180" w:after="0"/>
      </w:pPr>
    </w:p>
    <w:p>
      <w:pPr>
        <w:spacing w:before="80" w:after="80"/>
      </w:pPr>
      <w:r>
        <w:rPr>
          <w:rFonts w:ascii="Arial" w:cs="Arial" w:eastAsia="Arial" w:hAnsi="Arial"/>
          <w:sz w:val="20"/>
          <w:szCs w:val="20"/>
        </w:rPr>
        <w:t xml:space="preserve">February 10, 2025</w:t>
      </w:r>
    </w:p>
    <w:p>
      <w:pPr>
        <w:spacing w:before="120" w:after="0"/>
      </w:pPr>
    </w:p>
    <w:p>
      <w:pPr>
        <w:spacing w:before="80" w:after="80"/>
      </w:pPr>
      <w:r>
        <w:rPr>
          <w:rFonts w:ascii="Arial" w:cs="Arial" w:eastAsia="Arial" w:hAnsi="Arial"/>
          <w:b/>
          <w:bCs/>
          <w:sz w:val="20"/>
          <w:szCs w:val="20"/>
        </w:rPr>
        <w:t xml:space="preserve">PRIVATE AND CONFIDENTIAL</w:t>
      </w:r>
    </w:p>
    <w:p>
      <w:pPr>
        <w:spacing w:before="60" w:after="0"/>
      </w:pPr>
    </w:p>
    <w:p>
      <w:pPr>
        <w:spacing w:before="80" w:after="80"/>
      </w:pPr>
      <w:r>
        <w:rPr>
          <w:rFonts w:ascii="Arial" w:cs="Arial" w:eastAsia="Arial" w:hAnsi="Arial"/>
          <w:b/>
          <w:bCs/>
          <w:sz w:val="20"/>
          <w:szCs w:val="20"/>
        </w:rPr>
        <w:t xml:space="preserve">Board of Directors and Management</w:t>
      </w:r>
    </w:p>
    <w:p>
      <w:pPr>
        <w:spacing w:before="80" w:after="80"/>
      </w:pPr>
      <w:r>
        <w:rPr>
          <w:rFonts w:ascii="Arial" w:cs="Arial" w:eastAsia="Arial" w:hAnsi="Arial"/>
          <w:b/>
          <w:bCs/>
          <w:sz w:val="20"/>
          <w:szCs w:val="20"/>
        </w:rPr>
        <w:t xml:space="preserve">MT Corporation</w:t>
      </w:r>
    </w:p>
    <w:p>
      <w:pPr>
        <w:spacing w:before="80" w:after="80"/>
      </w:pPr>
      <w:r>
        <w:rPr>
          <w:rFonts w:ascii="Arial" w:cs="Arial" w:eastAsia="Arial" w:hAnsi="Arial"/>
          <w:sz w:val="20"/>
          <w:szCs w:val="20"/>
        </w:rPr>
        <w:t xml:space="preserve">3400 Pflugerville Pkwy, Suite 100</w:t>
      </w:r>
    </w:p>
    <w:p>
      <w:pPr>
        <w:spacing w:before="80" w:after="80"/>
      </w:pPr>
      <w:r>
        <w:rPr>
          <w:rFonts w:ascii="Arial" w:cs="Arial" w:eastAsia="Arial" w:hAnsi="Arial"/>
          <w:sz w:val="20"/>
          <w:szCs w:val="20"/>
        </w:rPr>
        <w:t xml:space="preserve">Pflugerville, Texas  78660</w:t>
      </w:r>
    </w:p>
    <w:p>
      <w:pPr>
        <w:spacing w:before="180" w:after="0"/>
      </w:pPr>
    </w:p>
    <w:p>
      <w:pPr>
        <w:spacing w:before="80" w:after="80"/>
      </w:pPr>
      <w:r>
        <w:rPr>
          <w:rFonts w:ascii="Arial" w:cs="Arial" w:eastAsia="Arial" w:hAnsi="Arial"/>
          <w:b/>
          <w:bCs/>
          <w:sz w:val="20"/>
          <w:szCs w:val="20"/>
        </w:rPr>
        <w:t xml:space="preserve">Re:  </w:t>
      </w:r>
      <w:r>
        <w:rPr>
          <w:rFonts w:ascii="Arial" w:cs="Arial" w:eastAsia="Arial" w:hAnsi="Arial"/>
          <w:sz w:val="20"/>
          <w:szCs w:val="20"/>
        </w:rPr>
        <w:t xml:space="preserve">FY2024 IT General Controls (ITGC) Audit — Summary of Findings and Management Letter</w:t>
      </w:r>
    </w:p>
    <w:p>
      <w:pPr>
        <w:spacing w:before="80" w:after="80"/>
      </w:pPr>
      <w:r>
        <w:rPr>
          <w:rFonts w:ascii="Arial" w:cs="Arial" w:eastAsia="Arial" w:hAnsi="Arial"/>
          <w:b/>
          <w:bCs/>
          <w:sz w:val="20"/>
          <w:szCs w:val="20"/>
        </w:rPr>
        <w:t xml:space="preserve">Engagement Period:  </w:t>
      </w:r>
      <w:r>
        <w:rPr>
          <w:rFonts w:ascii="Arial" w:cs="Arial" w:eastAsia="Arial" w:hAnsi="Arial"/>
          <w:sz w:val="20"/>
          <w:szCs w:val="20"/>
        </w:rPr>
        <w:t xml:space="preserve">January 1, 2024 – December 31, 2024</w:t>
      </w:r>
    </w:p>
    <w:p>
      <w:pPr>
        <w:spacing w:before="80" w:after="80"/>
      </w:pPr>
      <w:r>
        <w:rPr>
          <w:rFonts w:ascii="Arial" w:cs="Arial" w:eastAsia="Arial" w:hAnsi="Arial"/>
          <w:b/>
          <w:bCs/>
          <w:sz w:val="20"/>
          <w:szCs w:val="20"/>
        </w:rPr>
        <w:t xml:space="preserve">Report Classification:  </w:t>
      </w:r>
      <w:r>
        <w:rPr>
          <w:rFonts w:ascii="Arial" w:cs="Arial" w:eastAsia="Arial" w:hAnsi="Arial"/>
          <w:sz w:val="20"/>
          <w:szCs w:val="20"/>
        </w:rPr>
        <w:t xml:space="preserve">CONFIDENTIAL — For Internal Use and External Auditor Distribution Only</w:t>
      </w:r>
    </w:p>
    <w:p>
      <w:pPr>
        <w:spacing w:before="120" w:after="0"/>
      </w:pPr>
    </w:p>
    <w:p>
      <w:pPr>
        <w:pBdr>
          <w:bottom w:val="single" w:color="1F3864" w:sz="12"/>
        </w:pBdr>
        <w:spacing w:before="100" w:after="100"/>
      </w:pPr>
    </w:p>
    <w:p>
      <w:pPr>
        <w:spacing w:before="120" w:after="0"/>
      </w:pPr>
    </w:p>
    <w:p>
      <w:pPr>
        <w:spacing w:before="80" w:after="80"/>
      </w:pPr>
      <w:r>
        <w:rPr>
          <w:rFonts w:ascii="Arial" w:cs="Arial" w:eastAsia="Arial" w:hAnsi="Arial"/>
          <w:sz w:val="20"/>
          <w:szCs w:val="20"/>
        </w:rPr>
        <w:t xml:space="preserve">Dear Members of the Board and Management:</w:t>
      </w:r>
    </w:p>
    <w:p>
      <w:pPr>
        <w:spacing w:before="60" w:after="0"/>
      </w:pPr>
    </w:p>
    <w:p>
      <w:pPr>
        <w:pStyle w:val="Heading1"/>
        <w:spacing w:before="280" w:after="100"/>
      </w:pPr>
      <w:r>
        <w:rPr>
          <w:rFonts w:ascii="Arial" w:cs="Arial" w:eastAsia="Arial" w:hAnsi="Arial"/>
          <w:b/>
          <w:bCs/>
          <w:color w:val="1F3864"/>
          <w:sz w:val="26"/>
          <w:szCs w:val="26"/>
        </w:rPr>
        <w:t xml:space="preserve">I.  Engagement Overview</w:t>
      </w:r>
    </w:p>
    <w:p>
      <w:pPr>
        <w:pBdr>
          <w:bottom w:val="single" w:color="2E5FA3" w:sz="12"/>
        </w:pBdr>
        <w:spacing w:before="100" w:after="100"/>
      </w:pPr>
    </w:p>
    <w:p>
      <w:pPr>
        <w:spacing w:before="80" w:after="80"/>
      </w:pPr>
      <w:r>
        <w:rPr>
          <w:rFonts w:ascii="Arial" w:cs="Arial" w:eastAsia="Arial" w:hAnsi="Arial"/>
          <w:sz w:val="20"/>
          <w:szCs w:val="20"/>
        </w:rPr>
        <w:t xml:space="preserve">We have completed our procedures in connection with the audit of Information Technology General Controls (ITGCs) for MT Corporation (the "Company") for the fiscal year ended December 31, 2024. This audit was conducted in accordance with the requirements of Section 404 of the Sarbanes-Oxley Act of 2002 ("SOX") and the Public Company Accounting Oversight Board (PCAOB) Auditing Standard No. 2201, An Audit of Internal Control Over Financial Reporting That Is Integrated with an Audit of Financial Statements.</w:t>
      </w:r>
    </w:p>
    <w:p>
      <w:pPr>
        <w:spacing w:before="60" w:after="0"/>
      </w:pPr>
    </w:p>
    <w:p>
      <w:pPr>
        <w:spacing w:before="80" w:after="80"/>
      </w:pPr>
      <w:r>
        <w:rPr>
          <w:rFonts w:ascii="Arial" w:cs="Arial" w:eastAsia="Arial" w:hAnsi="Arial"/>
          <w:sz w:val="20"/>
          <w:szCs w:val="20"/>
        </w:rPr>
        <w:t xml:space="preserve">The objective of our ITGC audit was to evaluate the design and operating effectiveness of key IT controls over the systems that support MT Corporation's significant financial reporting processes. Our work was performed by Mihir Trivedi (Associate), under the supervision of John Doe (Senior Associate). Planning and walkthrough procedures were conducted during October and November 2024; fieldwork was performed in two phases during November–December 2024 and January 6–24, 2025.</w:t>
      </w:r>
    </w:p>
    <w:p>
      <w:pPr>
        <w:spacing w:before="60" w:after="0"/>
      </w:pPr>
    </w:p>
    <w:p>
      <w:pPr>
        <w:spacing w:before="80" w:after="80"/>
      </w:pPr>
      <w:r>
        <w:rPr>
          <w:rFonts w:ascii="Arial" w:cs="Arial" w:eastAsia="Arial" w:hAnsi="Arial"/>
          <w:sz w:val="20"/>
          <w:szCs w:val="20"/>
        </w:rPr>
        <w:t xml:space="preserve">The in-scope systems, processes, and controls are described in our ITGC Planning Memorandum dated January 6, 2025. This management letter should be read together with the Planning Memorandum (MTCorp_ITGC_PlanningMemo_2024.docx), the Control Matrix (MTCorp_ControlMatrix_2024.xlsx), the Test of Design and Operating Effectiveness Workpapers (MTCorp_Testing_Workpapers_2024.xlsx), and the Control Deficiency Memorandum (MTCorp_Deficiency_Memo_2024.docx).</w:t>
      </w:r>
    </w:p>
    <w:p>
      <w:pPr>
        <w:spacing w:before="120" w:after="0"/>
      </w:pPr>
    </w:p>
    <w:p>
      <w:pPr>
        <w:pStyle w:val="Heading1"/>
        <w:spacing w:before="280" w:after="100"/>
      </w:pPr>
      <w:r>
        <w:rPr>
          <w:rFonts w:ascii="Arial" w:cs="Arial" w:eastAsia="Arial" w:hAnsi="Arial"/>
          <w:b/>
          <w:bCs/>
          <w:color w:val="1F3864"/>
          <w:sz w:val="26"/>
          <w:szCs w:val="26"/>
        </w:rPr>
        <w:t xml:space="preserve">II.  Scope of the Audit</w:t>
      </w:r>
    </w:p>
    <w:p>
      <w:pPr>
        <w:pBdr>
          <w:bottom w:val="single" w:color="2E5FA3" w:sz="12"/>
        </w:pBdr>
        <w:spacing w:before="100" w:after="100"/>
      </w:pPr>
    </w:p>
    <w:p>
      <w:pPr>
        <w:spacing w:before="80" w:after="80"/>
      </w:pPr>
      <w:r>
        <w:rPr>
          <w:rFonts w:ascii="Arial" w:cs="Arial" w:eastAsia="Arial" w:hAnsi="Arial"/>
          <w:sz w:val="20"/>
          <w:szCs w:val="20"/>
        </w:rPr>
        <w:t xml:space="preserve">Our ITGC audit covered the following in-scope systems, process areas, and number of controls tested: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80"/>
        <w:gridCol w:w="1480"/>
        <w:gridCol w:w="1400"/>
      </w:tblGrid>
      <w:tr>
        <w:trPr>
          <w:tblHeader/>
        </w:trPr>
        <w:tc>
          <w:tcPr>
            <w:tcW w:type="dxa" w:w="28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In-Scope System</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System Type</w:t>
            </w:r>
          </w:p>
        </w:tc>
        <w:tc>
          <w:tcPr>
            <w:tcW w:type="dxa" w:w="16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Process Areas
Covered</w:t>
            </w:r>
          </w:p>
        </w:tc>
        <w:tc>
          <w:tcPr>
            <w:tcW w:type="dxa" w:w="1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Controls
Tested</w:t>
            </w:r>
          </w:p>
        </w:tc>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Overall
Result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SAP ECC 6.0</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Enterprise Resource Planning (ERP)</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Access Mgmt.
Change Mgmt.
IT Operations</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olor w:val="000000"/>
                <w:sz w:val="18"/>
                <w:szCs w:val="18"/>
              </w:rPr>
              <w:t xml:space="preserve">8 of 12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left"/>
            </w:pPr>
            <w:r>
              <w:rPr>
                <w:rFonts w:ascii="Arial" w:cs="Arial" w:eastAsia="Arial" w:hAnsi="Arial"/>
                <w:b/>
                <w:bCs/>
                <w:i w:val="false"/>
                <w:iCs w:val="false"/>
                <w:color w:val="833C00"/>
                <w:sz w:val="18"/>
                <w:szCs w:val="18"/>
              </w:rPr>
              <w:t xml:space="preserve">Exceptions noted — see findings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Microsoft Active Directory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User Authentication &amp; Authorization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Access Management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olor w:val="000000"/>
                <w:sz w:val="18"/>
                <w:szCs w:val="18"/>
              </w:rPr>
              <w:t xml:space="preserve">3 of 12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left"/>
            </w:pPr>
            <w:r>
              <w:rPr>
                <w:rFonts w:ascii="Arial" w:cs="Arial" w:eastAsia="Arial" w:hAnsi="Arial"/>
                <w:b/>
                <w:bCs/>
                <w:i w:val="false"/>
                <w:iCs w:val="false"/>
                <w:color w:val="833C00"/>
                <w:sz w:val="18"/>
                <w:szCs w:val="18"/>
              </w:rPr>
              <w:t xml:space="preserve">Exceptions noted — see findings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InvManager (Custom App)</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Proprietary Inventory Management Application</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Access Mgmt.
Change Mgmt.</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jc w:val="center"/>
            </w:pPr>
            <w:r>
              <w:rPr>
                <w:rFonts w:ascii="Arial" w:cs="Arial" w:eastAsia="Arial" w:hAnsi="Arial"/>
                <w:b w:val="false"/>
                <w:bCs w:val="false"/>
                <w:i w:val="false"/>
                <w:iCs w:val="false"/>
                <w:color w:val="000000"/>
                <w:sz w:val="18"/>
                <w:szCs w:val="18"/>
              </w:rPr>
              <w:t xml:space="preserve">5 of 12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left"/>
            </w:pPr>
            <w:r>
              <w:rPr>
                <w:rFonts w:ascii="Arial" w:cs="Arial" w:eastAsia="Arial" w:hAnsi="Arial"/>
                <w:b/>
                <w:bCs/>
                <w:i w:val="false"/>
                <w:iCs w:val="false"/>
                <w:color w:val="833C00"/>
                <w:sz w:val="18"/>
                <w:szCs w:val="18"/>
              </w:rPr>
              <w:t xml:space="preserve">Exceptions noted — see findings</w:t>
            </w:r>
          </w:p>
        </w:tc>
      </w:tr>
    </w:tbl>
    <w:p>
      <w:pPr>
        <w:spacing w:before="120" w:after="0"/>
      </w:pPr>
    </w:p>
    <w:p>
      <w:pPr>
        <w:spacing w:before="80" w:after="80"/>
      </w:pPr>
      <w:r>
        <w:rPr>
          <w:rFonts w:ascii="Arial" w:cs="Arial" w:eastAsia="Arial" w:hAnsi="Arial"/>
          <w:sz w:val="20"/>
          <w:szCs w:val="20"/>
        </w:rPr>
        <w:t xml:space="preserve">Our testing covered three ITGC process areas: Access Management (AM), Change Management (CM), and IT Operations (OPS). A total of 12 key controls were identified and tested for both design effectiveness and operating effectiveness during the FY2024 audit period.</w:t>
      </w:r>
    </w:p>
    <w:p>
      <w:pPr>
        <w:spacing w:before="120" w:after="0"/>
      </w:pPr>
    </w:p>
    <w:p>
      <w:pPr>
        <w:pStyle w:val="Heading1"/>
        <w:spacing w:before="280" w:after="100"/>
      </w:pPr>
      <w:r>
        <w:rPr>
          <w:rFonts w:ascii="Arial" w:cs="Arial" w:eastAsia="Arial" w:hAnsi="Arial"/>
          <w:b/>
          <w:bCs/>
          <w:color w:val="1F3864"/>
          <w:sz w:val="26"/>
          <w:szCs w:val="26"/>
        </w:rPr>
        <w:t xml:space="preserve">III.  Overall Opinion on ITGC Effectiveness</w:t>
      </w:r>
    </w:p>
    <w:p>
      <w:pPr>
        <w:pBdr>
          <w:bottom w:val="single" w:color="2E5FA3" w:sz="12"/>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D6E4F0" w:val="clear"/>
            <w:tcMar>
              <w:top w:type="dxa" w:w="160"/>
              <w:left w:type="dxa" w:w="240"/>
              <w:bottom w:type="dxa" w:w="160"/>
              <w:right w:type="dxa" w:w="240"/>
            </w:tcMar>
          </w:tcPr>
          <w:p>
            <w:pPr>
              <w:spacing w:before="0" w:after="100"/>
            </w:pPr>
            <w:r>
              <w:rPr>
                <w:rFonts w:ascii="Arial" w:cs="Arial" w:eastAsia="Arial" w:hAnsi="Arial"/>
                <w:b/>
                <w:bCs/>
                <w:color w:val="1F3864"/>
                <w:sz w:val="18"/>
                <w:szCs w:val="18"/>
              </w:rPr>
              <w:t xml:space="preserve">AUDITOR OPINION</w:t>
            </w:r>
          </w:p>
          <w:p>
            <w:pPr>
              <w:spacing w:before="0" w:after="80"/>
            </w:pPr>
            <w:r>
              <w:rPr>
                <w:rFonts w:ascii="Arial" w:cs="Arial" w:eastAsia="Arial" w:hAnsi="Arial"/>
                <w:b/>
                <w:bCs/>
                <w:color w:val="C00000"/>
                <w:sz w:val="20"/>
                <w:szCs w:val="20"/>
              </w:rPr>
              <w:t xml:space="preserve">Based on the results of our testing, it is our opinion that MT Corporation's IT General Controls, taken as a whole, were NOT fully effective for the fiscal year ended December 31, 2024.</w:t>
            </w:r>
          </w:p>
          <w:p>
            <w:pPr>
              <w:spacing w:before="0" w:after="0"/>
            </w:pPr>
            <w:r>
              <w:rPr>
                <w:rFonts w:ascii="Arial" w:cs="Arial" w:eastAsia="Arial" w:hAnsi="Arial"/>
                <w:color w:val="1F3864"/>
                <w:sz w:val="20"/>
                <w:szCs w:val="20"/>
              </w:rPr>
              <w:t xml:space="preserve">Three control deficiencies were identified — one rated High (Significant Deficiency), one rated Medium, and one rated Low. The High-rated deficiency in Change Management, specifically the absence of documented CAB approval for a change to the InvManager database — a financially relevant system — represents a significant deficiency under PCAOB AS 2201. Nine of twelve controls (75%) tested were found to be operating effectively with no exceptions noted.</w:t>
            </w:r>
          </w:p>
        </w:tc>
      </w:tr>
    </w:tbl>
    <w:p>
      <w:pPr>
        <w:spacing w:before="120" w:after="0"/>
      </w:pPr>
    </w:p>
    <w:p>
      <w:pPr>
        <w:spacing w:before="80" w:after="80"/>
      </w:pPr>
      <w:r>
        <w:rPr>
          <w:rFonts w:ascii="Arial" w:cs="Arial" w:eastAsia="Arial" w:hAnsi="Arial"/>
          <w:sz w:val="20"/>
          <w:szCs w:val="20"/>
        </w:rPr>
        <w:t xml:space="preserve">Of the 12 key controls tested, 9 were found to be operating effectively throughout the audit period with no exceptions. Three controls had exceptions resulting in the following deficiency ratings: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00"/>
        <w:gridCol w:w="2500"/>
        <w:gridCol w:w="1480"/>
        <w:gridCol w:w="1900"/>
        <w:gridCol w:w="1400"/>
      </w:tblGrid>
      <w:tr>
        <w:trPr>
          <w:tblHeader/>
        </w:trPr>
        <w:tc>
          <w:tcPr>
            <w:tcW w:type="dxa" w:w="10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Deficiency
Ref.</w:t>
            </w:r>
          </w:p>
        </w:tc>
        <w:tc>
          <w:tcPr>
            <w:tcW w:type="dxa" w:w="1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Control
ID</w:t>
            </w:r>
          </w:p>
        </w:tc>
        <w:tc>
          <w:tcPr>
            <w:tcW w:type="dxa" w:w="25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Finding Summary</w:t>
            </w:r>
          </w:p>
        </w:tc>
        <w:tc>
          <w:tcPr>
            <w:tcW w:type="dxa" w:w="14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Process
Area</w:t>
            </w:r>
          </w:p>
        </w:tc>
        <w:tc>
          <w:tcPr>
            <w:tcW w:type="dxa" w:w="19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Severity</w:t>
            </w:r>
          </w:p>
        </w:tc>
        <w:tc>
          <w:tcPr>
            <w:tcW w:type="dxa" w:w="14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Status</w:t>
            </w:r>
          </w:p>
        </w:tc>
      </w:tr>
      <w:tr>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833C00"/>
                <w:sz w:val="18"/>
                <w:szCs w:val="18"/>
              </w:rPr>
              <w:t xml:space="preserve">DEF-2024-01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CM-01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3 of 40 changes (7.5%) implemented without complete prior CAB approval; one with no authorization documented.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Change Management</w:t>
            </w:r>
          </w:p>
        </w:tc>
        <w:tc>
          <w:tcPr>
            <w:tcW w:type="dxa" w:w="1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33C00"/>
                <w:sz w:val="18"/>
                <w:szCs w:val="18"/>
              </w:rPr>
              <w:t xml:space="preserve">HIGH</w:t>
            </w:r>
            <w:r>
              <w:rPr>
                <w:rFonts w:ascii="Arial" w:cs="Arial" w:eastAsia="Arial" w:hAnsi="Arial"/>
                <w:color w:val="833C00"/>
                <w:sz w:val="16"/>
                <w:szCs w:val="16"/>
              </w:rPr>
              <w:t xml:space="preserve">  (Significant Deficiency)</w:t>
            </w:r>
          </w:p>
        </w:tc>
        <w:tc>
          <w:tcPr>
            <w:tcW w:type="dxa" w:w="14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C00000"/>
                <w:sz w:val="18"/>
                <w:szCs w:val="18"/>
              </w:rPr>
              <w:t xml:space="preserve">Open</w:t>
            </w:r>
          </w:p>
        </w:tc>
      </w:tr>
      <w:tr>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7F6000"/>
                <w:sz w:val="18"/>
                <w:szCs w:val="18"/>
              </w:rPr>
              <w:t xml:space="preserve">DEF-2024-02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AM-03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Q3 2024 quarterly access recertification for InvManager completed 13 days past required deadline (1 of 4 quarters).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Access Management</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7F6000"/>
                <w:sz w:val="18"/>
                <w:szCs w:val="18"/>
              </w:rPr>
              <w:t xml:space="preserve">Medium</w:t>
            </w:r>
          </w:p>
        </w:tc>
        <w:tc>
          <w:tcPr>
            <w:tcW w:type="dxa" w:w="14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C00000"/>
                <w:sz w:val="18"/>
                <w:szCs w:val="18"/>
              </w:rPr>
              <w:t xml:space="preserve">Open</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595959"/>
                <w:sz w:val="18"/>
                <w:szCs w:val="18"/>
              </w:rPr>
              <w:t xml:space="preserve">DEF-2024-03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AM-02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SAP ECC access revocation for 1 of 25 sampled terminations (4%) exceeded the 1-business-day SLA. No unauthorized activity identified.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Access Management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595959"/>
                <w:sz w:val="18"/>
                <w:szCs w:val="18"/>
              </w:rPr>
              <w:t xml:space="preserve">Low</w:t>
            </w:r>
          </w:p>
        </w:tc>
        <w:tc>
          <w:tcPr>
            <w:tcW w:type="dxa" w:w="140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C00000"/>
                <w:sz w:val="18"/>
                <w:szCs w:val="18"/>
              </w:rPr>
              <w:t xml:space="preserve">Open</w:t>
            </w:r>
          </w:p>
        </w:tc>
      </w:tr>
    </w:tbl>
    <w:p>
      <w:pPr>
        <w:spacing w:before="120" w:after="0"/>
      </w:pPr>
    </w:p>
    <w:p>
      <w:pPr>
        <w:pStyle w:val="Heading1"/>
        <w:spacing w:before="280" w:after="100"/>
      </w:pPr>
      <w:r>
        <w:rPr>
          <w:rFonts w:ascii="Arial" w:cs="Arial" w:eastAsia="Arial" w:hAnsi="Arial"/>
          <w:b/>
          <w:bCs/>
          <w:color w:val="1F3864"/>
          <w:sz w:val="26"/>
          <w:szCs w:val="26"/>
        </w:rPr>
        <w:t xml:space="preserve">IV.  Key Findings</w:t>
      </w:r>
    </w:p>
    <w:p>
      <w:pPr>
        <w:pBdr>
          <w:bottom w:val="single" w:color="2E5FA3" w:sz="12"/>
        </w:pBdr>
        <w:spacing w:before="100" w:after="100"/>
      </w:pPr>
    </w:p>
    <w:p>
      <w:pPr>
        <w:pStyle w:val="Heading2"/>
        <w:spacing w:before="180" w:after="60"/>
      </w:pPr>
      <w:r>
        <w:rPr>
          <w:rFonts w:ascii="Arial" w:cs="Arial" w:eastAsia="Arial" w:hAnsi="Arial"/>
          <w:b/>
          <w:bCs/>
          <w:color w:val="833C00"/>
          <w:sz w:val="22"/>
          <w:szCs w:val="22"/>
        </w:rPr>
        <w:t xml:space="preserve">Finding 1 — Change Authorization &amp; CAB Approval (CM-01) [HIGH — Significant Deficiency]</w:t>
      </w:r>
    </w:p>
    <w:p>
      <w:pPr>
        <w:spacing w:before="80" w:after="80"/>
      </w:pPr>
      <w:r>
        <w:rPr>
          <w:rFonts w:ascii="Arial" w:cs="Arial" w:eastAsia="Arial" w:hAnsi="Arial"/>
          <w:sz w:val="20"/>
          <w:szCs w:val="20"/>
        </w:rPr>
        <w:t xml:space="preserve">Our testing of the Change Authorization and CAB Approval control (CM-01) identified three exceptions among the 40 sampled change requests (7.5% exception rate). We consider this the most significant finding of the FY2024 ITGC audit.</w:t>
      </w:r>
    </w:p>
    <w:p>
      <w:pPr>
        <w:spacing w:before="60" w:after="0"/>
      </w:pPr>
    </w:p>
    <w:p>
      <w:pPr>
        <w:spacing w:before="80" w:after="80"/>
      </w:pPr>
      <w:r>
        <w:rPr>
          <w:rFonts w:ascii="Arial" w:cs="Arial" w:eastAsia="Arial" w:hAnsi="Arial"/>
          <w:b/>
          <w:bCs/>
          <w:sz w:val="20"/>
          <w:szCs w:val="20"/>
        </w:rPr>
        <w:t xml:space="preserve">Most Critical Exception — CHG0038291 (InvManager Database Schema, August 2024): </w:t>
      </w:r>
      <w:r>
        <w:rPr>
          <w:rFonts w:ascii="Arial" w:cs="Arial" w:eastAsia="Arial" w:hAnsi="Arial"/>
          <w:sz w:val="20"/>
          <w:szCs w:val="20"/>
        </w:rPr>
        <w:t xml:space="preserve">A modification to the InvManager application database was implemented on August 29, 2024 with no Change Advisory Board (CAB) approval, no business owner sign-off, no technical approval, and no testing documentation of any kind. The InvManager system owner proceeded with the change, characterizing it as minor, without opening a ServiceNow Change Request or submitting it to the CAB process. This change directly affected the </w:t>
      </w:r>
      <w:r>
        <w:rPr>
          <w:rFonts w:ascii="Arial" w:cs="Arial" w:eastAsia="Arial" w:hAnsi="Arial"/>
          <w:i/>
          <w:iCs/>
          <w:sz w:val="20"/>
          <w:szCs w:val="20"/>
        </w:rPr>
        <w:t xml:space="preserve">inventory_lots</w:t>
      </w:r>
      <w:r>
        <w:rPr>
          <w:rFonts w:ascii="Arial" w:cs="Arial" w:eastAsia="Arial" w:hAnsi="Arial"/>
          <w:sz w:val="20"/>
          <w:szCs w:val="20"/>
        </w:rPr>
        <w:t xml:space="preserve"> and </w:t>
      </w:r>
      <w:r>
        <w:rPr>
          <w:rFonts w:ascii="Arial" w:cs="Arial" w:eastAsia="Arial" w:hAnsi="Arial"/>
          <w:i/>
          <w:iCs/>
          <w:sz w:val="20"/>
          <w:szCs w:val="20"/>
        </w:rPr>
        <w:t xml:space="preserve">cost_adjustments</w:t>
      </w:r>
      <w:r>
        <w:rPr>
          <w:rFonts w:ascii="Arial" w:cs="Arial" w:eastAsia="Arial" w:hAnsi="Arial"/>
          <w:sz w:val="20"/>
          <w:szCs w:val="20"/>
        </w:rPr>
        <w:t xml:space="preserve"> database tables — tables whose data is transmitted to SAP ECC and recorded in the Company's inventory and cost-of-goods-sold (COGS) balances, both of which are material to the financial statements. The change management policy (IT-POL-CM-001 v3.1) explicitly requires all production changes to in-scope systems to receive documented CAB approval regardless of perceived materiality.</w:t>
      </w:r>
    </w:p>
    <w:p>
      <w:pPr>
        <w:spacing w:before="60" w:after="0"/>
      </w:pPr>
    </w:p>
    <w:p>
      <w:pPr>
        <w:spacing w:before="80" w:after="80"/>
      </w:pPr>
      <w:r>
        <w:rPr>
          <w:rFonts w:ascii="Arial" w:cs="Arial" w:eastAsia="Arial" w:hAnsi="Arial"/>
          <w:b/>
          <w:bCs/>
          <w:sz w:val="20"/>
          <w:szCs w:val="20"/>
        </w:rPr>
        <w:t xml:space="preserve">Second Exception — CHG0031847 (SAP ECC General Ledger Configuration, May 2024): </w:t>
      </w:r>
      <w:r>
        <w:rPr>
          <w:rFonts w:ascii="Arial" w:cs="Arial" w:eastAsia="Arial" w:hAnsi="Arial"/>
          <w:sz w:val="20"/>
          <w:szCs w:val="20"/>
        </w:rPr>
        <w:t xml:space="preserve">A SAP ECC general ledger account configuration change was implemented on May 14, 2024, 43 minutes before CAB approval was formally recorded in ServiceNow. While CAB meeting minutes suggest verbal discussion occurred one week prior, the control requires documented pre-implementation approval, and retroactive recording does not satisfy this requirement. Changes to GL account configuration can directly affect the presentation and classification of financial statement line items.</w:t>
      </w:r>
    </w:p>
    <w:p>
      <w:pPr>
        <w:spacing w:before="60" w:after="0"/>
      </w:pPr>
    </w:p>
    <w:p>
      <w:pPr>
        <w:spacing w:before="80" w:after="80"/>
      </w:pPr>
      <w:r>
        <w:rPr>
          <w:rFonts w:ascii="Arial" w:cs="Arial" w:eastAsia="Arial" w:hAnsi="Arial"/>
          <w:b/>
          <w:bCs/>
          <w:sz w:val="20"/>
          <w:szCs w:val="20"/>
        </w:rPr>
        <w:t xml:space="preserve">Third Exception — CHG0044102 (Active Directory Emergency Change, November 2024): </w:t>
      </w:r>
      <w:r>
        <w:rPr>
          <w:rFonts w:ascii="Arial" w:cs="Arial" w:eastAsia="Arial" w:hAnsi="Arial"/>
          <w:sz w:val="20"/>
          <w:szCs w:val="20"/>
        </w:rPr>
        <w:t xml:space="preserve">An emergency change to Active Directory Group Policy Objects was implemented with appropriate pre-implementation approval; however, the required CAB post-implementation review was completed three business days after implementation, exceeding the two-business-day SLA by one business day. While less severe than the first two exceptions, this represents an additional instance of the change management control not operating as designed.</w:t>
      </w:r>
    </w:p>
    <w:p>
      <w:pPr>
        <w:spacing w:before="60" w:after="0"/>
      </w:pPr>
    </w:p>
    <w:p>
      <w:pPr>
        <w:spacing w:before="80" w:after="80"/>
      </w:pPr>
      <w:r>
        <w:rPr>
          <w:rFonts w:ascii="Arial" w:cs="Arial" w:eastAsia="Arial" w:hAnsi="Arial"/>
          <w:b/>
          <w:bCs/>
          <w:sz w:val="20"/>
          <w:szCs w:val="20"/>
        </w:rPr>
        <w:t xml:space="preserve">Our Assessment: </w:t>
      </w:r>
      <w:r>
        <w:rPr>
          <w:rFonts w:ascii="Arial" w:cs="Arial" w:eastAsia="Arial" w:hAnsi="Arial"/>
          <w:sz w:val="20"/>
          <w:szCs w:val="20"/>
        </w:rPr>
        <w:t xml:space="preserve">The pattern of exceptions — particularly the complete absence of any authorization for a change to a financially relevant system — indicates that the change management control is not consistently applied across all in-scope systems and system owners. We are unable to obtain sufficient assurance that all production changes to in-scope systems during FY2024 were properly authorized, tested, and documented. We rate this deficiency High (Significant Deficiency) under PCAOB AS 2201.</w:t>
      </w:r>
    </w:p>
    <w:p>
      <w:pPr>
        <w:spacing w:before="60" w:after="0"/>
      </w:pPr>
    </w:p>
    <w:p>
      <w:pPr>
        <w:spacing w:before="80" w:after="80"/>
      </w:pPr>
      <w:r>
        <w:rPr>
          <w:rFonts w:ascii="Arial" w:cs="Arial" w:eastAsia="Arial" w:hAnsi="Arial"/>
          <w:b/>
          <w:bCs/>
          <w:sz w:val="20"/>
          <w:szCs w:val="20"/>
        </w:rPr>
        <w:t xml:space="preserve">Forensic Review Performed: </w:t>
      </w:r>
      <w:r>
        <w:rPr>
          <w:rFonts w:ascii="Arial" w:cs="Arial" w:eastAsia="Arial" w:hAnsi="Arial"/>
          <w:sz w:val="20"/>
          <w:szCs w:val="20"/>
        </w:rPr>
        <w:t xml:space="preserve">To assess the potential financial statement impact, we performed a targeted review of InvManager transaction data for the period surrounding the August 29, 2024 change implementation. We did not identify evidence of data calculation errors or anomalous inventory adjustment activity attributable to the schema change. Management has indicated that a formal forensic review is in progress. We recommend that the results of management's review be provided to us and to the external audit team prior to the completion of the FY2024 financial statement audit.</w:t>
      </w:r>
    </w:p>
    <w:p>
      <w:pPr>
        <w:spacing w:before="120" w:after="0"/>
      </w:pPr>
    </w:p>
    <w:p>
      <w:pPr>
        <w:pStyle w:val="Heading2"/>
        <w:spacing w:before="180" w:after="60"/>
      </w:pPr>
      <w:r>
        <w:rPr>
          <w:rFonts w:ascii="Arial" w:cs="Arial" w:eastAsia="Arial" w:hAnsi="Arial"/>
          <w:b/>
          <w:bCs/>
          <w:color w:val="7F6000"/>
          <w:sz w:val="22"/>
          <w:szCs w:val="22"/>
        </w:rPr>
        <w:t xml:space="preserve">Finding 2 — Periodic Access Recertification (AM-03) [MEDIUM]</w:t>
      </w:r>
    </w:p>
    <w:p>
      <w:pPr>
        <w:spacing w:before="80" w:after="80"/>
      </w:pPr>
      <w:r>
        <w:rPr>
          <w:rFonts w:ascii="Arial" w:cs="Arial" w:eastAsia="Arial" w:hAnsi="Arial"/>
          <w:sz w:val="20"/>
          <w:szCs w:val="20"/>
        </w:rPr>
        <w:t xml:space="preserve">The quarterly access recertification control (AM-03) did not operate as designed for the Q3 2024 review cycle. The InvManager access certification, which was required to be completed and documented by October 15, 2024, was not completed until October 27, 2024 — 12 days past the required deadline. The complete Q3 certification package was not uploaded to SharePoint until October 28, 2024, representing a 13-day delay.</w:t>
      </w:r>
    </w:p>
    <w:p>
      <w:pPr>
        <w:spacing w:before="60" w:after="0"/>
      </w:pPr>
    </w:p>
    <w:p>
      <w:pPr>
        <w:spacing w:before="80" w:after="80"/>
      </w:pPr>
      <w:r>
        <w:rPr>
          <w:rFonts w:ascii="Arial" w:cs="Arial" w:eastAsia="Arial" w:hAnsi="Arial"/>
          <w:sz w:val="20"/>
          <w:szCs w:val="20"/>
        </w:rPr>
        <w:t xml:space="preserve">The delay was attributable to the InvManager system owner being on extended travel during the certification window, without arranging coverage or completing the review in advance of departure. No escalation was triggered by the IT Security team when the deadline elapsed. The remaining two system owners (SAP ECC and Active Directory) completed their certifications on time.</w:t>
      </w:r>
    </w:p>
    <w:p>
      <w:pPr>
        <w:spacing w:before="60" w:after="0"/>
      </w:pPr>
    </w:p>
    <w:p>
      <w:pPr>
        <w:spacing w:before="80" w:after="80"/>
      </w:pPr>
      <w:r>
        <w:rPr>
          <w:rFonts w:ascii="Arial" w:cs="Arial" w:eastAsia="Arial" w:hAnsi="Arial"/>
          <w:b/>
          <w:bCs/>
          <w:sz w:val="20"/>
          <w:szCs w:val="20"/>
        </w:rPr>
        <w:t xml:space="preserve">Financial Reporting Impact: </w:t>
      </w:r>
      <w:r>
        <w:rPr>
          <w:rFonts w:ascii="Arial" w:cs="Arial" w:eastAsia="Arial" w:hAnsi="Arial"/>
          <w:sz w:val="20"/>
          <w:szCs w:val="20"/>
        </w:rPr>
        <w:t xml:space="preserve">During the 13-day delay, the InvManager access roster was not subject to the quarterly detective review control. A user with inappropriate access during this period could have made unauthorized inventory adjustments affecting reported inventory balances and COGS. While we reviewed InvManager transaction logs for the October 15–28, 2024 period and did not identify unauthorized activity, the control did not provide the timely oversight it was designed to deliver for one of four quarters (25% failure rate).</w:t>
      </w:r>
    </w:p>
    <w:p>
      <w:pPr>
        <w:spacing w:before="60" w:after="0"/>
      </w:pPr>
    </w:p>
    <w:p>
      <w:pPr>
        <w:spacing w:before="80" w:after="80"/>
      </w:pPr>
      <w:r>
        <w:rPr>
          <w:rFonts w:ascii="Arial" w:cs="Arial" w:eastAsia="Arial" w:hAnsi="Arial"/>
          <w:b/>
          <w:bCs/>
          <w:sz w:val="20"/>
          <w:szCs w:val="20"/>
        </w:rPr>
        <w:t xml:space="preserve">Our Assessment: </w:t>
      </w:r>
      <w:r>
        <w:rPr>
          <w:rFonts w:ascii="Arial" w:cs="Arial" w:eastAsia="Arial" w:hAnsi="Arial"/>
          <w:sz w:val="20"/>
          <w:szCs w:val="20"/>
        </w:rPr>
        <w:t xml:space="preserve">The Q1, Q2, and Q4 2024 access recertifications were completed on time and with complete documentation across all three systems. The exception is isolated to Q3 2024 and one system owner. However, the 25% quarterly failure rate for this key detective control warrants a Medium rating. The lack of an escalation mechanism or backup reviewer designation represents a process gap that requires systemic remediation to ensure the control operates reliably in future periods.</w:t>
      </w:r>
    </w:p>
    <w:p>
      <w:pPr>
        <w:spacing w:before="120" w:after="0"/>
      </w:pPr>
    </w:p>
    <w:p>
      <w:pPr>
        <w:pStyle w:val="Heading2"/>
        <w:spacing w:before="180" w:after="60"/>
      </w:pPr>
      <w:r>
        <w:rPr>
          <w:rFonts w:ascii="Arial" w:cs="Arial" w:eastAsia="Arial" w:hAnsi="Arial"/>
          <w:b/>
          <w:bCs/>
          <w:color w:val="595959"/>
          <w:sz w:val="22"/>
          <w:szCs w:val="22"/>
        </w:rPr>
        <w:t xml:space="preserve">Finding 3 — User Access Termination (AM-02) [LOW]</w:t>
      </w:r>
    </w:p>
    <w:p>
      <w:pPr>
        <w:spacing w:before="80" w:after="80"/>
      </w:pPr>
      <w:r>
        <w:rPr>
          <w:rFonts w:ascii="Arial" w:cs="Arial" w:eastAsia="Arial" w:hAnsi="Arial"/>
          <w:sz w:val="20"/>
          <w:szCs w:val="20"/>
        </w:rPr>
        <w:t xml:space="preserve">Testing of the user access termination control (AM-02) identified one exception among 25 sampled terminations (4%). For the termination of employee K. Oduya on July 19, 2024, the SAP ECC authorization roles were revoked on July 23, 2024 — approximately two business days after HR notification, exceeding the one-business-day SLA by one business day. The employee's Active Directory account was disabled timely on the morning of July 22, 2024 (the first business day following the Friday evening termination).</w:t>
      </w:r>
    </w:p>
    <w:p>
      <w:pPr>
        <w:spacing w:before="60" w:after="0"/>
      </w:pPr>
    </w:p>
    <w:p>
      <w:pPr>
        <w:spacing w:before="80" w:after="80"/>
      </w:pPr>
      <w:r>
        <w:rPr>
          <w:rFonts w:ascii="Arial" w:cs="Arial" w:eastAsia="Arial" w:hAnsi="Arial"/>
          <w:b/>
          <w:bCs/>
          <w:sz w:val="20"/>
          <w:szCs w:val="20"/>
        </w:rPr>
        <w:t xml:space="preserve">Mitigating Factors: </w:t>
      </w:r>
      <w:r>
        <w:rPr>
          <w:rFonts w:ascii="Arial" w:cs="Arial" w:eastAsia="Arial" w:hAnsi="Arial"/>
          <w:sz w:val="20"/>
          <w:szCs w:val="20"/>
        </w:rPr>
        <w:t xml:space="preserve">A review of the SAP SM20 Security Audit Log confirmed no successful logon attempts by K. Oduya's SAP user ID during the gap period between termination and SAP access revocation. The timely AD account disablement would have prevented SSO-based access to most connected systems. The exception appears to be an isolated workload sequencing issue rather than a systemic process breakdown.</w:t>
      </w:r>
    </w:p>
    <w:p>
      <w:pPr>
        <w:spacing w:before="60" w:after="0"/>
      </w:pPr>
    </w:p>
    <w:p>
      <w:pPr>
        <w:spacing w:before="80" w:after="80"/>
      </w:pPr>
      <w:r>
        <w:rPr>
          <w:rFonts w:ascii="Arial" w:cs="Arial" w:eastAsia="Arial" w:hAnsi="Arial"/>
          <w:b/>
          <w:bCs/>
          <w:sz w:val="20"/>
          <w:szCs w:val="20"/>
        </w:rPr>
        <w:t xml:space="preserve">Our Assessment: </w:t>
      </w:r>
      <w:r>
        <w:rPr>
          <w:rFonts w:ascii="Arial" w:cs="Arial" w:eastAsia="Arial" w:hAnsi="Arial"/>
          <w:sz w:val="20"/>
          <w:szCs w:val="20"/>
        </w:rPr>
        <w:t xml:space="preserve">The 4% exception rate and the absence of evidence of misuse support a Low deficiency rating. This finding warrants management attention and process improvement but does not represent a significant risk to financial reporting in isolation.</w:t>
      </w:r>
    </w:p>
    <w:p>
      <w:pPr>
        <w:spacing w:before="120" w:after="0"/>
      </w:pPr>
    </w:p>
    <w:p>
      <w:pPr>
        <w:pStyle w:val="Heading2"/>
        <w:spacing w:before="180" w:after="60"/>
      </w:pPr>
      <w:r>
        <w:rPr>
          <w:rFonts w:ascii="Arial" w:cs="Arial" w:eastAsia="Arial" w:hAnsi="Arial"/>
          <w:b/>
          <w:bCs/>
          <w:color w:val="375623"/>
          <w:sz w:val="22"/>
          <w:szCs w:val="22"/>
        </w:rPr>
        <w:t xml:space="preserve">Controls Operating Effectively</w:t>
      </w:r>
    </w:p>
    <w:p>
      <w:pPr>
        <w:spacing w:before="80" w:after="80"/>
      </w:pPr>
      <w:r>
        <w:rPr>
          <w:rFonts w:ascii="Arial" w:cs="Arial" w:eastAsia="Arial" w:hAnsi="Arial"/>
          <w:sz w:val="20"/>
          <w:szCs w:val="20"/>
        </w:rPr>
        <w:t xml:space="preserve">The following nine controls were tested and found to be operating effectively with no exceptions noted throughout the FY2024 audit period. Management should be recognized for the consistent operation of these controls: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60"/>
        <w:gridCol w:w="1500"/>
        <w:gridCol w:w="1700"/>
      </w:tblGrid>
      <w:tr>
        <w:trPr>
          <w:tblHeader/>
        </w:trPr>
        <w:tc>
          <w:tcPr>
            <w:tcW w:type="dxa" w:w="900"/>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Control ID</w:t>
            </w:r>
          </w:p>
        </w:tc>
        <w:tc>
          <w:tcPr>
            <w:tcW w:type="dxa" w:w="2200"/>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Control Name</w:t>
            </w:r>
          </w:p>
        </w:tc>
        <w:tc>
          <w:tcPr>
            <w:tcW w:type="dxa" w:w="3060"/>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Key Evidence</w:t>
            </w:r>
          </w:p>
        </w:tc>
        <w:tc>
          <w:tcPr>
            <w:tcW w:type="dxa" w:w="1500"/>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System</w:t>
            </w:r>
          </w:p>
        </w:tc>
        <w:tc>
          <w:tcPr>
            <w:tcW w:type="dxa" w:w="1700"/>
            <w:tcBorders>
              <w:top w:val="single" w:color="FFFFFF" w:sz="1"/>
              <w:left w:val="single" w:color="FFFFFF" w:sz="1"/>
              <w:bottom w:val="single" w:color="FFFFFF" w:sz="1"/>
              <w:right w:val="single" w:color="FFFFFF" w:sz="1"/>
            </w:tcBorders>
            <w:shd w:fill="375623"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Result</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AM-01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User Access Provisioning</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25/25 provisioning requests had manager + system owner approval prior to access being granted. SAP SU01 roles confirmed to match approvals.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All Systems</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AM-04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SoD Review (Monthly)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3 sampled monthly SoD conflict reports reviewed. All conflicts resolved or risk-accepted within 30-day SLA. SAP SU01 change logs confirmed.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SAP ECC</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AM-05</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Password Policy Enforcement</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AD GPO confirmed compliant at 3 points in FY2024. No unauthorized GPO changes identified in FY2024. All settings meet policy minimums.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Active Directory</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CM-02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Testing Prior to Production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25/25 sampled change records had QA test plan, IT developer sign-off, and business owner sign-off prior to deployment.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SAP / InvManager</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CM-03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Emergency Change Mgmt.</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22 of 23 emergency changes tested independently — all had pre-implementation approval and timely post-reviews with RCAs.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All Systems</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CM-04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SoD in Change Migration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Zero developers hold S_TRANSPRT activity 0200 in SAP ECC Production. Basis team exclusively controls transport releases.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SAP ECC</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OPS-01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Backup Monitoring &amp; Review</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40/40 sampled days — backup failures investigated within 4-hour SLA. All 12 monthly restore tests completed and documented.</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All Systems</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OPS-02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Batch Job Monitoring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40/40 sampled days — critical SAP batch job failures investigated within 2-hour SLA. No financial data integrity issues identified.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SAP ECC</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375623"/>
                <w:sz w:val="18"/>
                <w:szCs w:val="18"/>
              </w:rPr>
              <w:t xml:space="preserve">OPS-03</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Incident Management</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25/25 P1/P2 incidents classified, escalated, and resolved per policy. All P1 RCAs completed within 5-business-day SLA.</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All Systems</w:t>
            </w:r>
          </w:p>
        </w:tc>
        <w:tc>
          <w:tcPr>
            <w:tcW w:type="dxa" w:w="17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FFFFFF"/>
                <w:sz w:val="18"/>
                <w:szCs w:val="18"/>
              </w:rPr>
              <w:t xml:space="preserve">PASS</w:t>
            </w:r>
          </w:p>
        </w:tc>
      </w:tr>
    </w:tbl>
    <w:p>
      <w:pPr>
        <w:spacing w:before="120" w:after="0"/>
      </w:pPr>
    </w:p>
    <w:p>
      <w:pPr>
        <w:pStyle w:val="Heading1"/>
        <w:spacing w:before="280" w:after="100"/>
      </w:pPr>
      <w:r>
        <w:rPr>
          <w:rFonts w:ascii="Arial" w:cs="Arial" w:eastAsia="Arial" w:hAnsi="Arial"/>
          <w:b/>
          <w:bCs/>
          <w:color w:val="1F3864"/>
          <w:sz w:val="26"/>
          <w:szCs w:val="26"/>
        </w:rPr>
        <w:t xml:space="preserve">V.  Required Actions and Remediation Roadmap</w:t>
      </w:r>
    </w:p>
    <w:p>
      <w:pPr>
        <w:pBdr>
          <w:bottom w:val="single" w:color="2E5FA3" w:sz="12"/>
        </w:pBdr>
        <w:spacing w:before="100" w:after="100"/>
      </w:pPr>
    </w:p>
    <w:p>
      <w:pPr>
        <w:spacing w:before="80" w:after="80"/>
      </w:pPr>
      <w:r>
        <w:rPr>
          <w:rFonts w:ascii="Arial" w:cs="Arial" w:eastAsia="Arial" w:hAnsi="Arial"/>
          <w:sz w:val="20"/>
          <w:szCs w:val="20"/>
        </w:rPr>
        <w:t xml:space="preserve">Management is required to address the identified deficiencies in accordance with the target remediation dates set forth in the Control Deficiency Memorandum. The following summarizes the priority actions required: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040"/>
        <w:gridCol w:w="2240"/>
        <w:gridCol w:w="2000"/>
      </w:tblGrid>
      <w:tr>
        <w:trPr>
          <w:tblHeader/>
        </w:trPr>
        <w:tc>
          <w:tcPr>
            <w:tcW w:type="dxa" w:w="108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Priority</w:t>
            </w:r>
          </w:p>
        </w:tc>
        <w:tc>
          <w:tcPr>
            <w:tcW w:type="dxa" w:w="404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Required Action</w:t>
            </w:r>
          </w:p>
        </w:tc>
        <w:tc>
          <w:tcPr>
            <w:tcW w:type="dxa" w:w="224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Responsible Party</w:t>
            </w:r>
          </w:p>
        </w:tc>
        <w:tc>
          <w:tcPr>
            <w:tcW w:type="dxa" w:w="2000"/>
            <w:tcBorders>
              <w:top w:val="single" w:color="FFFFFF" w:sz="1"/>
              <w:left w:val="single" w:color="FFFFFF" w:sz="1"/>
              <w:bottom w:val="single" w:color="FFFFFF" w:sz="1"/>
              <w:right w:val="single" w:color="FFFFFF" w:sz="1"/>
            </w:tcBorders>
            <w:shd w:fill="1F3864"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Target Date</w:t>
            </w:r>
          </w:p>
        </w:tc>
      </w:tr>
      <w:tr>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833C00"/>
                <w:sz w:val="18"/>
                <w:szCs w:val="18"/>
              </w:rPr>
              <w:t xml:space="preserve">HIGH-1</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Complete formal forensic review of InvManager DB changes (CHG0038291) and provide results to audit team and external auditors.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Raj Nair / Sarah Okonkwo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C00000"/>
                <w:sz w:val="18"/>
                <w:szCs w:val="18"/>
              </w:rPr>
              <w:t xml:space="preserve">Feb 28, 2025</w:t>
            </w:r>
          </w:p>
        </w:tc>
      </w:tr>
      <w:tr>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833C00"/>
                <w:sz w:val="18"/>
                <w:szCs w:val="18"/>
              </w:rPr>
              <w:t xml:space="preserve">HIGH-2</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Implement mandatory change management training for all IT system owners and developers covering policy requirements for CAB submission.</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Sarah Okonkwo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833C00"/>
                <w:sz w:val="18"/>
                <w:szCs w:val="18"/>
              </w:rPr>
              <w:t xml:space="preserve">Mar 15, 2025</w:t>
            </w:r>
          </w:p>
        </w:tc>
      </w:tr>
      <w:tr>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833C00"/>
                <w:sz w:val="18"/>
                <w:szCs w:val="18"/>
              </w:rPr>
              <w:t xml:space="preserve">HIGH-3</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Implement ServiceNow workflow automation to prevent change records from moving to 'Implemented' status without a CAB approval timestamp.</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Sarah Okonkwo / IT Dev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833C00"/>
                <w:sz w:val="18"/>
                <w:szCs w:val="18"/>
              </w:rPr>
              <w:t xml:space="preserve">Mar 31, 2025</w:t>
            </w:r>
          </w:p>
        </w:tc>
      </w:tr>
      <w:tr>
        <w:tc>
          <w:tcPr>
            <w:tcW w:type="dxa" w:w="10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833C00"/>
                <w:sz w:val="18"/>
                <w:szCs w:val="18"/>
              </w:rPr>
              <w:t xml:space="preserve">HIGH-4</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Implement monthly automated reconciliation report: production changes vs. approved CHG records across SAP STMS, AD change logs, and InvManager deployment logs.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IT Operations / IT Security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833C00"/>
                <w:sz w:val="18"/>
                <w:szCs w:val="18"/>
              </w:rPr>
              <w:t xml:space="preserve">Apr 30, 2025</w:t>
            </w:r>
          </w:p>
        </w:tc>
      </w:tr>
      <w:tr>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7F6000"/>
                <w:sz w:val="18"/>
                <w:szCs w:val="18"/>
              </w:rPr>
              <w:t xml:space="preserve">MED-1</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Implement automated deadline reminder and escalation workflow for quarterly access recertifications (ServiceNow or SharePoint).</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Linda Pham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7F6000"/>
                <w:sz w:val="18"/>
                <w:szCs w:val="18"/>
              </w:rPr>
              <w:t xml:space="preserve">Mar 15, 2025</w:t>
            </w:r>
          </w:p>
        </w:tc>
      </w:tr>
      <w:tr>
        <w:tc>
          <w:tcPr>
            <w:tcW w:type="dxa" w:w="10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7F6000"/>
                <w:sz w:val="18"/>
                <w:szCs w:val="18"/>
              </w:rPr>
              <w:t xml:space="preserve">MED-2</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Update IT-POL-AM-002 to require backup reviewer designations for recertification coverage and out-of-office delegation protocols.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Linda Pham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7F6000"/>
                <w:sz w:val="18"/>
                <w:szCs w:val="18"/>
              </w:rPr>
              <w:t xml:space="preserve">Mar 31, 2025</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595959"/>
                <w:sz w:val="18"/>
                <w:szCs w:val="18"/>
              </w:rPr>
              <w:t xml:space="preserve">LOW-1</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Implement ServiceNow 4-hour escalation alert for open offboarding tickets where SAP ECC or InvManager revocation steps are incomplete.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Linda Pham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595959"/>
                <w:sz w:val="18"/>
                <w:szCs w:val="18"/>
              </w:rPr>
              <w:t xml:space="preserve">Feb 28, 2025</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center"/>
            </w:pPr>
            <w:r>
              <w:rPr>
                <w:rFonts w:ascii="Arial" w:cs="Arial" w:eastAsia="Arial" w:hAnsi="Arial"/>
                <w:b/>
                <w:bCs/>
                <w:i w:val="false"/>
                <w:iCs w:val="false"/>
                <w:color w:val="595959"/>
                <w:sz w:val="18"/>
                <w:szCs w:val="18"/>
              </w:rPr>
              <w:t xml:space="preserve">LOW-2</w:t>
            </w:r>
          </w:p>
        </w:tc>
        <w:tc>
          <w:tcPr>
            <w:tcW w:type="dxa" w:w="40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Implement daily IT Security exception report for open offboarding tickets with access not fully revoked within 1 business day.</w:t>
            </w:r>
          </w:p>
        </w:tc>
        <w:tc>
          <w:tcPr>
            <w:tcW w:type="dxa" w:w="22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18"/>
                <w:szCs w:val="18"/>
              </w:rPr>
              <w:t xml:space="preserve">Linda Pham</w:t>
            </w:r>
          </w:p>
        </w:tc>
        <w:tc>
          <w:tcPr>
            <w:tcW w:type="dxa" w:w="2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pPr>
              <w:spacing w:before="0" w:after="0"/>
              <w:jc w:val="left"/>
            </w:pPr>
            <w:r>
              <w:rPr>
                <w:rFonts w:ascii="Arial" w:cs="Arial" w:eastAsia="Arial" w:hAnsi="Arial"/>
                <w:b/>
                <w:bCs/>
                <w:i w:val="false"/>
                <w:iCs w:val="false"/>
                <w:color w:val="595959"/>
                <w:sz w:val="18"/>
                <w:szCs w:val="18"/>
              </w:rPr>
              <w:t xml:space="preserve">Feb 15, 2025</w:t>
            </w:r>
          </w:p>
        </w:tc>
      </w:tr>
    </w:tbl>
    <w:p>
      <w:pPr>
        <w:spacing w:before="120" w:after="0"/>
      </w:pPr>
    </w:p>
    <w:p>
      <w:pPr>
        <w:spacing w:before="80" w:after="80"/>
      </w:pPr>
      <w:r>
        <w:rPr>
          <w:rFonts w:ascii="Arial" w:cs="Arial" w:eastAsia="Arial" w:hAnsi="Arial"/>
          <w:sz w:val="20"/>
          <w:szCs w:val="20"/>
        </w:rPr>
        <w:t xml:space="preserve">We will perform follow-up procedures during FY2025 interim ITGC testing to confirm that each of the above actions has been completed and is operating effectively. Any deficiencies that remain open or unaddressed at the time of FY2025 testing will be evaluated for potential elevation in their severity classification.</w:t>
      </w:r>
    </w:p>
    <w:p>
      <w:pPr>
        <w:spacing w:before="120" w:after="0"/>
      </w:pPr>
    </w:p>
    <w:p>
      <w:pPr>
        <w:pStyle w:val="Heading1"/>
        <w:spacing w:before="280" w:after="100"/>
      </w:pPr>
      <w:r>
        <w:rPr>
          <w:rFonts w:ascii="Arial" w:cs="Arial" w:eastAsia="Arial" w:hAnsi="Arial"/>
          <w:b/>
          <w:bCs/>
          <w:color w:val="1F3864"/>
          <w:sz w:val="26"/>
          <w:szCs w:val="26"/>
        </w:rPr>
        <w:t xml:space="preserve">VI.  Observations and Commendations</w:t>
      </w:r>
    </w:p>
    <w:p>
      <w:pPr>
        <w:pBdr>
          <w:bottom w:val="single" w:color="2E5FA3" w:sz="12"/>
        </w:pBdr>
        <w:spacing w:before="100" w:after="100"/>
      </w:pPr>
    </w:p>
    <w:p>
      <w:pPr>
        <w:spacing w:before="80" w:after="80"/>
      </w:pPr>
      <w:r>
        <w:rPr>
          <w:rFonts w:ascii="Arial" w:cs="Arial" w:eastAsia="Arial" w:hAnsi="Arial"/>
          <w:sz w:val="20"/>
          <w:szCs w:val="20"/>
        </w:rPr>
        <w:t xml:space="preserve">In addition to the deficiencies noted above, we wish to highlight several areas where MT Corporation's IT control environment demonstrated notable strength during FY2024:</w:t>
      </w:r>
    </w:p>
    <w:p>
      <w:pPr>
        <w:spacing w:before="60" w:after="0"/>
      </w:pPr>
    </w:p>
    <w:p>
      <w:pPr>
        <w:pStyle w:val="ListParagraph"/>
        <w:numPr>
          <w:ilvl w:val="0"/>
          <w:numId w:val="2"/>
        </w:numPr>
        <w:spacing w:before="40" w:after="40"/>
      </w:pPr>
      <w:r>
        <w:rPr>
          <w:rFonts w:ascii="Arial" w:cs="Arial" w:eastAsia="Arial" w:hAnsi="Arial"/>
          <w:sz w:val="20"/>
          <w:szCs w:val="20"/>
        </w:rPr>
        <w:t xml:space="preserve">The SAP Basis team's enforcement of developer/production migration segregation of duties (CM-04) was found to be rigorous and consistently applied throughout the audit period. No exceptions were identified across the full population assessment, and the S_TRANSPRT authorization restriction has been properly maintained in the SAP ECC production system.</w:t>
      </w:r>
    </w:p>
    <w:p>
      <w:pPr>
        <w:pStyle w:val="ListParagraph"/>
        <w:numPr>
          <w:ilvl w:val="0"/>
          <w:numId w:val="2"/>
        </w:numPr>
        <w:spacing w:before="40" w:after="40"/>
      </w:pPr>
      <w:r>
        <w:rPr>
          <w:rFonts w:ascii="Arial" w:cs="Arial" w:eastAsia="Arial" w:hAnsi="Arial"/>
          <w:sz w:val="20"/>
          <w:szCs w:val="20"/>
        </w:rPr>
        <w:t xml:space="preserve">The IT Operations team demonstrated strong discipline in batch job monitoring and incident management. All critical batch job failures identified in our sample were investigated within the two-hour SLA, and all P1 incident root cause analyses were completed within the required five-business-day window. The average RCA completion time of 3.1 business days reflects a mature and responsive operations culture.</w:t>
      </w:r>
    </w:p>
    <w:p>
      <w:pPr>
        <w:pStyle w:val="ListParagraph"/>
        <w:numPr>
          <w:ilvl w:val="0"/>
          <w:numId w:val="2"/>
        </w:numPr>
        <w:spacing w:before="40" w:after="40"/>
      </w:pPr>
      <w:r>
        <w:rPr>
          <w:rFonts w:ascii="Arial" w:cs="Arial" w:eastAsia="Arial" w:hAnsi="Arial"/>
          <w:sz w:val="20"/>
          <w:szCs w:val="20"/>
        </w:rPr>
        <w:t xml:space="preserve">The monthly Segregation of Duties monitoring process (AM-04) was found to be operating effectively across all sampled months. All identified SoD conflicts were promptly remediated or formally risk-accepted with appropriate VP Finance sign-off — reflecting a mature access governance approach.</w:t>
      </w:r>
    </w:p>
    <w:p>
      <w:pPr>
        <w:pStyle w:val="ListParagraph"/>
        <w:numPr>
          <w:ilvl w:val="0"/>
          <w:numId w:val="2"/>
        </w:numPr>
        <w:spacing w:before="40" w:after="40"/>
      </w:pPr>
      <w:r>
        <w:rPr>
          <w:rFonts w:ascii="Arial" w:cs="Arial" w:eastAsia="Arial" w:hAnsi="Arial"/>
          <w:sz w:val="20"/>
          <w:szCs w:val="20"/>
        </w:rPr>
        <w:t xml:space="preserve">The Active Directory password policy (AM-05) was confirmed to be consistently configured and enforced throughout FY2024. The two authorized GPO modifications made during the year were properly documented in ServiceNow and followed the standard change management process, demonstrating good change discipline in this area.</w:t>
      </w:r>
    </w:p>
    <w:p>
      <w:pPr>
        <w:pStyle w:val="ListParagraph"/>
        <w:numPr>
          <w:ilvl w:val="0"/>
          <w:numId w:val="2"/>
        </w:numPr>
        <w:spacing w:before="40" w:after="40"/>
      </w:pPr>
      <w:r>
        <w:rPr>
          <w:rFonts w:ascii="Arial" w:cs="Arial" w:eastAsia="Arial" w:hAnsi="Arial"/>
          <w:sz w:val="20"/>
          <w:szCs w:val="20"/>
        </w:rPr>
        <w:t xml:space="preserve">Management's responsiveness to audit inquiries and the quality of evidence provided during fieldwork were commendable. Evidence was generally well-organized, stored in a consistent SharePoint structure, and provided on a timely basis throughout the engagement.</w:t>
      </w:r>
    </w:p>
    <w:p>
      <w:pPr>
        <w:spacing w:before="120" w:after="0"/>
      </w:pPr>
    </w:p>
    <w:p>
      <w:pPr>
        <w:pStyle w:val="Heading1"/>
        <w:spacing w:before="280" w:after="100"/>
      </w:pPr>
      <w:r>
        <w:rPr>
          <w:rFonts w:ascii="Arial" w:cs="Arial" w:eastAsia="Arial" w:hAnsi="Arial"/>
          <w:b/>
          <w:bCs/>
          <w:color w:val="1F3864"/>
          <w:sz w:val="26"/>
          <w:szCs w:val="26"/>
        </w:rPr>
        <w:t xml:space="preserve">VII.  Management's Responsibilities</w:t>
      </w:r>
    </w:p>
    <w:p>
      <w:pPr>
        <w:pBdr>
          <w:bottom w:val="single" w:color="2E5FA3" w:sz="12"/>
        </w:pBdr>
        <w:spacing w:before="100" w:after="100"/>
      </w:pPr>
    </w:p>
    <w:p>
      <w:pPr>
        <w:spacing w:before="80" w:after="80"/>
      </w:pPr>
      <w:r>
        <w:rPr>
          <w:rFonts w:ascii="Arial" w:cs="Arial" w:eastAsia="Arial" w:hAnsi="Arial"/>
          <w:sz w:val="20"/>
          <w:szCs w:val="20"/>
        </w:rPr>
        <w:t xml:space="preserve">Management of MT Corporation is responsible for:</w:t>
      </w:r>
    </w:p>
    <w:p>
      <w:pPr>
        <w:pStyle w:val="ListParagraph"/>
        <w:numPr>
          <w:ilvl w:val="0"/>
          <w:numId w:val="2"/>
        </w:numPr>
        <w:spacing w:before="40" w:after="40"/>
      </w:pPr>
      <w:r>
        <w:rPr>
          <w:rFonts w:ascii="Arial" w:cs="Arial" w:eastAsia="Arial" w:hAnsi="Arial"/>
          <w:sz w:val="20"/>
          <w:szCs w:val="20"/>
        </w:rPr>
        <w:t xml:space="preserve">Establishing and maintaining effective internal controls over financial reporting, including the IT General Controls that support the systems used in the preparation of the Company's financial statements.</w:t>
      </w:r>
    </w:p>
    <w:p>
      <w:pPr>
        <w:pStyle w:val="ListParagraph"/>
        <w:numPr>
          <w:ilvl w:val="0"/>
          <w:numId w:val="2"/>
        </w:numPr>
        <w:spacing w:before="40" w:after="40"/>
      </w:pPr>
      <w:r>
        <w:rPr>
          <w:rFonts w:ascii="Arial" w:cs="Arial" w:eastAsia="Arial" w:hAnsi="Arial"/>
          <w:sz w:val="20"/>
          <w:szCs w:val="20"/>
        </w:rPr>
        <w:t xml:space="preserve">Evaluating the severity of the deficiencies identified in this letter and in the accompanying Control Deficiency Memorandum, and determining whether, individually or in combination, they rise to the level of a material weakness for purposes of management's SOX Section 404(a) assessment.</w:t>
      </w:r>
    </w:p>
    <w:p>
      <w:pPr>
        <w:pStyle w:val="ListParagraph"/>
        <w:numPr>
          <w:ilvl w:val="0"/>
          <w:numId w:val="2"/>
        </w:numPr>
        <w:spacing w:before="40" w:after="40"/>
      </w:pPr>
      <w:r>
        <w:rPr>
          <w:rFonts w:ascii="Arial" w:cs="Arial" w:eastAsia="Arial" w:hAnsi="Arial"/>
          <w:sz w:val="20"/>
          <w:szCs w:val="20"/>
        </w:rPr>
        <w:t xml:space="preserve">Implementing timely and effective remediation of all deficiencies identified, in accordance with the target dates set forth above, and providing the audit team with evidence of such remediation upon completion.</w:t>
      </w:r>
    </w:p>
    <w:p>
      <w:pPr>
        <w:pStyle w:val="ListParagraph"/>
        <w:numPr>
          <w:ilvl w:val="0"/>
          <w:numId w:val="2"/>
        </w:numPr>
        <w:spacing w:before="40" w:after="40"/>
      </w:pPr>
      <w:r>
        <w:rPr>
          <w:rFonts w:ascii="Arial" w:cs="Arial" w:eastAsia="Arial" w:hAnsi="Arial"/>
          <w:sz w:val="20"/>
          <w:szCs w:val="20"/>
        </w:rPr>
        <w:t xml:space="preserve">Communicating the findings contained in this letter to the Audit Committee of the Board of Directors in accordance with the Company's governance requirements and applicable PCAOB standards.</w:t>
      </w:r>
    </w:p>
    <w:p>
      <w:pPr>
        <w:pStyle w:val="ListParagraph"/>
        <w:numPr>
          <w:ilvl w:val="0"/>
          <w:numId w:val="2"/>
        </w:numPr>
        <w:spacing w:before="40" w:after="40"/>
      </w:pPr>
      <w:r>
        <w:rPr>
          <w:rFonts w:ascii="Arial" w:cs="Arial" w:eastAsia="Arial" w:hAnsi="Arial"/>
          <w:sz w:val="20"/>
          <w:szCs w:val="20"/>
        </w:rPr>
        <w:t xml:space="preserve">Disclosing to the Company's external auditors all deficiencies identified in this management letter, together with the results of management's own assessment of the severity of such deficiencies.</w:t>
      </w:r>
    </w:p>
    <w:p>
      <w:pPr>
        <w:spacing w:before="120" w:after="0"/>
      </w:pPr>
    </w:p>
    <w:p>
      <w:pPr>
        <w:pStyle w:val="Heading1"/>
        <w:spacing w:before="280" w:after="100"/>
      </w:pPr>
      <w:r>
        <w:rPr>
          <w:rFonts w:ascii="Arial" w:cs="Arial" w:eastAsia="Arial" w:hAnsi="Arial"/>
          <w:b/>
          <w:bCs/>
          <w:color w:val="1F3864"/>
          <w:sz w:val="26"/>
          <w:szCs w:val="26"/>
        </w:rPr>
        <w:t xml:space="preserve">VIII.  Closing</w:t>
      </w:r>
    </w:p>
    <w:p>
      <w:pPr>
        <w:pBdr>
          <w:bottom w:val="single" w:color="2E5FA3" w:sz="12"/>
        </w:pBdr>
        <w:spacing w:before="100" w:after="100"/>
      </w:pPr>
    </w:p>
    <w:p>
      <w:pPr>
        <w:spacing w:before="80" w:after="80"/>
      </w:pPr>
      <w:r>
        <w:rPr>
          <w:rFonts w:ascii="Arial" w:cs="Arial" w:eastAsia="Arial" w:hAnsi="Arial"/>
          <w:sz w:val="20"/>
          <w:szCs w:val="20"/>
        </w:rPr>
        <w:t xml:space="preserve">We appreciate the cooperation and assistance extended by MT Corporation management and IT staff throughout the course of this engagement. The quality of management's engagement and the responsiveness of the IT team facilitated an efficient and thorough audit process.</w:t>
      </w:r>
    </w:p>
    <w:p>
      <w:pPr>
        <w:spacing w:before="60" w:after="0"/>
      </w:pPr>
    </w:p>
    <w:p>
      <w:pPr>
        <w:spacing w:before="80" w:after="80"/>
      </w:pPr>
      <w:r>
        <w:rPr>
          <w:rFonts w:ascii="Arial" w:cs="Arial" w:eastAsia="Arial" w:hAnsi="Arial"/>
          <w:sz w:val="20"/>
          <w:szCs w:val="20"/>
        </w:rPr>
        <w:t xml:space="preserve">We draw management's attention in particular to the High-rated deficiency (DEF-2024-01) involving the absence of documented change authorization for a modification to the InvManager database. Given that InvManager data flows directly into the Company's inventory and COGS balances — which are among the most material line items on the financial statements — we strongly encourage management to prioritize the forensic review and the ServiceNow workflow remediation as a matter of urgency, ahead of the completion of the FY2024 financial statement audit.</w:t>
      </w:r>
    </w:p>
    <w:p>
      <w:pPr>
        <w:spacing w:before="60" w:after="0"/>
      </w:pPr>
    </w:p>
    <w:p>
      <w:pPr>
        <w:spacing w:before="80" w:after="80"/>
      </w:pPr>
      <w:r>
        <w:rPr>
          <w:rFonts w:ascii="Arial" w:cs="Arial" w:eastAsia="Arial" w:hAnsi="Arial"/>
          <w:sz w:val="20"/>
          <w:szCs w:val="20"/>
        </w:rPr>
        <w:t xml:space="preserve">We will be available to discuss the contents of this letter and the related workpapers with management and the Audit Committee at your convenience. Please do not hesitate to contact the undersigned with any questions.</w:t>
      </w:r>
    </w:p>
    <w:p>
      <w:pPr>
        <w:spacing w:before="180" w:after="0"/>
      </w:pPr>
    </w:p>
    <w:p>
      <w:pPr>
        <w:spacing w:before="80" w:after="80"/>
      </w:pPr>
      <w:r>
        <w:rPr>
          <w:rFonts w:ascii="Arial" w:cs="Arial" w:eastAsia="Arial" w:hAnsi="Arial"/>
          <w:sz w:val="20"/>
          <w:szCs w:val="20"/>
        </w:rPr>
        <w:t xml:space="preserve">Respectfully submitted,</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80" w:after="80"/>
            </w:pPr>
            <w:r>
              <w:rPr>
                <w:rFonts w:ascii="Arial" w:cs="Arial" w:eastAsia="Arial" w:hAnsi="Arial"/>
                <w:b/>
                <w:bCs/>
                <w:sz w:val="20"/>
                <w:szCs w:val="20"/>
              </w:rPr>
              <w:t xml:space="preserve">TRIVEDI &amp; DOE LLP</w:t>
            </w:r>
          </w:p>
          <w:p>
            <w:pPr>
              <w:spacing w:before="80" w:after="80"/>
            </w:pPr>
            <w:r>
              <w:rPr>
                <w:rFonts w:ascii="Arial" w:cs="Arial" w:eastAsia="Arial" w:hAnsi="Arial"/>
                <w:i/>
                <w:iCs/>
                <w:sz w:val="20"/>
                <w:szCs w:val="20"/>
              </w:rPr>
              <w:t xml:space="preserve">Certified Public Accountants &amp; IT Assurance Advisors</w:t>
            </w:r>
          </w:p>
          <w:p>
            <w:pPr>
              <w:spacing w:before="120" w:after="0"/>
            </w:pPr>
          </w:p>
          <w:p>
            <w:pPr>
              <w:spacing w:before="80" w:after="80"/>
            </w:pPr>
            <w:r>
              <w:rPr>
                <w:rFonts w:ascii="Arial" w:cs="Arial" w:eastAsia="Arial" w:hAnsi="Arial"/>
                <w:sz w:val="20"/>
                <w:szCs w:val="20"/>
              </w:rPr>
              <w:t xml:space="preserve">_______________________________________</w:t>
            </w:r>
          </w:p>
          <w:p>
            <w:pPr>
              <w:spacing w:before="80" w:after="80"/>
            </w:pPr>
            <w:r>
              <w:rPr>
                <w:rFonts w:ascii="Arial" w:cs="Arial" w:eastAsia="Arial" w:hAnsi="Arial"/>
                <w:b/>
                <w:bCs/>
                <w:sz w:val="20"/>
                <w:szCs w:val="20"/>
              </w:rPr>
              <w:t xml:space="preserve">Mihir Trivedi</w:t>
            </w:r>
            <w:r>
              <w:rPr>
                <w:rFonts w:ascii="Arial" w:cs="Arial" w:eastAsia="Arial" w:hAnsi="Arial"/>
                <w:sz w:val="20"/>
                <w:szCs w:val="20"/>
              </w:rPr>
              <w:t xml:space="preserve">, Associate</w:t>
            </w:r>
          </w:p>
          <w:p>
            <w:pPr>
              <w:spacing w:before="80" w:after="80"/>
            </w:pPr>
            <w:r>
              <w:rPr>
                <w:rFonts w:ascii="Arial" w:cs="Arial" w:eastAsia="Arial" w:hAnsi="Arial"/>
                <w:sz w:val="20"/>
                <w:szCs w:val="20"/>
              </w:rPr>
              <w:t xml:space="preserve">Engagement In-Charge</w:t>
            </w:r>
          </w:p>
          <w:p>
            <w:pPr>
              <w:spacing w:before="80" w:after="80"/>
            </w:pPr>
            <w:r>
              <w:rPr>
                <w:rFonts w:ascii="Arial" w:cs="Arial" w:eastAsia="Arial" w:hAnsi="Arial"/>
                <w:sz w:val="20"/>
                <w:szCs w:val="20"/>
              </w:rPr>
              <w:t xml:space="preserve">T: (512) 555-0194   |   E: mtrivedi@trivediandoe.com</w:t>
            </w:r>
          </w:p>
        </w:tc>
        <w:tc>
          <w:tcPr>
            <w:tcW w:type="dxa" w:w="468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80" w:after="80"/>
            </w:pPr>
            <w:r>
              <w:rPr>
                <w:rFonts w:ascii="Arial" w:cs="Arial" w:eastAsia="Arial" w:hAnsi="Arial"/>
                <w:b/>
                <w:bCs/>
                <w:sz w:val="20"/>
                <w:szCs w:val="20"/>
              </w:rPr>
              <w:t xml:space="preserve">TRIVEDI &amp; DOE LLP</w:t>
            </w:r>
          </w:p>
          <w:p>
            <w:pPr>
              <w:spacing w:before="80" w:after="80"/>
            </w:pPr>
            <w:r>
              <w:rPr>
                <w:rFonts w:ascii="Arial" w:cs="Arial" w:eastAsia="Arial" w:hAnsi="Arial"/>
                <w:i/>
                <w:iCs/>
                <w:sz w:val="20"/>
                <w:szCs w:val="20"/>
              </w:rPr>
              <w:t xml:space="preserve">Certified Public Accountants &amp; IT Assurance Advisors</w:t>
            </w:r>
          </w:p>
          <w:p>
            <w:pPr>
              <w:spacing w:before="120" w:after="0"/>
            </w:pPr>
          </w:p>
          <w:p>
            <w:pPr>
              <w:spacing w:before="80" w:after="80"/>
            </w:pPr>
            <w:r>
              <w:rPr>
                <w:rFonts w:ascii="Arial" w:cs="Arial" w:eastAsia="Arial" w:hAnsi="Arial"/>
                <w:sz w:val="20"/>
                <w:szCs w:val="20"/>
              </w:rPr>
              <w:t xml:space="preserve">_______________________________________</w:t>
            </w:r>
          </w:p>
          <w:p>
            <w:pPr>
              <w:spacing w:before="80" w:after="80"/>
            </w:pPr>
            <w:r>
              <w:rPr>
                <w:rFonts w:ascii="Arial" w:cs="Arial" w:eastAsia="Arial" w:hAnsi="Arial"/>
                <w:b/>
                <w:bCs/>
                <w:sz w:val="20"/>
                <w:szCs w:val="20"/>
              </w:rPr>
              <w:t xml:space="preserve">John Doe</w:t>
            </w:r>
            <w:r>
              <w:rPr>
                <w:rFonts w:ascii="Arial" w:cs="Arial" w:eastAsia="Arial" w:hAnsi="Arial"/>
                <w:sz w:val="20"/>
                <w:szCs w:val="20"/>
              </w:rPr>
              <w:t xml:space="preserve">, Senior Associate</w:t>
            </w:r>
          </w:p>
          <w:p>
            <w:pPr>
              <w:spacing w:before="80" w:after="80"/>
            </w:pPr>
            <w:r>
              <w:rPr>
                <w:rFonts w:ascii="Arial" w:cs="Arial" w:eastAsia="Arial" w:hAnsi="Arial"/>
                <w:sz w:val="20"/>
                <w:szCs w:val="20"/>
              </w:rPr>
              <w:t xml:space="preserve">Engagement Supervisor</w:t>
            </w:r>
          </w:p>
          <w:p>
            <w:pPr>
              <w:spacing w:before="80" w:after="80"/>
            </w:pPr>
            <w:r>
              <w:rPr>
                <w:rFonts w:ascii="Arial" w:cs="Arial" w:eastAsia="Arial" w:hAnsi="Arial"/>
                <w:sz w:val="20"/>
                <w:szCs w:val="20"/>
              </w:rPr>
              <w:t xml:space="preserve">T: (512) 555-0195   |   E: jdoe@trivediandoe.com</w:t>
            </w:r>
          </w:p>
        </w:tc>
      </w:tr>
    </w:tbl>
    <w:p>
      <w:pPr>
        <w:spacing w:before="180" w:after="0"/>
      </w:pPr>
    </w:p>
    <w:p>
      <w:pPr>
        <w:pBdr>
          <w:bottom w:val="single" w:color="D9D9D9" w:sz="12"/>
        </w:pBdr>
        <w:spacing w:before="100" w:after="10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
              <w:bottom w:val="single" w:color="2E5FA3" w:sz="1"/>
              <w:right w:val="single" w:color="2E5FA3" w:sz="1"/>
            </w:tcBorders>
            <w:shd w:fill="D6E4F0" w:val="clear"/>
            <w:tcMar>
              <w:top w:type="dxa" w:w="120"/>
              <w:left w:type="dxa" w:w="200"/>
              <w:bottom w:type="dxa" w:w="120"/>
              <w:right w:type="dxa" w:w="200"/>
            </w:tcMar>
          </w:tcPr>
          <w:p>
            <w:pPr>
              <w:spacing w:before="0" w:after="80"/>
            </w:pPr>
            <w:r>
              <w:rPr>
                <w:rFonts w:ascii="Arial" w:cs="Arial" w:eastAsia="Arial" w:hAnsi="Arial"/>
                <w:b/>
                <w:bCs/>
                <w:color w:val="1F3864"/>
                <w:sz w:val="18"/>
                <w:szCs w:val="18"/>
              </w:rPr>
              <w:t xml:space="preserve">MANAGEMENT ACKNOWLEDGMENT</w:t>
            </w:r>
          </w:p>
          <w:p>
            <w:pPr>
              <w:spacing w:before="80" w:after="80"/>
            </w:pPr>
            <w:r>
              <w:rPr>
                <w:rFonts w:ascii="Arial" w:cs="Arial" w:eastAsia="Arial" w:hAnsi="Arial"/>
                <w:sz w:val="20"/>
                <w:szCs w:val="20"/>
              </w:rPr>
              <w:t xml:space="preserve">By signing below, management acknowledges receipt of this Management Letter and the accompanying ITGC audit workpaper package, and confirms that the findings have been reviewed and will be communicated to the Audit Committee.</w:t>
            </w:r>
          </w:p>
          <w:p>
            <w:pPr>
              <w:spacing w:before="12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none" w:color="FFFFFF" w:sz="0"/>
                    <w:left w:val="none" w:color="FFFFFF" w:sz="0"/>
                    <w:bottom w:val="single" w:color="1F3864" w:sz="6"/>
                    <w:right w:val="none" w:color="FFFFFF" w:sz="0"/>
                  </w:tcBorders>
                  <w:tcMar>
                    <w:top w:type="dxa" w:w="0"/>
                    <w:left w:type="dxa" w:w="0"/>
                    <w:bottom w:type="dxa" w:w="80"/>
                    <w:right w:type="dxa" w:w="240"/>
                  </w:tcMar>
                </w:tcPr>
                <w:p>
                  <w:pPr>
                    <w:spacing w:before="80" w:after="80"/>
                  </w:pPr>
                  <w:r>
                    <w:rPr>
                      <w:rFonts w:ascii="Arial" w:cs="Arial" w:eastAsia="Arial" w:hAnsi="Arial"/>
                      <w:b/>
                      <w:bCs/>
                      <w:sz w:val="20"/>
                      <w:szCs w:val="20"/>
                    </w:rPr>
                    <w:t xml:space="preserve">Sarah Okonkwo</w:t>
                  </w:r>
                  <w:r>
                    <w:rPr>
                      <w:rFonts w:ascii="Arial" w:cs="Arial" w:eastAsia="Arial" w:hAnsi="Arial"/>
                      <w:sz w:val="20"/>
                      <w:szCs w:val="20"/>
                    </w:rPr>
                    <w:t xml:space="preserve">,  VP Information Technology</w:t>
                  </w:r>
                </w:p>
                <w:p>
                  <w:pPr>
                    <w:spacing w:before="80" w:after="80"/>
                  </w:pPr>
                  <w:r>
                    <w:rPr>
                      <w:rFonts w:ascii="Arial" w:cs="Arial" w:eastAsia="Arial" w:hAnsi="Arial"/>
                      <w:sz w:val="20"/>
                      <w:szCs w:val="20"/>
                    </w:rPr>
                    <w:t xml:space="preserve">MT Corporation</w:t>
                  </w:r>
                </w:p>
                <w:p>
                  <w:pPr>
                    <w:spacing w:before="120" w:after="0"/>
                  </w:pPr>
                </w:p>
                <w:p>
                  <w:pPr>
                    <w:spacing w:before="80" w:after="80"/>
                  </w:pPr>
                  <w:r>
                    <w:rPr>
                      <w:rFonts w:ascii="Arial" w:cs="Arial" w:eastAsia="Arial" w:hAnsi="Arial"/>
                      <w:sz w:val="20"/>
                      <w:szCs w:val="20"/>
                    </w:rPr>
                    <w:t xml:space="preserve">Signature: _________________________</w:t>
                  </w:r>
                </w:p>
                <w:p>
                  <w:pPr>
                    <w:spacing w:before="80" w:after="80"/>
                  </w:pPr>
                  <w:r>
                    <w:rPr>
                      <w:rFonts w:ascii="Arial" w:cs="Arial" w:eastAsia="Arial" w:hAnsi="Arial"/>
                      <w:sz w:val="20"/>
                      <w:szCs w:val="20"/>
                    </w:rPr>
                    <w:t xml:space="preserve">Date:         _________________________</w:t>
                  </w:r>
                </w:p>
              </w:tc>
              <w:tc>
                <w:tcPr>
                  <w:tcW w:type="dxa" w:w="4480"/>
                  <w:tcBorders>
                    <w:top w:val="none" w:color="FFFFFF" w:sz="0"/>
                    <w:left w:val="none" w:color="FFFFFF" w:sz="0"/>
                    <w:bottom w:val="single" w:color="1F3864" w:sz="6"/>
                    <w:right w:val="none" w:color="FFFFFF" w:sz="0"/>
                  </w:tcBorders>
                  <w:tcMar>
                    <w:top w:type="dxa" w:w="0"/>
                    <w:left w:type="dxa" w:w="240"/>
                    <w:bottom w:type="dxa" w:w="80"/>
                    <w:right w:type="dxa" w:w="0"/>
                  </w:tcMar>
                </w:tcPr>
                <w:p>
                  <w:pPr>
                    <w:spacing w:before="80" w:after="80"/>
                  </w:pPr>
                  <w:r>
                    <w:rPr>
                      <w:rFonts w:ascii="Arial" w:cs="Arial" w:eastAsia="Arial" w:hAnsi="Arial"/>
                      <w:b/>
                      <w:bCs/>
                      <w:sz w:val="20"/>
                      <w:szCs w:val="20"/>
                    </w:rPr>
                    <w:t xml:space="preserve">Chief Financial Officer</w:t>
                  </w:r>
                  <w:r>
                    <w:rPr>
                      <w:rFonts w:ascii="Arial" w:cs="Arial" w:eastAsia="Arial" w:hAnsi="Arial"/>
                      <w:sz w:val="20"/>
                      <w:szCs w:val="20"/>
                    </w:rPr>
                    <w:t xml:space="preserve">,  MT Corporation</w:t>
                  </w:r>
                </w:p>
                <w:p>
                  <w:pPr>
                    <w:spacing w:before="80" w:after="80"/>
                  </w:pPr>
                  <w:r>
                    <w:rPr>
                      <w:rFonts w:ascii="Arial" w:cs="Arial" w:eastAsia="Arial" w:hAnsi="Arial"/>
                      <w:sz w:val="20"/>
                      <w:szCs w:val="20"/>
                    </w:rPr>
                    <w:t xml:space="preserve">(Name to be confirmed)</w:t>
                  </w:r>
                </w:p>
                <w:p>
                  <w:pPr>
                    <w:spacing w:before="120" w:after="0"/>
                  </w:pPr>
                </w:p>
                <w:p>
                  <w:pPr>
                    <w:spacing w:before="80" w:after="80"/>
                  </w:pPr>
                  <w:r>
                    <w:rPr>
                      <w:rFonts w:ascii="Arial" w:cs="Arial" w:eastAsia="Arial" w:hAnsi="Arial"/>
                      <w:sz w:val="20"/>
                      <w:szCs w:val="20"/>
                    </w:rPr>
                    <w:t xml:space="preserve">Signature: _________________________</w:t>
                  </w:r>
                </w:p>
                <w:p>
                  <w:pPr>
                    <w:spacing w:before="80" w:after="80"/>
                  </w:pPr>
                  <w:r>
                    <w:rPr>
                      <w:rFonts w:ascii="Arial" w:cs="Arial" w:eastAsia="Arial" w:hAnsi="Arial"/>
                      <w:sz w:val="20"/>
                      <w:szCs w:val="20"/>
                    </w:rPr>
                    <w:t xml:space="preserve">Date:         _________________________</w:t>
                  </w:r>
                </w:p>
              </w:tc>
            </w:tr>
          </w:tbl>
          <w:p/>
        </w:tc>
      </w:tr>
    </w:tbl>
    <w:p>
      <w:pPr>
        <w:spacing w:before="1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spacing w:before="80" w:after="0"/>
    </w:pPr>
    <w:r>
      <w:rPr>
        <w:rFonts w:ascii="Arial" w:cs="Arial" w:eastAsia="Arial" w:hAnsi="Arial"/>
        <w:color w:val="595959"/>
        <w:sz w:val="16"/>
        <w:szCs w:val="16"/>
      </w:rPr>
      <w:t xml:space="preserve">Trivedi &amp; Doe LLP  |  500 Congress Avenue, Suite 2200, Austin, TX 78701  |  February 10, 2025</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before="0" w:after="80"/>
    </w:pPr>
    <w:r>
      <w:rPr>
        <w:rFonts w:ascii="Arial" w:cs="Arial" w:eastAsia="Arial" w:hAnsi="Arial"/>
        <w:color w:val="595959"/>
        <w:sz w:val="16"/>
        <w:szCs w:val="16"/>
      </w:rPr>
      <w:t xml:space="preserve">Trivedi &amp; Doe LLP  |  MT Corporation — ITGC Management Letter — FY2024</w:t>
    </w:r>
    <w:r>
      <w:rPr>
        <w:rFonts w:ascii="Arial" w:cs="Arial" w:eastAsia="Arial" w:hAnsi="Arial"/>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F3864"/>
      <w:sz w:val="26"/>
      <w:szCs w:val="26"/>
    </w:rPr>
  </w:style>
  <w:style w:type="paragraph" w:styleId="Heading2">
    <w:name w:val="Heading 2"/>
    <w:basedOn w:val="Normal"/>
    <w:next w:val="Normal"/>
    <w:qFormat/>
    <w:pPr>
      <w:spacing w:before="180" w:after="6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2026-03-12T16:22:36.572Z</dcterms:created>
  <dcterms:modified xsi:type="dcterms:W3CDTF">2026-03-12T16:22:36.595Z</dcterms:modified>
</cp:coreProperties>
</file>

<file path=docProps/custom.xml><?xml version="1.0" encoding="utf-8"?>
<Properties xmlns="http://schemas.openxmlformats.org/officeDocument/2006/custom-properties" xmlns:vt="http://schemas.openxmlformats.org/officeDocument/2006/docPropsVTypes"/>
</file>