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b/>
          <w:color w:val="4682B4"/>
          <w:sz w:val="22"/>
        </w:rPr>
        <w:t>MASTER'S THESIS IMPLEMENTATION REPORT</w:t>
        <w:br/>
      </w:r>
      <w:r>
        <w:rPr>
          <w:b/>
          <w:color w:val="1A2B4C"/>
          <w:sz w:val="40"/>
        </w:rPr>
        <w:t>Automated Multimodal ESG Auditing Pipeline: Architecture, Empirical Findings, and Longitudinal Evaluation</w:t>
      </w:r>
    </w:p>
    <w:p>
      <w:pPr>
        <w:spacing w:after="400"/>
      </w:pPr>
      <w:r>
        <w:rPr>
          <w:i/>
          <w:color w:val="646464"/>
          <w:sz w:val="20"/>
        </w:rPr>
        <w:t>Focus Enterprises: Amazon, Apple, Google (FY2021 – FY2024) | Architecture: ColPali v1.3 + Qwen2-VL-2B</w:t>
      </w:r>
    </w:p>
    <w:p>
      <w:pPr>
        <w:spacing w:after="28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60" w:after="160"/>
      </w:pPr>
      <w:r>
        <w:rPr>
          <w:b/>
          <w:color w:val="1A2B4C"/>
          <w:sz w:val="28"/>
        </w:rPr>
        <w:t>1. Executive Summary</w:t>
      </w:r>
    </w:p>
    <w:p>
      <w:r>
        <w:t>This report documents the implementation and experimental evaluation of the Multimodal Temporal Auditor (MTA), an autonomous system developed to address two critical blind spots in corporate ESG reporting: (1) unannounced retroactive baseline restatements, and (2) tactical greenwashing through linguistic ambiguity and numerical omission during operational emissions growth.</w:t>
      </w:r>
    </w:p>
    <w:p>
      <w:r>
        <w:t>The system was evaluated against multi-year corporate sustainability disclosures from Amazon, Apple, and Google spanning four consecutive reporting cycles (FY2021 through FY2024). The entire pipeline executed end-to-end inference without human intervention, extracting quantitative tables, tracking multi-year baselines, and scoring narrative strategic ambiguity.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A2B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Enterprise</w:t>
            </w:r>
          </w:p>
        </w:tc>
        <w:tc>
          <w:tcPr>
            <w:tcW w:type="dxa" w:w="1337"/>
            <w:shd w:fill="1A2B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Cycles</w:t>
            </w:r>
          </w:p>
        </w:tc>
        <w:tc>
          <w:tcPr>
            <w:tcW w:type="dxa" w:w="1337"/>
            <w:shd w:fill="1A2B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Metrics</w:t>
            </w:r>
          </w:p>
        </w:tc>
        <w:tc>
          <w:tcPr>
            <w:tcW w:type="dxa" w:w="1337"/>
            <w:shd w:fill="1A2B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Consistency</w:t>
            </w:r>
          </w:p>
        </w:tc>
        <w:tc>
          <w:tcPr>
            <w:tcW w:type="dxa" w:w="1337"/>
            <w:shd w:fill="1A2B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Restatements</w:t>
            </w:r>
          </w:p>
        </w:tc>
        <w:tc>
          <w:tcPr>
            <w:tcW w:type="dxa" w:w="1337"/>
            <w:shd w:fill="1A2B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YoY Shifts</w:t>
            </w:r>
          </w:p>
        </w:tc>
        <w:tc>
          <w:tcPr>
            <w:tcW w:type="dxa" w:w="1337"/>
            <w:shd w:fill="1A2B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SAS Profile</w:t>
            </w:r>
          </w:p>
        </w:tc>
      </w:tr>
      <w:tr>
        <w:tc>
          <w:tcPr>
            <w:tcW w:type="dxa" w:w="1337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337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2021-2024</w:t>
            </w:r>
          </w:p>
        </w:tc>
        <w:tc>
          <w:tcPr>
            <w:tcW w:type="dxa" w:w="1337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 Scopes</w:t>
            </w:r>
          </w:p>
        </w:tc>
        <w:tc>
          <w:tcPr>
            <w:tcW w:type="dxa" w:w="1337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88.5%</w:t>
            </w:r>
          </w:p>
        </w:tc>
        <w:tc>
          <w:tcPr>
            <w:tcW w:type="dxa" w:w="1337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37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37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Moderate (0.3135)</w:t>
            </w:r>
          </w:p>
        </w:tc>
      </w:tr>
      <w:tr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Apple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2021-2024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 Scopes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76.2%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3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Moderate → Aligned</w:t>
            </w:r>
          </w:p>
        </w:tc>
      </w:tr>
      <w:tr>
        <w:tc>
          <w:tcPr>
            <w:tcW w:type="dxa" w:w="1337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337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2021-2024</w:t>
            </w:r>
          </w:p>
        </w:tc>
        <w:tc>
          <w:tcPr>
            <w:tcW w:type="dxa" w:w="1337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 Scopes</w:t>
            </w:r>
          </w:p>
        </w:tc>
        <w:tc>
          <w:tcPr>
            <w:tcW w:type="dxa" w:w="1337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43.8%</w:t>
            </w:r>
          </w:p>
        </w:tc>
        <w:tc>
          <w:tcPr>
            <w:tcW w:type="dxa" w:w="1337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37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37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High Ambiguity (0.5914)</w:t>
            </w:r>
          </w:p>
        </w:tc>
      </w:tr>
    </w:tbl>
    <w:p>
      <w:pPr>
        <w:spacing w:after="200"/>
      </w:pPr>
    </w:p>
    <w:p>
      <w:pPr>
        <w:spacing w:before="360" w:after="160"/>
      </w:pPr>
      <w:r>
        <w:rPr>
          <w:b/>
          <w:color w:val="1A2B4C"/>
          <w:sz w:val="28"/>
        </w:rPr>
        <w:t>2. System Architecture &amp; Technical Implementation</w:t>
      </w:r>
    </w:p>
    <w:p>
      <w:r>
        <w:t>The MTA framework operates as a three-stage pipeline designed specifically to reconcile dense, irregular PDF tables while operating within local hardware constraints (NVIDIA GPU with PyTorch float16/bfloat16):</w:t>
      </w:r>
    </w:p>
    <w:p>
      <w:pPr>
        <w:spacing w:before="240" w:after="80"/>
      </w:pPr>
      <w:r>
        <w:rPr>
          <w:b/>
          <w:color w:val="284678"/>
          <w:sz w:val="23"/>
        </w:rPr>
        <w:t>2.1 Stage 1: Multimodal Vector Retrieval (ColPali v1.3)</w:t>
      </w:r>
    </w:p>
    <w:p>
      <w:r>
        <w:t>Instead of standard semantic text embeddings that discard spatial layouts, the system utilizes ColPali (vidore/colpali-v1.3-hf) operating in native float16. The model projects 1024 patch tokens into multi-vector embeddings indexed in ChromaDB. An active lifecycle manager loads ColPali for query matching and immediately evicts it via CUDA IPC collection to free VRAM for Stage 2.</w:t>
      </w:r>
    </w:p>
    <w:p>
      <w:pPr>
        <w:spacing w:before="240" w:after="80"/>
      </w:pPr>
      <w:r>
        <w:rPr>
          <w:b/>
          <w:color w:val="284678"/>
          <w:sz w:val="23"/>
        </w:rPr>
        <w:t>2.2 Stage 2: Multimodal Extraction &amp; Grounding (Qwen2-VL-2B)</w:t>
      </w:r>
    </w:p>
    <w:p>
      <w:r>
        <w:t>Pages are rendered at 144 DPI (scale=2.0) to ensure high-resolution OCR clarity. Extraction pairs Qwen2-VL-2B visual inference with a deterministic PDF text-layer parser. This hybrid design resolves small-VLM hallucinations (e.g. echo of dummy 0.0 values) and structures records directly into verified Pydantic schemas (ESGMetric and PageExtractionResult).</w:t>
      </w:r>
    </w:p>
    <w:p>
      <w:pPr>
        <w:spacing w:before="240" w:after="80"/>
      </w:pPr>
      <w:r>
        <w:rPr>
          <w:b/>
          <w:color w:val="284678"/>
          <w:sz w:val="23"/>
        </w:rPr>
        <w:t>2.3 Stage 3A: Longitudinal Temporal Auditor</w:t>
      </w:r>
    </w:p>
    <w:p>
      <w:r>
        <w:t>The auditor normalizes heterogeneous report magnitudes into standard Metric Tons (MT CO2e) with magnitude-aware heuristics (values &lt; 600 represent MMT; values ≥ 1,000 represent native MT). It executes two distinct passes:</w:t>
      </w:r>
    </w:p>
    <w:p>
      <w:pPr>
        <w:pStyle w:val="ListBullet"/>
      </w:pPr>
      <w:r>
        <w:rPr>
          <w:b/>
        </w:rPr>
        <w:t xml:space="preserve">Pass 1 (Baseline Restatement Detection): </w:t>
      </w:r>
      <w:r>
        <w:t>Identifies retroactive baseline alterations where a later report alters a historical year's published value by ≥ 5.0%.</w:t>
      </w:r>
    </w:p>
    <w:p>
      <w:pPr>
        <w:pStyle w:val="ListBullet"/>
      </w:pPr>
      <w:r>
        <w:rPr>
          <w:b/>
        </w:rPr>
        <w:t xml:space="preserve">Pass 2 (YoY Trajectory Anomaly Tracking): </w:t>
      </w:r>
      <w:r>
        <w:t>Flags significant operational shifts (|Δ| ≥ 5.0%) across sequential fiscal reporting periods.</w:t>
      </w:r>
    </w:p>
    <w:p>
      <w:pPr>
        <w:spacing w:before="240" w:after="80"/>
      </w:pPr>
      <w:r>
        <w:rPr>
          <w:b/>
          <w:color w:val="284678"/>
          <w:sz w:val="23"/>
        </w:rPr>
        <w:t>2.4 Stage 3B: Strategic Ambiguity Engine (SAS)</w:t>
      </w:r>
    </w:p>
    <w:p>
      <w:r>
        <w:t>Calculates the composite Strategic Ambiguity Score: SAS = w1·SemanticDrift + w2·VaguenessScore + w3·NumericalOmission. The engine explicitly strips calendar years (2015-2050) to evaluate whether substantive quantitative targets (% reduction, GW, MT) were dropped between reporting periods.</w:t>
      </w:r>
    </w:p>
    <w:p>
      <w:pPr>
        <w:spacing w:before="360" w:after="160"/>
      </w:pPr>
      <w:r>
        <w:rPr>
          <w:b/>
          <w:color w:val="1A2B4C"/>
          <w:sz w:val="28"/>
        </w:rPr>
        <w:t>3. Empirical Case Studies &amp; Audit Findings</w:t>
      </w:r>
    </w:p>
    <w:p>
      <w:pPr>
        <w:spacing w:before="240" w:after="80"/>
      </w:pPr>
      <w:r>
        <w:rPr>
          <w:b/>
          <w:color w:val="284678"/>
          <w:sz w:val="23"/>
        </w:rPr>
        <w:t>3.1 Case Study 1: Amazon (88.5% Consistency)</w:t>
      </w:r>
    </w:p>
    <w:p>
      <w:r>
        <w:t>Amazon demonstrated unbroken year-over-year operational expansion in Scope 1 Direct Emissions across all four audited years: 12.11M MT (FY21) → 13.02M MT (+7.51%) → 14.22M MT (+9.22%) → 15.13M MT (+6.40%). The auditor successfully flagged a retroactive Scope 3 baseline restatement where FY2022 emissions originally reported as 54.98M MT were silently adjusted downward to 49.02M MT (-10.84%) in the FY2024 multi-year table. Amazon maintained consistent MODERATE_AMBIGUITY scores (SAS 0.28 to 0.31) due to persistent hedging in corporate pledges.</w:t>
      </w:r>
    </w:p>
    <w:p>
      <w:pPr>
        <w:spacing w:before="240" w:after="80"/>
      </w:pPr>
      <w:r>
        <w:rPr>
          <w:b/>
          <w:color w:val="284678"/>
          <w:sz w:val="23"/>
        </w:rPr>
        <w:t>3.2 Case Study 2: Apple (76.2% Consistency)</w:t>
      </w:r>
    </w:p>
    <w:p>
      <w:r>
        <w:t>Apple exhibited multiple boundary restatements across historical disclosures: FY2021 Scope 1 was restated from 47,430 MT up to 55,200 MT (+16.38%), while Scope 2 market-based accounting underwent multiple upward revisions (2,780 MT → 3,000 MT → 3,400 MT). Crucially, Apple demonstrated progressive narrative transparency: Strategic Ambiguity dropped from 0.3639 (Moderate Ambiguity) in FY21-22 to 0.1650 (ALIGNED_DISCLOSURE) by FY23-24 with low semantic drift (0.0944).</w:t>
      </w:r>
    </w:p>
    <w:p>
      <w:pPr>
        <w:spacing w:before="240" w:after="80"/>
      </w:pPr>
      <w:r>
        <w:rPr>
          <w:b/>
          <w:color w:val="284678"/>
          <w:sz w:val="23"/>
        </w:rPr>
        <w:t>3.3 Case Study 3: Google (43.8% Consistency - Primary Empirical Finding)</w:t>
      </w:r>
    </w:p>
    <w:p>
      <w:r>
        <w:t>Google demonstrated the highest volatility among audited enterprises with 8 baseline restatements. During the FY2022 to FY2023 transition, Google's Scope 2 emissions surged by +39.65% (6.58M MT to 9.18M MT) driven by AI/data center energy demand. Concurrently, the Strategic Ambiguity Engine detected a major inflection: SAS spiked to 0.5914 [HIGH_STRATEGIC_AMBIGUITY], with Numerical Omission triggering to 1.0 (substantive quantitative target metrics dropped). This confirms the central research hypothesis: disclosures increase linguistic hedging and drop numerical targets during operational emissions growth.</w:t>
      </w:r>
    </w:p>
    <w:p>
      <w:pPr>
        <w:spacing w:before="360" w:after="160"/>
      </w:pPr>
      <w:r>
        <w:rPr>
          <w:b/>
          <w:color w:val="1A2B4C"/>
          <w:sz w:val="28"/>
        </w:rPr>
        <w:t>4. Key Technical Challenges &amp; Engineering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2B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Technical Challenge</w:t>
            </w:r>
          </w:p>
        </w:tc>
        <w:tc>
          <w:tcPr>
            <w:tcW w:type="dxa" w:w="3120"/>
            <w:shd w:fill="1A2B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3120"/>
            <w:shd w:fill="1A2B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Implemented Resolution</w:t>
            </w:r>
          </w:p>
        </w:tc>
      </w:tr>
      <w:tr>
        <w:tc>
          <w:tcPr>
            <w:tcW w:type="dxa" w:w="312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CUDA Out of Memory (OOM)</w:t>
            </w:r>
          </w:p>
        </w:tc>
        <w:tc>
          <w:tcPr>
            <w:tcW w:type="dxa" w:w="312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Concurrent GPU residency of ColPali (3.5 GB) and Qwen2-VL (4.5 GB).</w:t>
            </w:r>
          </w:p>
        </w:tc>
        <w:tc>
          <w:tcPr>
            <w:tcW w:type="dxa" w:w="312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Implemented sequential lifecycle manager with explicit IPC cache collection between Stage 1 and Stage 2.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Unit Scaling Anomalies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VLM captured footnote text mentioning 'million', scaling Apple's 52,730 MT to 52.7 Billion MT.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Created magnitude-aware unit heuristics: values &lt; 600 scale by 10^6; values ≥ 1,000 are treated as native MT.</w:t>
            </w:r>
          </w:p>
        </w:tc>
      </w:tr>
      <w:tr>
        <w:tc>
          <w:tcPr>
            <w:tcW w:type="dxa" w:w="312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VLM Output Hallucination</w:t>
            </w:r>
          </w:p>
        </w:tc>
        <w:tc>
          <w:tcPr>
            <w:tcW w:type="dxa" w:w="312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Small 2B vision model echoed schema placeholders (0.0 or 100.0 MT).</w:t>
            </w:r>
          </w:p>
        </w:tc>
        <w:tc>
          <w:tcPr>
            <w:tcW w:type="dxa" w:w="312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Implemented hybrid OCR verification layer combining visual inference with native PDF text-window extraction.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Target Omission False Positives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Regex digit matching counted calendar years (2030, 2040) as targets.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17"/>
              </w:rPr>
              <w:t>Engineered _count_quantitative_targets() to filter out calendar years and branded terms, tracking only substantive metrics (%, GW, MT).</w:t>
            </w:r>
          </w:p>
        </w:tc>
      </w:tr>
    </w:tbl>
    <w:p>
      <w:pPr>
        <w:spacing w:after="240"/>
      </w:pPr>
    </w:p>
    <w:p>
      <w:pPr>
        <w:spacing w:before="360" w:after="160"/>
      </w:pPr>
      <w:r>
        <w:rPr>
          <w:b/>
          <w:color w:val="1A2B4C"/>
          <w:sz w:val="28"/>
        </w:rPr>
        <w:t>5. Project Deliverables &amp; Demonstration Readiness</w:t>
      </w:r>
    </w:p>
    <w:p>
      <w:r>
        <w:t>All core technical objectives outlined in the Master's thesis proposal have been successfully engineered and verified:</w:t>
      </w:r>
    </w:p>
    <w:p>
      <w:pPr>
        <w:pStyle w:val="ListBullet"/>
      </w:pPr>
      <w:r>
        <w:rPr>
          <w:b/>
        </w:rPr>
        <w:t>Autonomous Pipeline Core (main.py):</w:t>
      </w:r>
      <w:r>
        <w:t xml:space="preserve"> Executes multi-company, multi-year audits without human intervention.</w:t>
      </w:r>
    </w:p>
    <w:p>
      <w:pPr>
        <w:pStyle w:val="ListBullet"/>
      </w:pPr>
      <w:r>
        <w:rPr>
          <w:b/>
        </w:rPr>
        <w:t>Multimodal Extractor (src/extraction.py):</w:t>
      </w:r>
      <w:r>
        <w:t xml:space="preserve"> Vision-language extraction with resilient JSON/regex parsing.</w:t>
      </w:r>
    </w:p>
    <w:p>
      <w:pPr>
        <w:pStyle w:val="ListBullet"/>
      </w:pPr>
      <w:r>
        <w:rPr>
          <w:b/>
        </w:rPr>
        <w:t>Longitudinal Auditor (src/temporal_auditor.py):</w:t>
      </w:r>
      <w:r>
        <w:t xml:space="preserve"> Tracks silent baseline adjustments and YoY trajectory shifts.</w:t>
      </w:r>
    </w:p>
    <w:p>
      <w:pPr>
        <w:pStyle w:val="ListBullet"/>
      </w:pPr>
      <w:r>
        <w:rPr>
          <w:b/>
        </w:rPr>
        <w:t>Ambiguity Engine (src/strategic_ambiguity.py):</w:t>
      </w:r>
      <w:r>
        <w:t xml:space="preserve"> Computes composite SAS, Semantic Drift, and Numerical Omission.</w:t>
      </w:r>
    </w:p>
    <w:p>
      <w:pPr>
        <w:pStyle w:val="ListBullet"/>
      </w:pPr>
      <w:r>
        <w:rPr>
          <w:b/>
        </w:rPr>
        <w:t>Interactive Dashboard (app.py):</w:t>
      </w:r>
      <w:r>
        <w:t xml:space="preserve"> Streamlit GUI with executive summary cards, Plotly SAS curves, and visual report grounding.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