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98"/>
        <w:gridCol w:w="1329"/>
        <w:gridCol w:w="1188"/>
        <w:gridCol w:w="1476"/>
        <w:gridCol w:w="1713"/>
        <w:gridCol w:w="937"/>
        <w:gridCol w:w="824"/>
        <w:gridCol w:w="1085"/>
      </w:tblGrid>
      <w:tr w:rsidR="00755F35" w:rsidTr="00755F35">
        <w:tc>
          <w:tcPr>
            <w:tcW w:w="797" w:type="dxa"/>
          </w:tcPr>
          <w:p w:rsidR="00755F35" w:rsidRPr="00497A7E" w:rsidRDefault="00755F35" w:rsidP="00E72E14">
            <w:pPr>
              <w:jc w:val="center"/>
              <w:rPr>
                <w:b/>
              </w:rPr>
            </w:pPr>
            <w:r w:rsidRPr="00497A7E">
              <w:rPr>
                <w:b/>
              </w:rPr>
              <w:t>SR.NO</w:t>
            </w:r>
          </w:p>
        </w:tc>
        <w:tc>
          <w:tcPr>
            <w:tcW w:w="1345" w:type="dxa"/>
          </w:tcPr>
          <w:p w:rsidR="00755F35" w:rsidRPr="00497A7E" w:rsidRDefault="00755F35" w:rsidP="00E72E14">
            <w:pPr>
              <w:jc w:val="center"/>
              <w:rPr>
                <w:b/>
              </w:rPr>
            </w:pPr>
            <w:r w:rsidRPr="00497A7E">
              <w:rPr>
                <w:b/>
              </w:rPr>
              <w:t>FILE NAME</w:t>
            </w:r>
          </w:p>
        </w:tc>
        <w:tc>
          <w:tcPr>
            <w:tcW w:w="1225" w:type="dxa"/>
          </w:tcPr>
          <w:p w:rsidR="00755F35" w:rsidRPr="00497A7E" w:rsidRDefault="00755F35" w:rsidP="00E72E14">
            <w:pPr>
              <w:jc w:val="center"/>
              <w:rPr>
                <w:b/>
              </w:rPr>
            </w:pPr>
            <w:r w:rsidRPr="00497A7E">
              <w:rPr>
                <w:b/>
              </w:rPr>
              <w:t>ORIGINAL SIZE</w:t>
            </w:r>
          </w:p>
        </w:tc>
        <w:tc>
          <w:tcPr>
            <w:tcW w:w="1398" w:type="dxa"/>
          </w:tcPr>
          <w:p w:rsidR="00755F35" w:rsidRPr="00497A7E" w:rsidRDefault="00755F35" w:rsidP="00E72E14">
            <w:pPr>
              <w:jc w:val="center"/>
              <w:rPr>
                <w:b/>
              </w:rPr>
            </w:pPr>
            <w:r w:rsidRPr="00497A7E">
              <w:rPr>
                <w:b/>
              </w:rPr>
              <w:t>COMPRESSED SIZE</w:t>
            </w:r>
          </w:p>
        </w:tc>
        <w:tc>
          <w:tcPr>
            <w:tcW w:w="1782" w:type="dxa"/>
          </w:tcPr>
          <w:p w:rsidR="00755F35" w:rsidRPr="00497A7E" w:rsidRDefault="00755F35" w:rsidP="00E72E14">
            <w:pPr>
              <w:jc w:val="center"/>
              <w:rPr>
                <w:b/>
              </w:rPr>
            </w:pPr>
            <w:r w:rsidRPr="00497A7E">
              <w:rPr>
                <w:b/>
              </w:rPr>
              <w:t>COMPRESSION RATIO</w:t>
            </w:r>
          </w:p>
        </w:tc>
        <w:tc>
          <w:tcPr>
            <w:tcW w:w="1058" w:type="dxa"/>
          </w:tcPr>
          <w:p w:rsidR="00755F35" w:rsidRPr="00497A7E" w:rsidRDefault="00755F35" w:rsidP="00E72E14">
            <w:pPr>
              <w:jc w:val="center"/>
              <w:rPr>
                <w:b/>
              </w:rPr>
            </w:pPr>
            <w:r w:rsidRPr="00497A7E">
              <w:rPr>
                <w:b/>
              </w:rPr>
              <w:t>FPGA EXE TIME</w:t>
            </w:r>
          </w:p>
        </w:tc>
        <w:tc>
          <w:tcPr>
            <w:tcW w:w="642" w:type="dxa"/>
          </w:tcPr>
          <w:p w:rsidR="00755F35" w:rsidRPr="00497A7E" w:rsidRDefault="00755F35" w:rsidP="00E72E14">
            <w:pPr>
              <w:jc w:val="center"/>
              <w:rPr>
                <w:b/>
              </w:rPr>
            </w:pPr>
            <w:r>
              <w:rPr>
                <w:b/>
              </w:rPr>
              <w:t>SSIM VALUE</w:t>
            </w:r>
          </w:p>
        </w:tc>
        <w:tc>
          <w:tcPr>
            <w:tcW w:w="1103" w:type="dxa"/>
          </w:tcPr>
          <w:p w:rsidR="00755F35" w:rsidRPr="00497A7E" w:rsidRDefault="00755F35" w:rsidP="00E72E14">
            <w:pPr>
              <w:jc w:val="center"/>
              <w:rPr>
                <w:b/>
              </w:rPr>
            </w:pPr>
            <w:r w:rsidRPr="00497A7E">
              <w:rPr>
                <w:b/>
              </w:rPr>
              <w:t>Huffman Bitlength</w:t>
            </w:r>
          </w:p>
        </w:tc>
      </w:tr>
      <w:tr w:rsidR="00755F35" w:rsidTr="00755F35">
        <w:tc>
          <w:tcPr>
            <w:tcW w:w="797" w:type="dxa"/>
          </w:tcPr>
          <w:p w:rsidR="00755F35" w:rsidRPr="00497A7E" w:rsidRDefault="00755F35" w:rsidP="00E72E14">
            <w:pPr>
              <w:jc w:val="center"/>
              <w:rPr>
                <w:sz w:val="20"/>
                <w:szCs w:val="20"/>
              </w:rPr>
            </w:pPr>
            <w:r w:rsidRPr="00497A7E">
              <w:rPr>
                <w:sz w:val="20"/>
                <w:szCs w:val="20"/>
              </w:rPr>
              <w:t>1.</w:t>
            </w:r>
          </w:p>
        </w:tc>
        <w:tc>
          <w:tcPr>
            <w:tcW w:w="1345" w:type="dxa"/>
          </w:tcPr>
          <w:p w:rsidR="00755F35" w:rsidRPr="00497A7E" w:rsidRDefault="00755F35" w:rsidP="00E72E14">
            <w:pPr>
              <w:jc w:val="center"/>
              <w:rPr>
                <w:sz w:val="20"/>
                <w:szCs w:val="20"/>
              </w:rPr>
            </w:pPr>
            <w:r w:rsidRPr="00497A7E">
              <w:rPr>
                <w:sz w:val="20"/>
                <w:szCs w:val="20"/>
              </w:rPr>
              <w:t>Lena.bmp</w:t>
            </w:r>
          </w:p>
        </w:tc>
        <w:tc>
          <w:tcPr>
            <w:tcW w:w="1225" w:type="dxa"/>
          </w:tcPr>
          <w:p w:rsidR="00755F35" w:rsidRPr="00497A7E" w:rsidRDefault="00755F35" w:rsidP="00E72E14">
            <w:pPr>
              <w:jc w:val="center"/>
              <w:rPr>
                <w:sz w:val="20"/>
                <w:szCs w:val="20"/>
              </w:rPr>
            </w:pPr>
            <w:r w:rsidRPr="00497A7E">
              <w:rPr>
                <w:sz w:val="20"/>
                <w:szCs w:val="20"/>
              </w:rPr>
              <w:t>258 KB</w:t>
            </w:r>
          </w:p>
        </w:tc>
        <w:tc>
          <w:tcPr>
            <w:tcW w:w="1398" w:type="dxa"/>
          </w:tcPr>
          <w:p w:rsidR="00755F35" w:rsidRPr="00497A7E" w:rsidRDefault="00755F35" w:rsidP="00E72E14">
            <w:pPr>
              <w:jc w:val="center"/>
              <w:rPr>
                <w:sz w:val="20"/>
                <w:szCs w:val="20"/>
              </w:rPr>
            </w:pPr>
            <w:r w:rsidRPr="00497A7E">
              <w:rPr>
                <w:sz w:val="20"/>
                <w:szCs w:val="20"/>
              </w:rPr>
              <w:t>36 KB</w:t>
            </w:r>
          </w:p>
        </w:tc>
        <w:tc>
          <w:tcPr>
            <w:tcW w:w="1782" w:type="dxa"/>
          </w:tcPr>
          <w:p w:rsidR="00755F35" w:rsidRPr="00497A7E" w:rsidRDefault="00755F35" w:rsidP="00E72E14">
            <w:pPr>
              <w:jc w:val="center"/>
              <w:rPr>
                <w:sz w:val="20"/>
                <w:szCs w:val="20"/>
              </w:rPr>
            </w:pPr>
            <w:r w:rsidRPr="00497A7E">
              <w:rPr>
                <w:sz w:val="20"/>
                <w:szCs w:val="20"/>
              </w:rPr>
              <w:t>7.167:1</w:t>
            </w:r>
          </w:p>
        </w:tc>
        <w:tc>
          <w:tcPr>
            <w:tcW w:w="1058" w:type="dxa"/>
          </w:tcPr>
          <w:p w:rsidR="00755F35" w:rsidRPr="00497A7E" w:rsidRDefault="00755F35" w:rsidP="00E72E14">
            <w:pPr>
              <w:jc w:val="center"/>
              <w:rPr>
                <w:sz w:val="20"/>
                <w:szCs w:val="20"/>
              </w:rPr>
            </w:pPr>
            <w:r w:rsidRPr="00497A7E">
              <w:rPr>
                <w:sz w:val="20"/>
                <w:szCs w:val="20"/>
              </w:rPr>
              <w:t>3.127 sec</w:t>
            </w:r>
          </w:p>
        </w:tc>
        <w:tc>
          <w:tcPr>
            <w:tcW w:w="642" w:type="dxa"/>
          </w:tcPr>
          <w:p w:rsidR="00755F35" w:rsidRPr="00497A7E" w:rsidRDefault="00755F35" w:rsidP="00E72E14">
            <w:pPr>
              <w:jc w:val="center"/>
              <w:rPr>
                <w:sz w:val="20"/>
                <w:szCs w:val="20"/>
              </w:rPr>
            </w:pPr>
            <w:r>
              <w:rPr>
                <w:sz w:val="20"/>
                <w:szCs w:val="20"/>
              </w:rPr>
              <w:t>0.9383</w:t>
            </w:r>
          </w:p>
        </w:tc>
        <w:tc>
          <w:tcPr>
            <w:tcW w:w="1103" w:type="dxa"/>
          </w:tcPr>
          <w:p w:rsidR="00755F35" w:rsidRPr="00497A7E" w:rsidRDefault="00755F35" w:rsidP="00E72E14">
            <w:pPr>
              <w:jc w:val="center"/>
              <w:rPr>
                <w:sz w:val="20"/>
                <w:szCs w:val="20"/>
              </w:rPr>
            </w:pPr>
            <w:r w:rsidRPr="00497A7E">
              <w:rPr>
                <w:sz w:val="20"/>
                <w:szCs w:val="20"/>
              </w:rPr>
              <w:t>283268</w:t>
            </w:r>
          </w:p>
        </w:tc>
      </w:tr>
      <w:tr w:rsidR="00755F35" w:rsidTr="00755F35">
        <w:tc>
          <w:tcPr>
            <w:tcW w:w="797" w:type="dxa"/>
          </w:tcPr>
          <w:p w:rsidR="00755F35" w:rsidRPr="00497A7E" w:rsidRDefault="00755F35" w:rsidP="00E72E14">
            <w:pPr>
              <w:jc w:val="center"/>
              <w:rPr>
                <w:sz w:val="20"/>
                <w:szCs w:val="20"/>
              </w:rPr>
            </w:pPr>
            <w:r w:rsidRPr="00497A7E">
              <w:rPr>
                <w:sz w:val="20"/>
                <w:szCs w:val="20"/>
              </w:rPr>
              <w:t>2.</w:t>
            </w:r>
          </w:p>
        </w:tc>
        <w:tc>
          <w:tcPr>
            <w:tcW w:w="1345" w:type="dxa"/>
          </w:tcPr>
          <w:p w:rsidR="00755F35" w:rsidRPr="00497A7E" w:rsidRDefault="00755F35" w:rsidP="00E72E14">
            <w:pPr>
              <w:jc w:val="center"/>
              <w:rPr>
                <w:sz w:val="20"/>
                <w:szCs w:val="20"/>
              </w:rPr>
            </w:pPr>
            <w:r w:rsidRPr="00497A7E">
              <w:rPr>
                <w:sz w:val="20"/>
                <w:szCs w:val="20"/>
              </w:rPr>
              <w:t>Peppers.bmp</w:t>
            </w:r>
          </w:p>
        </w:tc>
        <w:tc>
          <w:tcPr>
            <w:tcW w:w="1225" w:type="dxa"/>
          </w:tcPr>
          <w:p w:rsidR="00755F35" w:rsidRPr="00497A7E" w:rsidRDefault="00755F35" w:rsidP="00E72E14">
            <w:pPr>
              <w:jc w:val="center"/>
              <w:rPr>
                <w:sz w:val="20"/>
                <w:szCs w:val="20"/>
              </w:rPr>
            </w:pPr>
            <w:r w:rsidRPr="00497A7E">
              <w:rPr>
                <w:sz w:val="20"/>
                <w:szCs w:val="20"/>
              </w:rPr>
              <w:t>258 KB</w:t>
            </w:r>
          </w:p>
        </w:tc>
        <w:tc>
          <w:tcPr>
            <w:tcW w:w="1398" w:type="dxa"/>
          </w:tcPr>
          <w:p w:rsidR="00755F35" w:rsidRPr="00497A7E" w:rsidRDefault="00755F35" w:rsidP="00E72E14">
            <w:pPr>
              <w:jc w:val="center"/>
              <w:rPr>
                <w:sz w:val="20"/>
                <w:szCs w:val="20"/>
              </w:rPr>
            </w:pPr>
            <w:r w:rsidRPr="00497A7E">
              <w:rPr>
                <w:sz w:val="20"/>
                <w:szCs w:val="20"/>
              </w:rPr>
              <w:t>46 KB</w:t>
            </w:r>
          </w:p>
        </w:tc>
        <w:tc>
          <w:tcPr>
            <w:tcW w:w="1782" w:type="dxa"/>
          </w:tcPr>
          <w:p w:rsidR="00755F35" w:rsidRPr="00497A7E" w:rsidRDefault="00755F35" w:rsidP="00E72E14">
            <w:pPr>
              <w:jc w:val="center"/>
              <w:rPr>
                <w:sz w:val="20"/>
                <w:szCs w:val="20"/>
              </w:rPr>
            </w:pPr>
            <w:r w:rsidRPr="00497A7E">
              <w:rPr>
                <w:sz w:val="20"/>
                <w:szCs w:val="20"/>
              </w:rPr>
              <w:t>5.60:1</w:t>
            </w:r>
          </w:p>
        </w:tc>
        <w:tc>
          <w:tcPr>
            <w:tcW w:w="1058" w:type="dxa"/>
          </w:tcPr>
          <w:p w:rsidR="00755F35" w:rsidRPr="00497A7E" w:rsidRDefault="00755F35" w:rsidP="00E72E14">
            <w:pPr>
              <w:jc w:val="center"/>
              <w:rPr>
                <w:sz w:val="20"/>
                <w:szCs w:val="20"/>
              </w:rPr>
            </w:pPr>
            <w:r w:rsidRPr="00497A7E">
              <w:rPr>
                <w:sz w:val="20"/>
                <w:szCs w:val="20"/>
              </w:rPr>
              <w:t>3.150 sec</w:t>
            </w:r>
          </w:p>
        </w:tc>
        <w:tc>
          <w:tcPr>
            <w:tcW w:w="642" w:type="dxa"/>
          </w:tcPr>
          <w:p w:rsidR="00755F35" w:rsidRPr="00497A7E" w:rsidRDefault="00755F35" w:rsidP="00E72E14">
            <w:pPr>
              <w:jc w:val="center"/>
              <w:rPr>
                <w:sz w:val="20"/>
                <w:szCs w:val="20"/>
              </w:rPr>
            </w:pPr>
            <w:r>
              <w:rPr>
                <w:sz w:val="20"/>
                <w:szCs w:val="20"/>
              </w:rPr>
              <w:t>0.9208</w:t>
            </w:r>
          </w:p>
        </w:tc>
        <w:tc>
          <w:tcPr>
            <w:tcW w:w="1103" w:type="dxa"/>
          </w:tcPr>
          <w:p w:rsidR="00755F35" w:rsidRPr="00497A7E" w:rsidRDefault="00755F35" w:rsidP="00E72E14">
            <w:pPr>
              <w:jc w:val="center"/>
              <w:rPr>
                <w:sz w:val="20"/>
                <w:szCs w:val="20"/>
              </w:rPr>
            </w:pPr>
            <w:r w:rsidRPr="00497A7E">
              <w:rPr>
                <w:sz w:val="20"/>
                <w:szCs w:val="20"/>
              </w:rPr>
              <w:t>357491</w:t>
            </w:r>
          </w:p>
        </w:tc>
      </w:tr>
      <w:tr w:rsidR="00755F35" w:rsidTr="00755F35">
        <w:tc>
          <w:tcPr>
            <w:tcW w:w="797" w:type="dxa"/>
          </w:tcPr>
          <w:p w:rsidR="00755F35" w:rsidRPr="00497A7E" w:rsidRDefault="00755F35" w:rsidP="00E72E14">
            <w:pPr>
              <w:jc w:val="center"/>
              <w:rPr>
                <w:sz w:val="20"/>
                <w:szCs w:val="20"/>
              </w:rPr>
            </w:pPr>
            <w:r w:rsidRPr="00497A7E">
              <w:rPr>
                <w:sz w:val="20"/>
                <w:szCs w:val="20"/>
              </w:rPr>
              <w:t>3.</w:t>
            </w:r>
          </w:p>
        </w:tc>
        <w:tc>
          <w:tcPr>
            <w:tcW w:w="1345" w:type="dxa"/>
          </w:tcPr>
          <w:p w:rsidR="00755F35" w:rsidRPr="00497A7E" w:rsidRDefault="00755F35" w:rsidP="00E72E14">
            <w:pPr>
              <w:jc w:val="center"/>
              <w:rPr>
                <w:sz w:val="20"/>
                <w:szCs w:val="20"/>
              </w:rPr>
            </w:pPr>
            <w:r w:rsidRPr="00497A7E">
              <w:rPr>
                <w:sz w:val="20"/>
                <w:szCs w:val="20"/>
              </w:rPr>
              <w:t>Goldhill.bmp</w:t>
            </w:r>
          </w:p>
        </w:tc>
        <w:tc>
          <w:tcPr>
            <w:tcW w:w="1225" w:type="dxa"/>
          </w:tcPr>
          <w:p w:rsidR="00755F35" w:rsidRPr="00497A7E" w:rsidRDefault="00755F35" w:rsidP="00E72E14">
            <w:pPr>
              <w:jc w:val="center"/>
              <w:rPr>
                <w:sz w:val="20"/>
                <w:szCs w:val="20"/>
              </w:rPr>
            </w:pPr>
            <w:r w:rsidRPr="00497A7E">
              <w:rPr>
                <w:sz w:val="20"/>
                <w:szCs w:val="20"/>
              </w:rPr>
              <w:t>258 KB</w:t>
            </w:r>
          </w:p>
        </w:tc>
        <w:tc>
          <w:tcPr>
            <w:tcW w:w="1398" w:type="dxa"/>
          </w:tcPr>
          <w:p w:rsidR="00755F35" w:rsidRPr="00497A7E" w:rsidRDefault="00755F35" w:rsidP="00E72E14">
            <w:pPr>
              <w:jc w:val="center"/>
              <w:rPr>
                <w:sz w:val="20"/>
                <w:szCs w:val="20"/>
              </w:rPr>
            </w:pPr>
            <w:r w:rsidRPr="00497A7E">
              <w:rPr>
                <w:sz w:val="20"/>
                <w:szCs w:val="20"/>
              </w:rPr>
              <w:t>54 KB</w:t>
            </w:r>
          </w:p>
        </w:tc>
        <w:tc>
          <w:tcPr>
            <w:tcW w:w="1782" w:type="dxa"/>
          </w:tcPr>
          <w:p w:rsidR="00755F35" w:rsidRPr="00497A7E" w:rsidRDefault="00755F35" w:rsidP="00E72E14">
            <w:pPr>
              <w:jc w:val="center"/>
              <w:rPr>
                <w:sz w:val="20"/>
                <w:szCs w:val="20"/>
              </w:rPr>
            </w:pPr>
            <w:r w:rsidRPr="00497A7E">
              <w:rPr>
                <w:sz w:val="20"/>
                <w:szCs w:val="20"/>
              </w:rPr>
              <w:t>4.78:1</w:t>
            </w:r>
          </w:p>
        </w:tc>
        <w:tc>
          <w:tcPr>
            <w:tcW w:w="1058" w:type="dxa"/>
          </w:tcPr>
          <w:p w:rsidR="00755F35" w:rsidRPr="00497A7E" w:rsidRDefault="00755F35" w:rsidP="00E72E14">
            <w:pPr>
              <w:jc w:val="center"/>
              <w:rPr>
                <w:sz w:val="20"/>
                <w:szCs w:val="20"/>
              </w:rPr>
            </w:pPr>
            <w:r w:rsidRPr="00497A7E">
              <w:rPr>
                <w:sz w:val="20"/>
                <w:szCs w:val="20"/>
              </w:rPr>
              <w:t>3.178 sec</w:t>
            </w:r>
          </w:p>
        </w:tc>
        <w:tc>
          <w:tcPr>
            <w:tcW w:w="642" w:type="dxa"/>
          </w:tcPr>
          <w:p w:rsidR="00755F35" w:rsidRPr="00497A7E" w:rsidRDefault="0030311F" w:rsidP="00E72E14">
            <w:pPr>
              <w:jc w:val="center"/>
              <w:rPr>
                <w:sz w:val="20"/>
                <w:szCs w:val="20"/>
              </w:rPr>
            </w:pPr>
            <w:r>
              <w:rPr>
                <w:sz w:val="20"/>
                <w:szCs w:val="20"/>
              </w:rPr>
              <w:t>0.9446</w:t>
            </w:r>
          </w:p>
        </w:tc>
        <w:tc>
          <w:tcPr>
            <w:tcW w:w="1103" w:type="dxa"/>
          </w:tcPr>
          <w:p w:rsidR="00755F35" w:rsidRPr="00497A7E" w:rsidRDefault="00755F35" w:rsidP="00E72E14">
            <w:pPr>
              <w:jc w:val="center"/>
              <w:rPr>
                <w:sz w:val="20"/>
                <w:szCs w:val="20"/>
              </w:rPr>
            </w:pPr>
            <w:r w:rsidRPr="00497A7E">
              <w:rPr>
                <w:sz w:val="20"/>
                <w:szCs w:val="20"/>
              </w:rPr>
              <w:t>427483</w:t>
            </w:r>
          </w:p>
        </w:tc>
      </w:tr>
    </w:tbl>
    <w:p w:rsidR="00755F35" w:rsidRPr="0030311F" w:rsidRDefault="00755F35" w:rsidP="00755F35">
      <w:pPr>
        <w:pBdr>
          <w:bottom w:val="single" w:sz="6" w:space="0" w:color="A2A9B1"/>
        </w:pBdr>
        <w:shd w:val="clear" w:color="auto" w:fill="FFFFFF"/>
        <w:spacing w:before="240" w:after="60" w:line="240" w:lineRule="auto"/>
        <w:outlineLvl w:val="1"/>
        <w:rPr>
          <w:rFonts w:ascii="Arial" w:eastAsia="Times New Roman" w:hAnsi="Arial" w:cs="Arial"/>
          <w:b/>
          <w:color w:val="0B0080"/>
          <w:sz w:val="20"/>
          <w:szCs w:val="20"/>
          <w:u w:val="single"/>
        </w:rPr>
      </w:pPr>
      <w:r w:rsidRPr="0030311F">
        <w:rPr>
          <w:rFonts w:ascii="Georgia" w:eastAsia="Times New Roman" w:hAnsi="Georgia" w:cs="Times New Roman"/>
          <w:b/>
          <w:color w:val="000000"/>
          <w:sz w:val="20"/>
          <w:szCs w:val="20"/>
        </w:rPr>
        <w:t>Structural similarity</w:t>
      </w:r>
    </w:p>
    <w:p w:rsidR="00791700" w:rsidRPr="0030311F" w:rsidRDefault="00791700" w:rsidP="00755F35">
      <w:pPr>
        <w:jc w:val="both"/>
        <w:rPr>
          <w:sz w:val="20"/>
          <w:szCs w:val="20"/>
        </w:rPr>
      </w:pPr>
      <w:r w:rsidRPr="0030311F">
        <w:rPr>
          <w:sz w:val="20"/>
          <w:szCs w:val="20"/>
        </w:rPr>
        <w:t>Structural Similarity (SSIM) Index. The SSIM metric combines local image structure, luminance, and contrast into a single local quality score. In this metric,</w:t>
      </w:r>
      <w:r w:rsidR="00B14520" w:rsidRPr="0030311F">
        <w:rPr>
          <w:sz w:val="20"/>
          <w:szCs w:val="20"/>
        </w:rPr>
        <w:t xml:space="preserve"> </w:t>
      </w:r>
      <w:r w:rsidRPr="0030311F">
        <w:rPr>
          <w:rStyle w:val="Emphasis"/>
          <w:rFonts w:cstheme="minorHAnsi"/>
          <w:color w:val="404040"/>
          <w:sz w:val="20"/>
          <w:szCs w:val="20"/>
        </w:rPr>
        <w:t>structures</w:t>
      </w:r>
      <w:r w:rsidRPr="0030311F">
        <w:rPr>
          <w:sz w:val="20"/>
          <w:szCs w:val="20"/>
        </w:rPr>
        <w:t> are patterns of pixel intensities, especially among neighboring pixels, after normalizing for luminance and contrast. Because the human visual system is good at perceiving structure, the SSIM quality metric agrees more closely with the subjective quality score.</w:t>
      </w:r>
    </w:p>
    <w:p w:rsidR="00791700" w:rsidRPr="0030311F" w:rsidRDefault="00791700" w:rsidP="00755F35">
      <w:pPr>
        <w:jc w:val="both"/>
        <w:rPr>
          <w:sz w:val="20"/>
          <w:szCs w:val="20"/>
        </w:rPr>
      </w:pPr>
      <w:r w:rsidRPr="0030311F">
        <w:rPr>
          <w:sz w:val="20"/>
          <w:szCs w:val="20"/>
        </w:rPr>
        <w:t>Because structural similarity is computed locally, </w:t>
      </w:r>
      <w:r w:rsidR="00B14520" w:rsidRPr="0030311F">
        <w:rPr>
          <w:sz w:val="20"/>
          <w:szCs w:val="20"/>
        </w:rPr>
        <w:t>‘</w:t>
      </w:r>
      <w:proofErr w:type="spellStart"/>
      <w:r w:rsidRPr="0030311F">
        <w:rPr>
          <w:rStyle w:val="HTMLCode"/>
          <w:rFonts w:asciiTheme="minorHAnsi" w:eastAsiaTheme="minorHAnsi" w:hAnsiTheme="minorHAnsi" w:cstheme="minorHAnsi"/>
          <w:color w:val="404040"/>
        </w:rPr>
        <w:t>ssim</w:t>
      </w:r>
      <w:proofErr w:type="spellEnd"/>
      <w:r w:rsidR="00B14520" w:rsidRPr="0030311F">
        <w:rPr>
          <w:rStyle w:val="HTMLCode"/>
          <w:rFonts w:asciiTheme="minorHAnsi" w:eastAsiaTheme="minorHAnsi" w:hAnsiTheme="minorHAnsi" w:cstheme="minorHAnsi"/>
          <w:color w:val="404040"/>
        </w:rPr>
        <w:t>’</w:t>
      </w:r>
      <w:r w:rsidRPr="0030311F">
        <w:rPr>
          <w:sz w:val="20"/>
          <w:szCs w:val="20"/>
        </w:rPr>
        <w:t> can generate a map of quality over the image.</w:t>
      </w:r>
    </w:p>
    <w:p w:rsidR="00DD1FF0" w:rsidRPr="0030311F" w:rsidRDefault="00B14520" w:rsidP="00755F35">
      <w:pPr>
        <w:jc w:val="both"/>
        <w:rPr>
          <w:rFonts w:eastAsia="Times New Roman"/>
          <w:color w:val="222222"/>
          <w:sz w:val="20"/>
          <w:szCs w:val="20"/>
        </w:rPr>
      </w:pPr>
      <w:r w:rsidRPr="0030311F">
        <w:rPr>
          <w:rFonts w:eastAsia="Times New Roman"/>
          <w:color w:val="222222"/>
          <w:sz w:val="20"/>
          <w:szCs w:val="20"/>
        </w:rPr>
        <w:t>T</w:t>
      </w:r>
      <w:r w:rsidRPr="0030311F">
        <w:rPr>
          <w:rFonts w:eastAsia="Times New Roman"/>
          <w:color w:val="222222"/>
          <w:sz w:val="20"/>
          <w:szCs w:val="20"/>
        </w:rPr>
        <w:t>he difference with respect to other techniques mentioned previously such as MSE or PSNR is that these approaches estimate </w:t>
      </w:r>
      <w:r w:rsidRPr="0030311F">
        <w:rPr>
          <w:rFonts w:eastAsia="Times New Roman"/>
          <w:i/>
          <w:iCs/>
          <w:color w:val="222222"/>
          <w:sz w:val="20"/>
          <w:szCs w:val="20"/>
        </w:rPr>
        <w:t>absolute errors</w:t>
      </w:r>
      <w:r w:rsidRPr="0030311F">
        <w:rPr>
          <w:rFonts w:eastAsia="Times New Roman"/>
          <w:color w:val="222222"/>
          <w:sz w:val="20"/>
          <w:szCs w:val="20"/>
        </w:rPr>
        <w:t>; on the other hand, SSIM is a perception-based model that considers image degradation as </w:t>
      </w:r>
      <w:r w:rsidRPr="0030311F">
        <w:rPr>
          <w:rFonts w:eastAsia="Times New Roman"/>
          <w:i/>
          <w:iCs/>
          <w:color w:val="222222"/>
          <w:sz w:val="20"/>
          <w:szCs w:val="20"/>
        </w:rPr>
        <w:t>perceived change in structural information</w:t>
      </w:r>
      <w:r w:rsidRPr="0030311F">
        <w:rPr>
          <w:rFonts w:eastAsia="Times New Roman"/>
          <w:color w:val="222222"/>
          <w:sz w:val="20"/>
          <w:szCs w:val="20"/>
        </w:rPr>
        <w:t xml:space="preserve">, while also incorporating important perceptual phenomena, including both luminance masking and contrast masking terms. Structural information is the idea that the pixels have strong inter-dependencies especially when they are spatially close. These dependencies carry </w:t>
      </w:r>
      <w:proofErr w:type="gramStart"/>
      <w:r w:rsidRPr="0030311F">
        <w:rPr>
          <w:rFonts w:eastAsia="Times New Roman"/>
          <w:color w:val="222222"/>
          <w:sz w:val="20"/>
          <w:szCs w:val="20"/>
        </w:rPr>
        <w:t>important information</w:t>
      </w:r>
      <w:proofErr w:type="gramEnd"/>
      <w:r w:rsidRPr="0030311F">
        <w:rPr>
          <w:rFonts w:eastAsia="Times New Roman"/>
          <w:color w:val="222222"/>
          <w:sz w:val="20"/>
          <w:szCs w:val="20"/>
        </w:rPr>
        <w:t xml:space="preserve"> about the structure of the objects in the visual scene. Luminance masking is a phenomenon whereby image distortions (in this context) tend to be less visible in bright regions, while contrast masking is a phenomenon whereby distortions become less visible where there is significant act</w:t>
      </w:r>
      <w:r w:rsidRPr="0030311F">
        <w:rPr>
          <w:rFonts w:eastAsia="Times New Roman"/>
          <w:color w:val="222222"/>
          <w:sz w:val="20"/>
          <w:szCs w:val="20"/>
        </w:rPr>
        <w:t>ivity or "texture" in the image.</w:t>
      </w:r>
    </w:p>
    <w:p w:rsidR="00B14520" w:rsidRDefault="00755F35" w:rsidP="00791700">
      <w:r>
        <w:rPr>
          <w:noProof/>
        </w:rPr>
        <w:drawing>
          <wp:inline distT="0" distB="0" distL="0" distR="0">
            <wp:extent cx="2782439"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_ssim_value.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1847" cy="2293729"/>
                    </a:xfrm>
                    <a:prstGeom prst="rect">
                      <a:avLst/>
                    </a:prstGeom>
                  </pic:spPr>
                </pic:pic>
              </a:graphicData>
            </a:graphic>
          </wp:inline>
        </w:drawing>
      </w:r>
      <w:r>
        <w:rPr>
          <w:noProof/>
        </w:rPr>
        <w:drawing>
          <wp:inline distT="0" distB="0" distL="0" distR="0">
            <wp:extent cx="2774089" cy="22987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ppers_ssim_value.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9868" cy="2311775"/>
                    </a:xfrm>
                    <a:prstGeom prst="rect">
                      <a:avLst/>
                    </a:prstGeom>
                  </pic:spPr>
                </pic:pic>
              </a:graphicData>
            </a:graphic>
          </wp:inline>
        </w:drawing>
      </w:r>
    </w:p>
    <w:p w:rsidR="0030311F" w:rsidRDefault="0030311F" w:rsidP="0030311F">
      <w:r>
        <w:t xml:space="preserve">                                    (a). Lena                                                                  </w:t>
      </w:r>
      <w:r w:rsidR="0048484F">
        <w:t xml:space="preserve">  (</w:t>
      </w:r>
      <w:r>
        <w:t>b). Peppers</w:t>
      </w:r>
    </w:p>
    <w:p w:rsidR="0030311F" w:rsidRDefault="0030311F" w:rsidP="0030311F">
      <w:pPr>
        <w:jc w:val="center"/>
      </w:pPr>
      <w:r>
        <w:rPr>
          <w:noProof/>
        </w:rPr>
        <w:drawing>
          <wp:inline distT="0" distB="0" distL="0" distR="0">
            <wp:extent cx="2906103" cy="2387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ldhill_ssim_value.bmp"/>
                    <pic:cNvPicPr/>
                  </pic:nvPicPr>
                  <pic:blipFill>
                    <a:blip r:embed="rId7">
                      <a:extLst>
                        <a:ext uri="{28A0092B-C50C-407E-A947-70E740481C1C}">
                          <a14:useLocalDpi xmlns:a14="http://schemas.microsoft.com/office/drawing/2010/main" val="0"/>
                        </a:ext>
                      </a:extLst>
                    </a:blip>
                    <a:stretch>
                      <a:fillRect/>
                    </a:stretch>
                  </pic:blipFill>
                  <pic:spPr>
                    <a:xfrm>
                      <a:off x="0" y="0"/>
                      <a:ext cx="2972408" cy="2442075"/>
                    </a:xfrm>
                    <a:prstGeom prst="rect">
                      <a:avLst/>
                    </a:prstGeom>
                  </pic:spPr>
                </pic:pic>
              </a:graphicData>
            </a:graphic>
          </wp:inline>
        </w:drawing>
      </w:r>
    </w:p>
    <w:p w:rsidR="0030311F" w:rsidRDefault="0048484F" w:rsidP="0048484F">
      <w:pPr>
        <w:jc w:val="center"/>
      </w:pPr>
      <w:r>
        <w:t>(c). Goldhill</w:t>
      </w:r>
      <w:bookmarkStart w:id="0" w:name="_GoBack"/>
      <w:bookmarkEnd w:id="0"/>
    </w:p>
    <w:sectPr w:rsidR="0030311F" w:rsidSect="0048484F">
      <w:pgSz w:w="12240" w:h="15840"/>
      <w:pgMar w:top="2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34501"/>
    <w:multiLevelType w:val="hybridMultilevel"/>
    <w:tmpl w:val="53287C10"/>
    <w:lvl w:ilvl="0" w:tplc="0CA0AA5E">
      <w:start w:val="1"/>
      <w:numFmt w:val="lowerLetter"/>
      <w:lvlText w:val="(%1.)"/>
      <w:lvlJc w:val="left"/>
      <w:pPr>
        <w:ind w:left="2300" w:hanging="360"/>
      </w:pPr>
      <w:rPr>
        <w:rFonts w:hint="default"/>
      </w:rPr>
    </w:lvl>
    <w:lvl w:ilvl="1" w:tplc="04090019" w:tentative="1">
      <w:start w:val="1"/>
      <w:numFmt w:val="lowerLetter"/>
      <w:lvlText w:val="%2."/>
      <w:lvlJc w:val="left"/>
      <w:pPr>
        <w:ind w:left="3020" w:hanging="360"/>
      </w:pPr>
    </w:lvl>
    <w:lvl w:ilvl="2" w:tplc="0409001B" w:tentative="1">
      <w:start w:val="1"/>
      <w:numFmt w:val="lowerRoman"/>
      <w:lvlText w:val="%3."/>
      <w:lvlJc w:val="right"/>
      <w:pPr>
        <w:ind w:left="3740" w:hanging="180"/>
      </w:pPr>
    </w:lvl>
    <w:lvl w:ilvl="3" w:tplc="0409000F" w:tentative="1">
      <w:start w:val="1"/>
      <w:numFmt w:val="decimal"/>
      <w:lvlText w:val="%4."/>
      <w:lvlJc w:val="left"/>
      <w:pPr>
        <w:ind w:left="4460" w:hanging="360"/>
      </w:pPr>
    </w:lvl>
    <w:lvl w:ilvl="4" w:tplc="04090019" w:tentative="1">
      <w:start w:val="1"/>
      <w:numFmt w:val="lowerLetter"/>
      <w:lvlText w:val="%5."/>
      <w:lvlJc w:val="left"/>
      <w:pPr>
        <w:ind w:left="5180" w:hanging="360"/>
      </w:pPr>
    </w:lvl>
    <w:lvl w:ilvl="5" w:tplc="0409001B" w:tentative="1">
      <w:start w:val="1"/>
      <w:numFmt w:val="lowerRoman"/>
      <w:lvlText w:val="%6."/>
      <w:lvlJc w:val="right"/>
      <w:pPr>
        <w:ind w:left="5900" w:hanging="180"/>
      </w:pPr>
    </w:lvl>
    <w:lvl w:ilvl="6" w:tplc="0409000F" w:tentative="1">
      <w:start w:val="1"/>
      <w:numFmt w:val="decimal"/>
      <w:lvlText w:val="%7."/>
      <w:lvlJc w:val="left"/>
      <w:pPr>
        <w:ind w:left="6620" w:hanging="360"/>
      </w:pPr>
    </w:lvl>
    <w:lvl w:ilvl="7" w:tplc="04090019" w:tentative="1">
      <w:start w:val="1"/>
      <w:numFmt w:val="lowerLetter"/>
      <w:lvlText w:val="%8."/>
      <w:lvlJc w:val="left"/>
      <w:pPr>
        <w:ind w:left="7340" w:hanging="360"/>
      </w:pPr>
    </w:lvl>
    <w:lvl w:ilvl="8" w:tplc="0409001B" w:tentative="1">
      <w:start w:val="1"/>
      <w:numFmt w:val="lowerRoman"/>
      <w:lvlText w:val="%9."/>
      <w:lvlJc w:val="right"/>
      <w:pPr>
        <w:ind w:left="80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14"/>
    <w:rsid w:val="001C292C"/>
    <w:rsid w:val="0030311F"/>
    <w:rsid w:val="003A757C"/>
    <w:rsid w:val="0048484F"/>
    <w:rsid w:val="00497A7E"/>
    <w:rsid w:val="00565049"/>
    <w:rsid w:val="006D40CE"/>
    <w:rsid w:val="00755F35"/>
    <w:rsid w:val="00791700"/>
    <w:rsid w:val="00B14520"/>
    <w:rsid w:val="00CC2397"/>
    <w:rsid w:val="00D24911"/>
    <w:rsid w:val="00DD1FF0"/>
    <w:rsid w:val="00E72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61DC"/>
  <w15:chartTrackingRefBased/>
  <w15:docId w15:val="{3C7B9A30-4329-4C44-8A74-58B5AF03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17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1700"/>
    <w:rPr>
      <w:i/>
      <w:iCs/>
    </w:rPr>
  </w:style>
  <w:style w:type="character" w:styleId="HTMLCode">
    <w:name w:val="HTML Code"/>
    <w:basedOn w:val="DefaultParagraphFont"/>
    <w:uiPriority w:val="99"/>
    <w:semiHidden/>
    <w:unhideWhenUsed/>
    <w:rsid w:val="00791700"/>
    <w:rPr>
      <w:rFonts w:ascii="Courier New" w:eastAsia="Times New Roman" w:hAnsi="Courier New" w:cs="Courier New"/>
      <w:sz w:val="20"/>
      <w:szCs w:val="20"/>
    </w:rPr>
  </w:style>
  <w:style w:type="paragraph" w:styleId="ListParagraph">
    <w:name w:val="List Paragraph"/>
    <w:basedOn w:val="Normal"/>
    <w:uiPriority w:val="34"/>
    <w:qFormat/>
    <w:rsid w:val="00303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66765">
      <w:bodyDiv w:val="1"/>
      <w:marLeft w:val="0"/>
      <w:marRight w:val="0"/>
      <w:marTop w:val="0"/>
      <w:marBottom w:val="0"/>
      <w:divBdr>
        <w:top w:val="none" w:sz="0" w:space="0" w:color="auto"/>
        <w:left w:val="none" w:sz="0" w:space="0" w:color="auto"/>
        <w:bottom w:val="none" w:sz="0" w:space="0" w:color="auto"/>
        <w:right w:val="none" w:sz="0" w:space="0" w:color="auto"/>
      </w:divBdr>
    </w:div>
    <w:div w:id="157026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Mihir</dc:creator>
  <cp:keywords/>
  <dc:description/>
  <cp:lastModifiedBy>Shah, Mihir</cp:lastModifiedBy>
  <cp:revision>1</cp:revision>
  <dcterms:created xsi:type="dcterms:W3CDTF">2017-11-08T07:44:00Z</dcterms:created>
  <dcterms:modified xsi:type="dcterms:W3CDTF">2017-11-08T19:21:00Z</dcterms:modified>
</cp:coreProperties>
</file>