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3"/>
      </w:pPr>
      <w:r>
        <w:t>Where B1 comes from, and how it is compared with our agent</w:t>
      </w:r>
    </w:p>
    <w:p>
      <w:r>
        <w:rPr>
          <w:b/>
        </w:rPr>
        <w:t>Who decided it: your project plan.</w:t>
      </w:r>
      <w:r>
        <w:t xml:space="preserve"> B1 was defined in the project plan, before any code was written, in </w:t>
      </w:r>
      <w:r>
        <w:rPr>
          <w:rFonts w:ascii="Consolas" w:hAnsi="Consolas"/>
          <w:sz w:val="20"/>
        </w:rPr>
        <w:t>docs\PROJECT_PLAN.md</w:t>
      </w:r>
      <w:r>
        <w:t>:</w:t>
      </w:r>
    </w:p>
    <w:p>
      <w:pPr>
        <w:pStyle w:val="ListBullet"/>
      </w:pPr>
      <w:r>
        <w:rPr>
          <w:b/>
        </w:rPr>
        <w:t>Line 251:</w:t>
      </w:r>
      <w:r>
        <w:t xml:space="preserve"> "B1 = Generic LLM pipeline with a fixed prompt and procedure … receives supported labels/schema … no project-specific search."</w:t>
      </w:r>
    </w:p>
    <w:p>
      <w:pPr>
        <w:pStyle w:val="ListBullet"/>
      </w:pPr>
      <w:r>
        <w:rPr>
          <w:b/>
        </w:rPr>
        <w:t>Line 411:</w:t>
      </w:r>
      <w:r>
        <w:t xml:space="preserve"> "B1 is fixed to one predeclared configuration (joint single call, fixed examples, LLM label)."</w:t>
      </w:r>
    </w:p>
    <w:p>
      <w:r>
        <w:t xml:space="preserve">"Predeclared" means it was chosen </w:t>
      </w:r>
      <w:r>
        <w:rPr>
          <w:b/>
        </w:rPr>
        <w:t>in advance, before any results were seen</w:t>
      </w:r>
      <w:r>
        <w:t>, so it could not be picked to make the agent look good.</w:t>
      </w:r>
    </w:p>
    <w:p>
      <w:r>
        <w:rPr>
          <w:b/>
        </w:rPr>
        <w:t>Where it is in the code.</w:t>
      </w:r>
      <w:r>
        <w:t xml:space="preserve"> That line of the plan became one line in </w:t>
      </w:r>
      <w:r>
        <w:rPr>
          <w:rFonts w:ascii="Consolas" w:hAnsi="Consolas"/>
          <w:sz w:val="20"/>
        </w:rPr>
        <w:t>src\pipelines\catalogue.py</w:t>
      </w:r>
      <w:r>
        <w:t xml:space="preserve"> (line 39):</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B1_CONFIG_ID = "joint-fixed-llm"</w:t>
            </w:r>
          </w:p>
        </w:tc>
      </w:tr>
    </w:tbl>
    <w:p>
      <w:pPr>
        <w:spacing w:after="0"/>
      </w:pPr>
    </w:p>
    <w:p>
      <w:r>
        <w:t xml:space="preserve">It simply names one of the 12 designs: </w:t>
      </w:r>
      <w:r>
        <w:rPr>
          <w:b/>
        </w:rPr>
        <w:t>joint</w:t>
      </w:r>
      <w:r>
        <w:t xml:space="preserve"> (one AI call), </w:t>
      </w:r>
      <w:r>
        <w:rPr>
          <w:b/>
        </w:rPr>
        <w:t>fixed</w:t>
      </w:r>
      <w:r>
        <w:t xml:space="preserve"> (the same one example per intent every time) and </w:t>
      </w:r>
      <w:r>
        <w:rPr>
          <w:b/>
        </w:rPr>
        <w:t>llm</w:t>
      </w:r>
      <w:r>
        <w:t xml:space="preserve"> (the model itself may answer none_of_the_above). It is the plainest combination of the three choices. The prompt wording comes from the </w:t>
      </w:r>
      <w:r>
        <w:rPr>
          <w:rFonts w:ascii="Consolas" w:hAnsi="Consolas"/>
          <w:sz w:val="20"/>
        </w:rPr>
        <w:t>render_prompt</w:t>
      </w:r>
      <w:r>
        <w:t xml:space="preserve"> function in the same file; </w:t>
      </w:r>
      <w:r>
        <w:rPr>
          <w:b/>
        </w:rPr>
        <w:t>all 12 designs share that template</w:t>
      </w:r>
      <w:r>
        <w:t>, and B1 is its simplest setting.</w:t>
      </w:r>
    </w:p>
    <w:p>
      <w:r>
        <w:rPr>
          <w:b/>
        </w:rPr>
        <w:t>What "generic" means here.</w:t>
      </w:r>
      <w:r>
        <w:t xml:space="preserve"> Not a famous prompt from somewhere else. It means one fixed design, used the same way on every project (P1, P2, or any new one), with no project-specific decisions.</w:t>
      </w:r>
    </w:p>
    <w:tbl>
      <w:tblPr>
        <w:tblStyle w:val="TableGrid"/>
        <w:tblW w:type="auto" w:w="0"/>
        <w:jc w:val="center"/>
        <w:tblLook w:firstColumn="1" w:firstRow="1" w:lastColumn="0" w:lastRow="0" w:noHBand="0" w:noVBand="1" w:val="04A0"/>
      </w:tblPr>
      <w:tblGrid>
        <w:gridCol w:w="3249"/>
        <w:gridCol w:w="3249"/>
        <w:gridCol w:w="3249"/>
      </w:tblGrid>
      <w:tr>
        <w:tc>
          <w:tcPr>
            <w:tcW w:type="dxa" w:w="4195"/>
            <w:shd w:val="clear" w:color="auto" w:fill="DBEAFE"/>
          </w:tcPr>
          <w:p>
            <w:r/>
            <w:r>
              <w:rPr>
                <w:b/>
                <w:sz w:val="19"/>
              </w:rPr>
            </w:r>
          </w:p>
        </w:tc>
        <w:tc>
          <w:tcPr>
            <w:tcW w:type="dxa" w:w="2608"/>
            <w:shd w:val="clear" w:color="auto" w:fill="DBEAFE"/>
          </w:tcPr>
          <w:p>
            <w:r/>
            <w:r>
              <w:rPr>
                <w:b/>
                <w:sz w:val="19"/>
              </w:rPr>
              <w:t>B1 gets it?</w:t>
            </w:r>
          </w:p>
        </w:tc>
        <w:tc>
          <w:tcPr>
            <w:tcW w:type="dxa" w:w="2608"/>
            <w:shd w:val="clear" w:color="auto" w:fill="DBEAFE"/>
          </w:tcPr>
          <w:p>
            <w:r/>
            <w:r>
              <w:rPr>
                <w:b/>
                <w:sz w:val="19"/>
              </w:rPr>
              <w:t>Our agent gets it?</w:t>
            </w:r>
          </w:p>
        </w:tc>
      </w:tr>
      <w:tr>
        <w:tc>
          <w:tcPr>
            <w:tcW w:type="dxa" w:w="4195"/>
          </w:tcPr>
          <w:p>
            <w:r/>
            <w:r>
              <w:rPr>
                <w:sz w:val="19"/>
              </w:rPr>
              <w:t>The project's list of intents and fields</w:t>
            </w:r>
          </w:p>
        </w:tc>
        <w:tc>
          <w:tcPr>
            <w:tcW w:type="dxa" w:w="2608"/>
          </w:tcPr>
          <w:p>
            <w:r/>
            <w:r>
              <w:rPr>
                <w:sz w:val="19"/>
              </w:rPr>
              <w:t>yes</w:t>
            </w:r>
          </w:p>
        </w:tc>
        <w:tc>
          <w:tcPr>
            <w:tcW w:type="dxa" w:w="2608"/>
          </w:tcPr>
          <w:p>
            <w:r/>
            <w:r>
              <w:rPr>
                <w:sz w:val="19"/>
              </w:rPr>
              <w:t>yes</w:t>
            </w:r>
          </w:p>
        </w:tc>
      </w:tr>
      <w:tr>
        <w:tc>
          <w:tcPr>
            <w:tcW w:type="dxa" w:w="4195"/>
          </w:tcPr>
          <w:p>
            <w:r/>
            <w:r>
              <w:rPr>
                <w:sz w:val="19"/>
              </w:rPr>
              <w:t>10 labelled examples per intent</w:t>
            </w:r>
          </w:p>
        </w:tc>
        <w:tc>
          <w:tcPr>
            <w:tcW w:type="dxa" w:w="2608"/>
          </w:tcPr>
          <w:p>
            <w:r/>
            <w:r>
              <w:rPr>
                <w:sz w:val="19"/>
              </w:rPr>
              <w:t>yes (shows 1 per intent)</w:t>
            </w:r>
          </w:p>
        </w:tc>
        <w:tc>
          <w:tcPr>
            <w:tcW w:type="dxa" w:w="2608"/>
          </w:tcPr>
          <w:p>
            <w:r/>
            <w:r>
              <w:rPr>
                <w:sz w:val="19"/>
              </w:rPr>
              <w:t>yes</w:t>
            </w:r>
          </w:p>
        </w:tc>
      </w:tr>
      <w:tr>
        <w:tc>
          <w:tcPr>
            <w:tcW w:type="dxa" w:w="4195"/>
          </w:tcPr>
          <w:p>
            <w:r/>
            <w:r>
              <w:rPr>
                <w:sz w:val="19"/>
              </w:rPr>
              <w:t>The same AI model and the same 100 test requests</w:t>
            </w:r>
          </w:p>
        </w:tc>
        <w:tc>
          <w:tcPr>
            <w:tcW w:type="dxa" w:w="2608"/>
          </w:tcPr>
          <w:p>
            <w:r/>
            <w:r>
              <w:rPr>
                <w:sz w:val="19"/>
              </w:rPr>
              <w:t>yes</w:t>
            </w:r>
          </w:p>
        </w:tc>
        <w:tc>
          <w:tcPr>
            <w:tcW w:type="dxa" w:w="2608"/>
          </w:tcPr>
          <w:p>
            <w:r/>
            <w:r>
              <w:rPr>
                <w:sz w:val="19"/>
              </w:rPr>
              <w:t>yes</w:t>
            </w:r>
          </w:p>
        </w:tc>
      </w:tr>
      <w:tr>
        <w:tc>
          <w:tcPr>
            <w:tcW w:type="dxa" w:w="4195"/>
          </w:tcPr>
          <w:p>
            <w:r/>
            <w:r>
              <w:rPr>
                <w:sz w:val="19"/>
              </w:rPr>
              <w:t>Descriptions written by the Analyzer</w:t>
            </w:r>
          </w:p>
        </w:tc>
        <w:tc>
          <w:tcPr>
            <w:tcW w:type="dxa" w:w="2608"/>
          </w:tcPr>
          <w:p>
            <w:r/>
            <w:r>
              <w:rPr>
                <w:sz w:val="19"/>
              </w:rPr>
              <w:t>no</w:t>
            </w:r>
          </w:p>
        </w:tc>
        <w:tc>
          <w:tcPr>
            <w:tcW w:type="dxa" w:w="2608"/>
          </w:tcPr>
          <w:p>
            <w:r/>
            <w:r>
              <w:rPr>
                <w:sz w:val="19"/>
              </w:rPr>
              <w:t>yes</w:t>
            </w:r>
          </w:p>
        </w:tc>
      </w:tr>
      <w:tr>
        <w:tc>
          <w:tcPr>
            <w:tcW w:type="dxa" w:w="4195"/>
          </w:tcPr>
          <w:p>
            <w:r/>
            <w:r>
              <w:rPr>
                <w:sz w:val="19"/>
              </w:rPr>
              <w:t>Choosing between the 12 designs</w:t>
            </w:r>
          </w:p>
        </w:tc>
        <w:tc>
          <w:tcPr>
            <w:tcW w:type="dxa" w:w="2608"/>
          </w:tcPr>
          <w:p>
            <w:r/>
            <w:r>
              <w:rPr>
                <w:sz w:val="19"/>
              </w:rPr>
              <w:t>no: always joint-fixed-llm</w:t>
            </w:r>
          </w:p>
        </w:tc>
        <w:tc>
          <w:tcPr>
            <w:tcW w:type="dxa" w:w="2608"/>
          </w:tcPr>
          <w:p>
            <w:r/>
            <w:r>
              <w:rPr>
                <w:sz w:val="19"/>
              </w:rPr>
              <w:t>yes: ranks, tests, revises</w:t>
            </w:r>
          </w:p>
        </w:tc>
      </w:tr>
      <w:tr>
        <w:tc>
          <w:tcPr>
            <w:tcW w:type="dxa" w:w="4195"/>
          </w:tcPr>
          <w:p>
            <w:r/>
            <w:r>
              <w:rPr>
                <w:sz w:val="19"/>
              </w:rPr>
              <w:t>Testing designs and keeping the best</w:t>
            </w:r>
          </w:p>
        </w:tc>
        <w:tc>
          <w:tcPr>
            <w:tcW w:type="dxa" w:w="2608"/>
          </w:tcPr>
          <w:p>
            <w:r/>
            <w:r>
              <w:rPr>
                <w:sz w:val="19"/>
              </w:rPr>
              <w:t>no</w:t>
            </w:r>
          </w:p>
        </w:tc>
        <w:tc>
          <w:tcPr>
            <w:tcW w:type="dxa" w:w="2608"/>
          </w:tcPr>
          <w:p>
            <w:r/>
            <w:r>
              <w:rPr>
                <w:sz w:val="19"/>
              </w:rPr>
              <w:t>yes</w:t>
            </w:r>
          </w:p>
        </w:tc>
      </w:tr>
    </w:tbl>
    <w:p/>
    <w:p>
      <w:r>
        <w:rPr>
          <w:b/>
        </w:rPr>
        <w:t>An example: a hospital project.</w:t>
      </w:r>
      <w:r>
        <w:t xml:space="preserve"> Say the app is a hospital assistant with intents such as book_appointment, cancel_appointment and check_bed_availability. B1 would always use the same template, filled in with the hospital's intents and one example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Label this request for a hospital assistant.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Allowed intents:</w:t>
            </w:r>
          </w:p>
          <w:p>
            <w:pPr>
              <w:spacing w:after="0"/>
            </w:pPr>
            <w:r>
              <w:rPr>
                <w:rFonts w:ascii="Consolas" w:hAnsi="Consolas"/>
                <w:color w:val="F8FAFC"/>
                <w:sz w:val="19"/>
              </w:rPr>
              <w:t>- book_appointment</w:t>
            </w:r>
          </w:p>
          <w:p>
            <w:pPr>
              <w:spacing w:after="0"/>
            </w:pPr>
            <w:r>
              <w:rPr>
                <w:rFonts w:ascii="Consolas" w:hAnsi="Consolas"/>
                <w:color w:val="F8FAFC"/>
                <w:sz w:val="19"/>
              </w:rPr>
              <w:t>- cancel_appointment</w:t>
            </w:r>
          </w:p>
          <w:p>
            <w:pPr>
              <w:spacing w:after="0"/>
            </w:pPr>
            <w:r>
              <w:rPr>
                <w:rFonts w:ascii="Consolas" w:hAnsi="Consolas"/>
                <w:color w:val="F8FAFC"/>
                <w:sz w:val="19"/>
              </w:rPr>
              <w:t>- check_bed_availability</w:t>
            </w:r>
          </w:p>
          <w:p>
            <w:pPr>
              <w:spacing w:after="0"/>
            </w:pPr>
            <w:r>
              <w:rPr>
                <w:rFonts w:ascii="Consolas" w:hAnsi="Consolas"/>
                <w:color w:val="F8FAFC"/>
                <w:sz w:val="19"/>
              </w:rPr>
              <w:t>- none_of_the_above  (use this if the request is about anything else)</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I want to see a cardiologist on Monday</w:t>
            </w:r>
          </w:p>
          <w:p>
            <w:pPr>
              <w:spacing w:after="0"/>
            </w:pPr>
            <w:r>
              <w:rPr>
                <w:rFonts w:ascii="Consolas" w:hAnsi="Consolas"/>
                <w:color w:val="F8FAFC"/>
                <w:sz w:val="19"/>
              </w:rPr>
              <w:t>Answer: {"intent": "book_appointment"}</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Request: &lt;the patient's request&gt;</w:t>
            </w:r>
          </w:p>
          <w:p>
            <w:pPr>
              <w:spacing w:after="0"/>
            </w:pPr>
            <w:r>
              <w:rPr>
                <w:rFonts w:ascii="Consolas" w:hAnsi="Consolas"/>
                <w:color w:val="F8FAFC"/>
                <w:sz w:val="19"/>
              </w:rPr>
              <w:t>Answer:</w:t>
            </w:r>
          </w:p>
        </w:tc>
      </w:tr>
    </w:tbl>
    <w:p>
      <w:pPr>
        <w:spacing w:after="0"/>
      </w:pPr>
    </w:p>
    <w:p>
      <w:r>
        <w:t>Our agent would read the hospital's description, write a description of every intent and field, and might decide that patients phrase things in many ways, so the most similar examples and written descriptions help (schema-sim-llm). Then it tests that choice before keeping it. Both would then be scored on the same labelled hospital requests. For a new project you need the same ingredients we took from MASSIVE: a short description, the intents and fields, about 10 labelled examples per intent, and labelled test requests kept aside.</w:t>
      </w:r>
    </w:p>
    <w:p>
      <w:r>
        <w:rPr>
          <w:b/>
        </w:rPr>
        <w:t>How the comparison actually runs.</w:t>
      </w:r>
      <w:r>
        <w:t xml:space="preserve"> The script </w:t>
      </w:r>
      <w:r>
        <w:rPr>
          <w:rFonts w:ascii="Consolas" w:hAnsi="Consolas"/>
          <w:sz w:val="20"/>
        </w:rPr>
        <w:t>scripts\run_design.py</w:t>
      </w:r>
      <w:r>
        <w:t xml:space="preserve"> does both, one after the other, for each project:</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DBEAFE"/>
          </w:tcPr>
          <w:p>
            <w:r/>
            <w:r>
              <w:rPr>
                <w:b/>
                <w:sz w:val="18"/>
              </w:rPr>
              <w:t>Step</w:t>
            </w:r>
          </w:p>
        </w:tc>
        <w:tc>
          <w:tcPr>
            <w:tcW w:type="dxa" w:w="4025"/>
            <w:shd w:val="clear" w:color="auto" w:fill="DBEAFE"/>
          </w:tcPr>
          <w:p>
            <w:r/>
            <w:r>
              <w:rPr>
                <w:b/>
                <w:sz w:val="18"/>
              </w:rPr>
              <w:t>B1 (from line 137 of run_design.py)</w:t>
            </w:r>
          </w:p>
        </w:tc>
        <w:tc>
          <w:tcPr>
            <w:tcW w:type="dxa" w:w="4025"/>
            <w:shd w:val="clear" w:color="auto" w:fill="DBEAFE"/>
          </w:tcPr>
          <w:p>
            <w:r/>
            <w:r>
              <w:rPr>
                <w:b/>
                <w:sz w:val="18"/>
              </w:rPr>
              <w:t>Our agent (A1 / A2)</w:t>
            </w:r>
          </w:p>
        </w:tc>
      </w:tr>
      <w:tr>
        <w:tc>
          <w:tcPr>
            <w:tcW w:type="dxa" w:w="1361"/>
          </w:tcPr>
          <w:p>
            <w:r/>
            <w:r>
              <w:rPr>
                <w:sz w:val="18"/>
              </w:rPr>
              <w:t>Design</w:t>
            </w:r>
          </w:p>
        </w:tc>
        <w:tc>
          <w:tcPr>
            <w:tcW w:type="dxa" w:w="4025"/>
          </w:tcPr>
          <w:p>
            <w:r/>
            <w:r>
              <w:rPr>
                <w:sz w:val="18"/>
              </w:rPr>
              <w:t>takes joint-fixed-llm, always</w:t>
            </w:r>
          </w:p>
        </w:tc>
        <w:tc>
          <w:tcPr>
            <w:tcW w:type="dxa" w:w="4025"/>
          </w:tcPr>
          <w:p>
            <w:r/>
            <w:r>
              <w:rPr>
                <w:sz w:val="18"/>
              </w:rPr>
              <w:t>analyses the project and chooses a design</w:t>
            </w:r>
          </w:p>
        </w:tc>
      </w:tr>
      <w:tr>
        <w:tc>
          <w:tcPr>
            <w:tcW w:type="dxa" w:w="1361"/>
          </w:tcPr>
          <w:p>
            <w:r/>
            <w:r>
              <w:rPr>
                <w:sz w:val="18"/>
              </w:rPr>
              <w:t>Requests</w:t>
            </w:r>
          </w:p>
        </w:tc>
        <w:tc>
          <w:tcPr>
            <w:tcW w:type="dxa" w:w="4025"/>
          </w:tcPr>
          <w:p>
            <w:r/>
            <w:r>
              <w:rPr>
                <w:sz w:val="18"/>
              </w:rPr>
              <w:t>the same 100, from data\processed\P1\dev.jsonl</w:t>
            </w:r>
          </w:p>
        </w:tc>
        <w:tc>
          <w:tcPr>
            <w:tcW w:type="dxa" w:w="4025"/>
          </w:tcPr>
          <w:p>
            <w:r/>
            <w:r>
              <w:rPr>
                <w:sz w:val="18"/>
              </w:rPr>
              <w:t>the same 100</w:t>
            </w:r>
          </w:p>
        </w:tc>
      </w:tr>
      <w:tr>
        <w:tc>
          <w:tcPr>
            <w:tcW w:type="dxa" w:w="1361"/>
          </w:tcPr>
          <w:p>
            <w:r/>
            <w:r>
              <w:rPr>
                <w:sz w:val="18"/>
              </w:rPr>
              <w:t>AI model</w:t>
            </w:r>
          </w:p>
        </w:tc>
        <w:tc>
          <w:tcPr>
            <w:tcW w:type="dxa" w:w="4025"/>
          </w:tcPr>
          <w:p>
            <w:r/>
            <w:r>
              <w:rPr>
                <w:sz w:val="18"/>
              </w:rPr>
              <w:t>qwen2.5:3b</w:t>
            </w:r>
          </w:p>
        </w:tc>
        <w:tc>
          <w:tcPr>
            <w:tcW w:type="dxa" w:w="4025"/>
          </w:tcPr>
          <w:p>
            <w:r/>
            <w:r>
              <w:rPr>
                <w:sz w:val="18"/>
              </w:rPr>
              <w:t>qwen2.5:3b</w:t>
            </w:r>
          </w:p>
        </w:tc>
      </w:tr>
      <w:tr>
        <w:tc>
          <w:tcPr>
            <w:tcW w:type="dxa" w:w="1361"/>
          </w:tcPr>
          <w:p>
            <w:r/>
            <w:r>
              <w:rPr>
                <w:sz w:val="18"/>
              </w:rPr>
              <w:t>Scoring</w:t>
            </w:r>
          </w:p>
        </w:tc>
        <w:tc>
          <w:tcPr>
            <w:tcW w:type="dxa" w:w="4025"/>
          </w:tcPr>
          <w:p>
            <w:r/>
            <w:r>
              <w:rPr>
                <w:sz w:val="18"/>
              </w:rPr>
              <w:t>the same score() function</w:t>
            </w:r>
          </w:p>
        </w:tc>
        <w:tc>
          <w:tcPr>
            <w:tcW w:type="dxa" w:w="4025"/>
          </w:tcPr>
          <w:p>
            <w:r/>
            <w:r>
              <w:rPr>
                <w:sz w:val="18"/>
              </w:rPr>
              <w:t>the same score() function</w:t>
            </w:r>
          </w:p>
        </w:tc>
      </w:tr>
      <w:tr>
        <w:tc>
          <w:tcPr>
            <w:tcW w:type="dxa" w:w="1361"/>
          </w:tcPr>
          <w:p>
            <w:r/>
            <w:r>
              <w:rPr>
                <w:sz w:val="18"/>
              </w:rPr>
              <w:t>Saved in</w:t>
            </w:r>
          </w:p>
        </w:tc>
        <w:tc>
          <w:tcPr>
            <w:tcW w:type="dxa" w:w="4025"/>
          </w:tcPr>
          <w:p>
            <w:r/>
            <w:r>
              <w:rPr>
                <w:sz w:val="18"/>
              </w:rPr>
              <w:t>runs\20261013_0110_P1_B1_0</w:t>
            </w:r>
          </w:p>
        </w:tc>
        <w:tc>
          <w:tcPr>
            <w:tcW w:type="dxa" w:w="4025"/>
          </w:tcPr>
          <w:p>
            <w:r/>
            <w:r>
              <w:rPr>
                <w:sz w:val="18"/>
              </w:rPr>
              <w:t>runs\20261024_1654_P1_A1-selected_0 and ...A2-selected_0</w:t>
            </w:r>
          </w:p>
        </w:tc>
      </w:tr>
    </w:tbl>
    <w:p/>
    <w:p>
      <w:r>
        <w:rPr>
          <w:b/>
        </w:rPr>
        <w:t>The rule, also fixed in advance</w:t>
      </w:r>
      <w:r>
        <w:t xml:space="preserve"> (</w:t>
      </w:r>
      <w:r>
        <w:rPr>
          <w:rFonts w:ascii="Consolas" w:hAnsi="Consolas"/>
          <w:sz w:val="20"/>
        </w:rPr>
        <w:t>docs\PROJECT_PLAN.md</w:t>
      </w:r>
      <w:r>
        <w:t xml:space="preserve"> line 389): the agent counts as better than B1 only if (1) it gains </w:t>
      </w:r>
      <w:r>
        <w:rPr>
          <w:b/>
        </w:rPr>
        <w:t>at least +2.0 points</w:t>
      </w:r>
      <w:r>
        <w:t xml:space="preserve"> of intent F1, (2) it loses </w:t>
      </w:r>
      <w:r>
        <w:rPr>
          <w:b/>
        </w:rPr>
        <w:t>no more than 2.0 points</w:t>
      </w:r>
      <w:r>
        <w:t xml:space="preserve"> of entity F1, (3) at least 98% of its replies are valid, and (4) it is no more than twice as slow as B1.</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BEAFE"/>
          </w:tcPr>
          <w:p>
            <w:r/>
            <w:r>
              <w:rPr>
                <w:b/>
                <w:sz w:val="18"/>
              </w:rPr>
              <w:t>System</w:t>
            </w:r>
          </w:p>
        </w:tc>
        <w:tc>
          <w:tcPr>
            <w:tcW w:type="dxa" w:w="907"/>
            <w:shd w:val="clear" w:color="auto" w:fill="DBEAFE"/>
          </w:tcPr>
          <w:p>
            <w:r/>
            <w:r>
              <w:rPr>
                <w:b/>
                <w:sz w:val="18"/>
              </w:rPr>
              <w:t>Project</w:t>
            </w:r>
          </w:p>
        </w:tc>
        <w:tc>
          <w:tcPr>
            <w:tcW w:type="dxa" w:w="2494"/>
            <w:shd w:val="clear" w:color="auto" w:fill="DBEAFE"/>
          </w:tcPr>
          <w:p>
            <w:r/>
            <w:r>
              <w:rPr>
                <w:b/>
                <w:sz w:val="18"/>
              </w:rPr>
              <w:t>Intent change (needs +2.0 or more)</w:t>
            </w:r>
          </w:p>
        </w:tc>
        <w:tc>
          <w:tcPr>
            <w:tcW w:type="dxa" w:w="2494"/>
            <w:shd w:val="clear" w:color="auto" w:fill="DBEAFE"/>
          </w:tcPr>
          <w:p>
            <w:r/>
            <w:r>
              <w:rPr>
                <w:b/>
                <w:sz w:val="18"/>
              </w:rPr>
              <w:t>Entity change (needs -2.0 or better)</w:t>
            </w:r>
          </w:p>
        </w:tc>
        <w:tc>
          <w:tcPr>
            <w:tcW w:type="dxa" w:w="2608"/>
            <w:shd w:val="clear" w:color="auto" w:fill="DBEAFE"/>
          </w:tcPr>
          <w:p>
            <w:r/>
            <w:r>
              <w:rPr>
                <w:b/>
                <w:sz w:val="18"/>
              </w:rPr>
              <w:t>Passes?</w:t>
            </w:r>
          </w:p>
        </w:tc>
      </w:tr>
      <w:tr>
        <w:tc>
          <w:tcPr>
            <w:tcW w:type="dxa" w:w="907"/>
          </w:tcPr>
          <w:p>
            <w:r/>
            <w:r>
              <w:rPr>
                <w:sz w:val="18"/>
              </w:rPr>
              <w:t>A1</w:t>
            </w:r>
          </w:p>
        </w:tc>
        <w:tc>
          <w:tcPr>
            <w:tcW w:type="dxa" w:w="907"/>
          </w:tcPr>
          <w:p>
            <w:r/>
            <w:r>
              <w:rPr>
                <w:sz w:val="18"/>
              </w:rPr>
              <w:t>P1</w:t>
            </w:r>
          </w:p>
        </w:tc>
        <w:tc>
          <w:tcPr>
            <w:tcW w:type="dxa" w:w="2494"/>
          </w:tcPr>
          <w:p>
            <w:r/>
            <w:r>
              <w:rPr>
                <w:sz w:val="18"/>
              </w:rPr>
              <w:t>+3.2</w:t>
            </w:r>
          </w:p>
        </w:tc>
        <w:tc>
          <w:tcPr>
            <w:tcW w:type="dxa" w:w="2494"/>
          </w:tcPr>
          <w:p>
            <w:r/>
            <w:r>
              <w:rPr>
                <w:sz w:val="18"/>
              </w:rPr>
              <w:t>-1.3</w:t>
            </w:r>
          </w:p>
        </w:tc>
        <w:tc>
          <w:tcPr>
            <w:tcW w:type="dxa" w:w="2608"/>
          </w:tcPr>
          <w:p>
            <w:r/>
            <w:r>
              <w:rPr>
                <w:sz w:val="18"/>
              </w:rPr>
              <w:t>yes</w:t>
            </w:r>
          </w:p>
        </w:tc>
      </w:tr>
      <w:tr>
        <w:tc>
          <w:tcPr>
            <w:tcW w:type="dxa" w:w="907"/>
          </w:tcPr>
          <w:p>
            <w:r/>
            <w:r>
              <w:rPr>
                <w:sz w:val="18"/>
              </w:rPr>
              <w:t>A1</w:t>
            </w:r>
          </w:p>
        </w:tc>
        <w:tc>
          <w:tcPr>
            <w:tcW w:type="dxa" w:w="907"/>
          </w:tcPr>
          <w:p>
            <w:r/>
            <w:r>
              <w:rPr>
                <w:sz w:val="18"/>
              </w:rPr>
              <w:t>P2</w:t>
            </w:r>
          </w:p>
        </w:tc>
        <w:tc>
          <w:tcPr>
            <w:tcW w:type="dxa" w:w="2494"/>
          </w:tcPr>
          <w:p>
            <w:r/>
            <w:r>
              <w:rPr>
                <w:sz w:val="18"/>
              </w:rPr>
              <w:t>+3.8</w:t>
            </w:r>
          </w:p>
        </w:tc>
        <w:tc>
          <w:tcPr>
            <w:tcW w:type="dxa" w:w="2494"/>
          </w:tcPr>
          <w:p>
            <w:r/>
            <w:r>
              <w:rPr>
                <w:b/>
                <w:sz w:val="18"/>
              </w:rPr>
              <w:t>-8.6</w:t>
            </w:r>
          </w:p>
        </w:tc>
        <w:tc>
          <w:tcPr>
            <w:tcW w:type="dxa" w:w="2608"/>
          </w:tcPr>
          <w:p>
            <w:r/>
            <w:r>
              <w:rPr>
                <w:b/>
                <w:sz w:val="18"/>
              </w:rPr>
              <w:t>no</w:t>
            </w:r>
            <w:r>
              <w:rPr>
                <w:sz w:val="18"/>
              </w:rPr>
              <w:t>: its entity extraction drops too much</w:t>
            </w:r>
          </w:p>
        </w:tc>
      </w:tr>
      <w:tr>
        <w:tc>
          <w:tcPr>
            <w:tcW w:type="dxa" w:w="907"/>
          </w:tcPr>
          <w:p>
            <w:r/>
            <w:r>
              <w:rPr>
                <w:sz w:val="18"/>
              </w:rPr>
              <w:t>A2</w:t>
            </w:r>
          </w:p>
        </w:tc>
        <w:tc>
          <w:tcPr>
            <w:tcW w:type="dxa" w:w="907"/>
          </w:tcPr>
          <w:p>
            <w:r/>
            <w:r>
              <w:rPr>
                <w:sz w:val="18"/>
              </w:rPr>
              <w:t>P1</w:t>
            </w:r>
          </w:p>
        </w:tc>
        <w:tc>
          <w:tcPr>
            <w:tcW w:type="dxa" w:w="2494"/>
          </w:tcPr>
          <w:p>
            <w:r/>
            <w:r>
              <w:rPr>
                <w:sz w:val="18"/>
              </w:rPr>
              <w:t>+4.8</w:t>
            </w:r>
          </w:p>
        </w:tc>
        <w:tc>
          <w:tcPr>
            <w:tcW w:type="dxa" w:w="2494"/>
          </w:tcPr>
          <w:p>
            <w:r/>
            <w:r>
              <w:rPr>
                <w:sz w:val="18"/>
              </w:rPr>
              <w:t>+9.7</w:t>
            </w:r>
          </w:p>
        </w:tc>
        <w:tc>
          <w:tcPr>
            <w:tcW w:type="dxa" w:w="2608"/>
          </w:tcPr>
          <w:p>
            <w:r/>
            <w:r>
              <w:rPr>
                <w:sz w:val="18"/>
              </w:rPr>
              <w:t>yes</w:t>
            </w:r>
          </w:p>
        </w:tc>
      </w:tr>
      <w:tr>
        <w:tc>
          <w:tcPr>
            <w:tcW w:type="dxa" w:w="907"/>
          </w:tcPr>
          <w:p>
            <w:r/>
            <w:r>
              <w:rPr>
                <w:sz w:val="18"/>
              </w:rPr>
              <w:t>A2</w:t>
            </w:r>
          </w:p>
        </w:tc>
        <w:tc>
          <w:tcPr>
            <w:tcW w:type="dxa" w:w="907"/>
          </w:tcPr>
          <w:p>
            <w:r/>
            <w:r>
              <w:rPr>
                <w:sz w:val="18"/>
              </w:rPr>
              <w:t>P2</w:t>
            </w:r>
          </w:p>
        </w:tc>
        <w:tc>
          <w:tcPr>
            <w:tcW w:type="dxa" w:w="2494"/>
          </w:tcPr>
          <w:p>
            <w:r/>
            <w:r>
              <w:rPr>
                <w:sz w:val="18"/>
              </w:rPr>
              <w:t>+9.4</w:t>
            </w:r>
          </w:p>
        </w:tc>
        <w:tc>
          <w:tcPr>
            <w:tcW w:type="dxa" w:w="2494"/>
          </w:tcPr>
          <w:p>
            <w:r/>
            <w:r>
              <w:rPr>
                <w:sz w:val="18"/>
              </w:rPr>
              <w:t>+3.3</w:t>
            </w:r>
          </w:p>
        </w:tc>
        <w:tc>
          <w:tcPr>
            <w:tcW w:type="dxa" w:w="2608"/>
          </w:tcPr>
          <w:p>
            <w:r/>
            <w:r>
              <w:rPr>
                <w:sz w:val="18"/>
              </w:rPr>
              <w:t>yes</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Be accurate about this.</w:t>
            </w:r>
            <w:r>
              <w:rPr>
                <w:sz w:val="21"/>
              </w:rPr>
              <w:t xml:space="preserve"> The original agent (A1) beats B1 on </w:t>
            </w:r>
            <w:r>
              <w:rPr>
                <w:b/>
                <w:sz w:val="21"/>
              </w:rPr>
              <w:t>intent</w:t>
            </w:r>
            <w:r>
              <w:rPr>
                <w:sz w:val="21"/>
              </w:rPr>
              <w:t xml:space="preserve"> on both projects, but under the plan's full rule it </w:t>
            </w:r>
            <w:r>
              <w:rPr>
                <w:b/>
                <w:sz w:val="21"/>
              </w:rPr>
              <w:t>fails on P2</w:t>
            </w:r>
            <w:r>
              <w:rPr>
                <w:sz w:val="21"/>
              </w:rPr>
              <w:t>, because its entity F1 is 8.6 points below B1's. The improved agent (A2) passes on both projects. All of these are development numbers; the rule is applied again to the locked test data after the freeze. This is recorded as finding F9 in docs\FINDINGS.md.</w:t>
            </w:r>
          </w:p>
        </w:tc>
      </w:tr>
    </w:tbl>
    <w:p/>
    <w:p>
      <w:r>
        <w:rPr>
          <w:b/>
        </w:rPr>
        <w:t>See both sides yourself, request by request: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p>
            <w:pPr>
              <w:spacing w:after="0"/>
            </w:pPr>
            <w:r>
              <w:rPr>
                <w:rFonts w:ascii="Consolas" w:hAnsi="Consolas"/>
                <w:color w:val="F8FAFC"/>
                <w:sz w:val="19"/>
              </w:rPr>
              <w:t>python scripts/explain_f1.py --run 20261024_1654_P1_A1-selected_0</w:t>
            </w:r>
          </w:p>
        </w:tc>
      </w:tr>
    </w:tbl>
    <w:p>
      <w:pPr>
        <w:spacing w:after="0"/>
      </w:pPr>
    </w:p>
    <w:p>
      <w:r>
        <w:t xml:space="preserve">The same 80 requests appear in both, each with the system's answer next to the correct one. To see B1's real prompt, run </w:t>
      </w:r>
      <w:r>
        <w:rPr>
          <w:rFonts w:ascii="Consolas" w:hAnsi="Consolas"/>
          <w:sz w:val="20"/>
        </w:rPr>
        <w:t>python scripts/walkthrough.py</w:t>
      </w:r>
      <w:r>
        <w:t>: its default design is B1's, and step 3 shows the prompt.</w:t>
      </w:r>
    </w:p>
    <w:p>
      <w:r>
        <w:rPr>
          <w:b/>
          <w:sz w:val="21"/>
        </w:rPr>
        <w:t>Say:</w:t>
      </w:r>
      <w:r>
        <w:rPr>
          <w:sz w:val="21"/>
        </w:rPr>
        <w:t xml:space="preserve"> "B1 is the default: one standard prompt, chosen in our plan before any results, used the same way for every project. Our agent and B1 answer the same requests with the same model and scorer, and our plan fixed in advance how much better the agent must be. By that rule the improved agent passes on both projects; the original failed on P2 because of entity extraction."</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9" name="Picture 9"/>
            <wp:cNvGraphicFramePr>
              <a:graphicFrameLocks noChangeAspect="1"/>
            </wp:cNvGraphicFramePr>
            <a:graphic>
              <a:graphicData uri="http://schemas.openxmlformats.org/drawingml/2006/picture">
                <pic:pic>
                  <pic:nvPicPr>
                    <pic:cNvPr id="0" name="screen_run_a2.png"/>
                    <pic:cNvPicPr/>
                  </pic:nvPicPr>
                  <pic:blipFill>
                    <a:blip r:embed="rId17"/>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0" name="Picture 10"/>
            <wp:cNvGraphicFramePr>
              <a:graphicFrameLocks noChangeAspect="1"/>
            </wp:cNvGraphicFramePr>
            <a:graphic>
              <a:graphicData uri="http://schemas.openxmlformats.org/drawingml/2006/picture">
                <pic:pic>
                  <pic:nvPicPr>
                    <pic:cNvPr id="0" name="fig4_ablations.png"/>
                    <pic:cNvPicPr/>
                  </pic:nvPicPr>
                  <pic:blipFill>
                    <a:blip r:embed="rId18"/>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1" name="Picture 11"/>
            <wp:cNvGraphicFramePr>
              <a:graphicFrameLocks noChangeAspect="1"/>
            </wp:cNvGraphicFramePr>
            <a:graphic>
              <a:graphicData uri="http://schemas.openxmlformats.org/drawingml/2006/picture">
                <pic:pic>
                  <pic:nvPicPr>
                    <pic:cNvPr id="0" name="screen_bootstrap.png"/>
                    <pic:cNvPicPr/>
                  </pic:nvPicPr>
                  <pic:blipFill>
                    <a:blip r:embed="rId19"/>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2" name="Picture 12"/>
            <wp:cNvGraphicFramePr>
              <a:graphicFrameLocks noChangeAspect="1"/>
            </wp:cNvGraphicFramePr>
            <a:graphic>
              <a:graphicData uri="http://schemas.openxmlformats.org/drawingml/2006/picture">
                <pic:pic>
                  <pic:nvPicPr>
                    <pic:cNvPr id="0" name="screen_timing.png"/>
                    <pic:cNvPicPr/>
                  </pic:nvPicPr>
                  <pic:blipFill>
                    <a:blip r:embed="rId20"/>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3" name="Picture 13"/>
            <wp:cNvGraphicFramePr>
              <a:graphicFrameLocks noChangeAspect="1"/>
            </wp:cNvGraphicFramePr>
            <a:graphic>
              <a:graphicData uri="http://schemas.openxmlformats.org/drawingml/2006/picture">
                <pic:pic>
                  <pic:nvPicPr>
                    <pic:cNvPr id="0" name="screen_errors.png"/>
                    <pic:cNvPicPr/>
                  </pic:nvPicPr>
                  <pic:blipFill>
                    <a:blip r:embed="rId21"/>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4" name="Picture 14"/>
            <wp:cNvGraphicFramePr>
              <a:graphicFrameLocks noChangeAspect="1"/>
            </wp:cNvGraphicFramePr>
            <a:graphic>
              <a:graphicData uri="http://schemas.openxmlformats.org/drawingml/2006/picture">
                <pic:pic>
                  <pic:nvPicPr>
                    <pic:cNvPr id="0" name="screen_demo.png"/>
                    <pic:cNvPicPr/>
                  </pic:nvPicPr>
                  <pic:blipFill>
                    <a:blip r:embed="rId22"/>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5" name="Picture 15"/>
            <wp:cNvGraphicFramePr>
              <a:graphicFrameLocks noChangeAspect="1"/>
            </wp:cNvGraphicFramePr>
            <a:graphic>
              <a:graphicData uri="http://schemas.openxmlformats.org/drawingml/2006/picture">
                <pic:pic>
                  <pic:nvPicPr>
                    <pic:cNvPr id="0" name="screen_sklearn.png"/>
                    <pic:cNvPicPr/>
                  </pic:nvPicPr>
                  <pic:blipFill>
                    <a:blip r:embed="rId23"/>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