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b43512"/>
          <w:sz w:val="80"/>
          <w:szCs w:val="80"/>
          <w:rtl w:val="0"/>
        </w:rPr>
        <w:t xml:space="preserve">BiletZone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Revoluționăm experiența de achiziționare a biletelor în noua eră digitală</w:t>
      </w:r>
    </w:p>
    <w:p w:rsidR="00000000" w:rsidDel="00000000" w:rsidP="00000000" w:rsidRDefault="00000000" w:rsidRPr="00000000" w14:paraId="00000004">
      <w:pPr>
        <w:spacing w:after="120" w:line="264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64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64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Definirea cerințelor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00"/>
      </w:tblPr>
      <w:tblGrid>
        <w:gridCol w:w="3055"/>
        <w:gridCol w:w="6305"/>
        <w:tblGridChange w:id="0">
          <w:tblGrid>
            <w:gridCol w:w="3055"/>
            <w:gridCol w:w="6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Nume proiect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BiletZone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Nume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Definirea cerințelor / User Requirements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Amăriuță Tiberiu</w:t>
              <w:br w:type="textWrapping"/>
              <w:t xml:space="preserve">Apostol Diana-Florina</w:t>
              <w:br w:type="textWrapping"/>
              <w:t xml:space="preserve">Băcălie Roxana-Ioana</w:t>
              <w:br w:type="textWrapping"/>
              <w:t xml:space="preserve">Bejinaru Mihnea-George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Reviewed by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Alexandrescu Adrian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18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În lucru</w:t>
            </w:r>
          </w:p>
        </w:tc>
      </w:tr>
    </w:tbl>
    <w:p w:rsidR="00000000" w:rsidDel="00000000" w:rsidP="00000000" w:rsidRDefault="00000000" w:rsidRPr="00000000" w14:paraId="00000012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64" w:lineRule="auto"/>
        <w:jc w:val="both"/>
        <w:rPr>
          <w:rFonts w:ascii="Calibri" w:cs="Calibri" w:eastAsia="Calibri" w:hAnsi="Calibri"/>
          <w:b w:val="1"/>
          <w:i w:val="1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5"/>
          <w:szCs w:val="25"/>
          <w:rtl w:val="0"/>
        </w:rPr>
        <w:t xml:space="preserve">Versiuni</w:t>
      </w:r>
    </w:p>
    <w:tbl>
      <w:tblPr>
        <w:tblStyle w:val="Table2"/>
        <w:tblW w:w="9376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35"/>
        <w:gridCol w:w="1619"/>
        <w:gridCol w:w="6322"/>
        <w:tblGridChange w:id="0">
          <w:tblGrid>
            <w:gridCol w:w="1435"/>
            <w:gridCol w:w="1619"/>
            <w:gridCol w:w="6322"/>
          </w:tblGrid>
        </w:tblGridChange>
      </w:tblGrid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Dată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Versiune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Modificări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20.10.2023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Structura documentului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27.10.2023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Actualizare document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7.11.2023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Actualizare document</w:t>
            </w:r>
          </w:p>
        </w:tc>
      </w:tr>
    </w:tbl>
    <w:p w:rsidR="00000000" w:rsidDel="00000000" w:rsidP="00000000" w:rsidRDefault="00000000" w:rsidRPr="00000000" w14:paraId="00000020">
      <w:pPr>
        <w:spacing w:after="120" w:line="264" w:lineRule="auto"/>
        <w:jc w:val="both"/>
        <w:rPr>
          <w:rFonts w:ascii="Calibri" w:cs="Calibri" w:eastAsia="Calibri" w:hAnsi="Calibri"/>
          <w:color w:val="59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64" w:lineRule="auto"/>
        <w:jc w:val="both"/>
        <w:rPr>
          <w:rFonts w:ascii="Calibri" w:cs="Calibri" w:eastAsia="Calibri" w:hAnsi="Calibri"/>
          <w:i w:val="1"/>
          <w:color w:val="595959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</w:numPr>
        <w:pBdr>
          <w:bottom w:color="e84c22" w:space="1" w:sz="4" w:val="single"/>
        </w:pBdr>
        <w:spacing w:after="40" w:line="240" w:lineRule="auto"/>
        <w:ind w:left="432"/>
        <w:jc w:val="both"/>
        <w:rPr>
          <w:rFonts w:ascii="Calibri" w:cs="Calibri" w:eastAsia="Calibri" w:hAnsi="Calibri"/>
          <w:color w:val="b43512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b43512"/>
          <w:sz w:val="36"/>
          <w:szCs w:val="36"/>
          <w:rtl w:val="0"/>
        </w:rPr>
        <w:t xml:space="preserve">Introducere</w:t>
      </w:r>
    </w:p>
    <w:p w:rsidR="00000000" w:rsidDel="00000000" w:rsidP="00000000" w:rsidRDefault="00000000" w:rsidRPr="00000000" w14:paraId="00000023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</w:numPr>
        <w:spacing w:after="0" w:before="160" w:line="240" w:lineRule="auto"/>
        <w:ind w:left="576"/>
        <w:jc w:val="both"/>
        <w:rPr>
          <w:rFonts w:ascii="Calibri" w:cs="Calibri" w:eastAsia="Calibri" w:hAnsi="Calibri"/>
          <w:color w:val="b4351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b43512"/>
          <w:sz w:val="28"/>
          <w:szCs w:val="28"/>
          <w:rtl w:val="0"/>
        </w:rPr>
        <w:t xml:space="preserve">Scopul documentului</w:t>
      </w:r>
    </w:p>
    <w:p w:rsidR="00000000" w:rsidDel="00000000" w:rsidP="00000000" w:rsidRDefault="00000000" w:rsidRPr="00000000" w14:paraId="00000025">
      <w:pPr>
        <w:spacing w:after="120" w:line="264" w:lineRule="auto"/>
        <w:ind w:left="0"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URD-ul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rolul esențial de a delimita și descrie cerințele specifice ale proiectului BiletZone, având ca obiectiv principal crearea unui cadru clar pentru dezvoltatorii și utilizatorii implicați, precum și pentru crearea specificațiilor tehnice și funcționale. </w:t>
      </w:r>
    </w:p>
    <w:p w:rsidR="00000000" w:rsidDel="00000000" w:rsidP="00000000" w:rsidRDefault="00000000" w:rsidRPr="00000000" w14:paraId="00000026">
      <w:pPr>
        <w:spacing w:after="120" w:line="264" w:lineRule="auto"/>
        <w:ind w:left="0"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Proiectul BiletZone are ca scop revoluționarea experienței de achiziționare a biletelor în era digitală și acest document are rolul de a asigura că funcționalitățile dezvoltate vor satisface cu succes nevoile și așteptările pasionaților de evenimente. </w:t>
      </w:r>
    </w:p>
    <w:p w:rsidR="00000000" w:rsidDel="00000000" w:rsidP="00000000" w:rsidRDefault="00000000" w:rsidRPr="00000000" w14:paraId="00000027">
      <w:pPr>
        <w:spacing w:after="120" w:line="264" w:lineRule="auto"/>
        <w:ind w:left="0"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 definirea cerințelor, se creează un cadru solid pentru dezvoltare și implementare, asigurându-se că fiecare aspect al sistemului este proiectat pentru a oferi o experiență de achiziționare a biletelor fără probleme, inovatoare și personalizată.</w:t>
      </w:r>
    </w:p>
    <w:p w:rsidR="00000000" w:rsidDel="00000000" w:rsidP="00000000" w:rsidRDefault="00000000" w:rsidRPr="00000000" w14:paraId="00000028">
      <w:pPr>
        <w:spacing w:after="120" w:line="264" w:lineRule="auto"/>
        <w:ind w:lef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</w:numPr>
        <w:spacing w:after="0" w:before="160" w:line="240" w:lineRule="auto"/>
        <w:ind w:left="576"/>
        <w:jc w:val="both"/>
        <w:rPr>
          <w:rFonts w:ascii="Calibri" w:cs="Calibri" w:eastAsia="Calibri" w:hAnsi="Calibri"/>
          <w:color w:val="b4351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b43512"/>
          <w:sz w:val="28"/>
          <w:szCs w:val="28"/>
          <w:rtl w:val="0"/>
        </w:rPr>
        <w:t xml:space="preserve">Scurtă descriere a proiectului</w:t>
      </w:r>
    </w:p>
    <w:p w:rsidR="00000000" w:rsidDel="00000000" w:rsidP="00000000" w:rsidRDefault="00000000" w:rsidRPr="00000000" w14:paraId="0000002A">
      <w:pPr>
        <w:spacing w:after="120" w:line="264" w:lineRule="auto"/>
        <w:ind w:left="0"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BiletZone aspiră să fie punctul central de intersecție între pasionații de evenimente și organizatori, propunând o platformă digitală inovativă care facilitează achiziția de bilete.</w:t>
      </w:r>
    </w:p>
    <w:p w:rsidR="00000000" w:rsidDel="00000000" w:rsidP="00000000" w:rsidRDefault="00000000" w:rsidRPr="00000000" w14:paraId="0000002B">
      <w:pPr>
        <w:spacing w:after="120" w:line="264" w:lineRule="auto"/>
        <w:ind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Utilizatorii pot să aleagă și să rezerve locuri specifice la evenimente, având posibilitatea de a vedea în timp real disponibilitatea locurilor și o vizualizare a locației, pentru o alegere informată. </w:t>
      </w:r>
    </w:p>
    <w:p w:rsidR="00000000" w:rsidDel="00000000" w:rsidP="00000000" w:rsidRDefault="00000000" w:rsidRPr="00000000" w14:paraId="0000002C">
      <w:pPr>
        <w:spacing w:after="120" w:line="264" w:lineRule="auto"/>
        <w:ind w:firstLine="54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În ceea ce privește tranzacțiile, acestea sunt facilitate prin intermediul unei integrări cu API-ul PayPal, oferind utilizatorilor o metodă sigură, rapidă și familiară de plată. Pentru a asigura securitatea și disponibilitatea informațiilor, toate datele legate de bilete, evenimente și tranzacții sunt stocate în sisteme securizate, folosind tehnologii precum FTP, Firebase și servicii cloud.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</w:numPr>
        <w:spacing w:after="0" w:before="160" w:line="240" w:lineRule="auto"/>
        <w:ind w:left="576"/>
        <w:jc w:val="both"/>
        <w:rPr>
          <w:rFonts w:ascii="Calibri" w:cs="Calibri" w:eastAsia="Calibri" w:hAnsi="Calibri"/>
          <w:color w:val="b4351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b43512"/>
          <w:sz w:val="28"/>
          <w:szCs w:val="28"/>
          <w:rtl w:val="0"/>
        </w:rPr>
        <w:t xml:space="preserve">Definiții și abrevieri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</w:numPr>
        <w:spacing w:after="120" w:line="264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URD - User Requirements Document</w:t>
      </w:r>
    </w:p>
    <w:p w:rsidR="00000000" w:rsidDel="00000000" w:rsidP="00000000" w:rsidRDefault="00000000" w:rsidRPr="00000000" w14:paraId="00000030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</w:numPr>
        <w:pBdr>
          <w:bottom w:color="e84c22" w:space="1" w:sz="4" w:val="single"/>
        </w:pBdr>
        <w:spacing w:after="40" w:line="240" w:lineRule="auto"/>
        <w:ind w:left="432"/>
        <w:jc w:val="both"/>
        <w:rPr>
          <w:rFonts w:ascii="Calibri" w:cs="Calibri" w:eastAsia="Calibri" w:hAnsi="Calibri"/>
          <w:color w:val="b4351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</w:numPr>
        <w:pBdr>
          <w:bottom w:color="e84c22" w:space="1" w:sz="4" w:val="single"/>
        </w:pBdr>
        <w:spacing w:after="40" w:line="240" w:lineRule="auto"/>
        <w:ind w:left="0" w:firstLine="0"/>
        <w:jc w:val="both"/>
        <w:rPr>
          <w:rFonts w:ascii="Calibri" w:cs="Calibri" w:eastAsia="Calibri" w:hAnsi="Calibri"/>
          <w:color w:val="b4351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</w:numPr>
        <w:pBdr>
          <w:bottom w:color="e84c22" w:space="1" w:sz="4" w:val="single"/>
        </w:pBdr>
        <w:spacing w:after="40" w:line="240" w:lineRule="auto"/>
        <w:ind w:left="0" w:firstLine="0"/>
        <w:jc w:val="both"/>
        <w:rPr>
          <w:rFonts w:ascii="Calibri" w:cs="Calibri" w:eastAsia="Calibri" w:hAnsi="Calibri"/>
          <w:color w:val="b43512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b43512"/>
          <w:sz w:val="36"/>
          <w:szCs w:val="36"/>
          <w:rtl w:val="0"/>
        </w:rPr>
        <w:t xml:space="preserve">Descriere generală</w:t>
      </w:r>
    </w:p>
    <w:p w:rsidR="00000000" w:rsidDel="00000000" w:rsidP="00000000" w:rsidRDefault="00000000" w:rsidRPr="00000000" w14:paraId="00000034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</w:numPr>
        <w:spacing w:after="0" w:before="160" w:line="240" w:lineRule="auto"/>
        <w:ind w:left="576"/>
        <w:jc w:val="both"/>
        <w:rPr>
          <w:rFonts w:ascii="Calibri" w:cs="Calibri" w:eastAsia="Calibri" w:hAnsi="Calibri"/>
          <w:color w:val="b43512"/>
          <w:sz w:val="28"/>
          <w:szCs w:val="28"/>
        </w:rPr>
      </w:pPr>
      <w:bookmarkStart w:colFirst="0" w:colLast="0" w:name="_b0agc6eenzv8" w:id="0"/>
      <w:bookmarkEnd w:id="0"/>
      <w:r w:rsidDel="00000000" w:rsidR="00000000" w:rsidRPr="00000000">
        <w:rPr>
          <w:rFonts w:ascii="Calibri" w:cs="Calibri" w:eastAsia="Calibri" w:hAnsi="Calibri"/>
          <w:color w:val="b43512"/>
          <w:sz w:val="28"/>
          <w:szCs w:val="28"/>
          <w:rtl w:val="0"/>
        </w:rPr>
        <w:t xml:space="preserve">Contextul proiectului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64" w:lineRule="auto"/>
        <w:ind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În ultimul deceniu, industria de divertisment și, în mod particular, piața de bilete pentru evenimente, a înregistrat o creștere semnificativă, alimentată în mare parte de digitalizare și globalizare. Cu un număr tot mai mare de evenimente organizate și o diversitate crescândă a ofertei, consumatorii au nevoie de un sistem centralizat și eficient de a descoperi, evalua și achiziționa bilete.</w:t>
      </w:r>
    </w:p>
    <w:p w:rsidR="00000000" w:rsidDel="00000000" w:rsidP="00000000" w:rsidRDefault="00000000" w:rsidRPr="00000000" w14:paraId="00000037">
      <w:pPr>
        <w:spacing w:after="120" w:line="264" w:lineRule="auto"/>
        <w:ind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 toate acestea, piața biletelor, în ciuda potențialului său, se confruntă cu provocări precum fragmentarea ofertelor și lipsa de transparență în ceea ce privește prețurile. </w:t>
      </w:r>
    </w:p>
    <w:p w:rsidR="00000000" w:rsidDel="00000000" w:rsidP="00000000" w:rsidRDefault="00000000" w:rsidRPr="00000000" w14:paraId="00000038">
      <w:pPr>
        <w:spacing w:after="120" w:line="264" w:lineRule="auto"/>
        <w:ind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BiletZone a fost conceput pentru a răspunde acestor provocări, oferind o platformă integrată care adună la un loc cele mai bune practici din industrie, cu accent pe inovație și experiența utilizatorului. Proiectul se înscrie în eforturile mai largi de a transforma modul în care consumatorii interacționează cu evenimentele culturale, sportive sau de divertisment, oferind soluții adaptate nevoilor secolului 21.</w:t>
      </w:r>
    </w:p>
    <w:p w:rsidR="00000000" w:rsidDel="00000000" w:rsidP="00000000" w:rsidRDefault="00000000" w:rsidRPr="00000000" w14:paraId="00000039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</w:numPr>
        <w:spacing w:after="0" w:before="160" w:line="240" w:lineRule="auto"/>
        <w:ind w:left="576"/>
        <w:jc w:val="both"/>
        <w:rPr>
          <w:rFonts w:ascii="Calibri" w:cs="Calibri" w:eastAsia="Calibri" w:hAnsi="Calibri"/>
          <w:color w:val="b43512"/>
          <w:sz w:val="28"/>
          <w:szCs w:val="28"/>
        </w:rPr>
      </w:pPr>
      <w:bookmarkStart w:colFirst="0" w:colLast="0" w:name="_gbe7zeo3jhv4" w:id="1"/>
      <w:bookmarkEnd w:id="1"/>
      <w:r w:rsidDel="00000000" w:rsidR="00000000" w:rsidRPr="00000000">
        <w:rPr>
          <w:rFonts w:ascii="Calibri" w:cs="Calibri" w:eastAsia="Calibri" w:hAnsi="Calibri"/>
          <w:color w:val="b43512"/>
          <w:sz w:val="28"/>
          <w:szCs w:val="28"/>
          <w:rtl w:val="0"/>
        </w:rPr>
        <w:t xml:space="preserve">Capabilități generale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64" w:lineRule="auto"/>
        <w:ind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BiletZone se dezvoltă ca un hub digital complet pentru entuziaștii de evenimente de toate tipurile. În afara funcționalităților esențiale de rezervare și achiziție a biletelor, platforma introduce servicii inovatoare menite să îmbunătățească experiența fiecărui utilizator: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264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Gestionarea Biletelor: Utilizatorii pot cumpăra și gestiona biletele pentru evenimente sau locații specifice, oferindu-le avantaje precum reduceri sau acces prioritizat.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00" w:before="0" w:line="264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Recomandări Personalizate: Pe baza intereselor și a istoricului de achiziție, platforma va sugera evenimente viitoare care se potrivesc gusturilor utilizatorului.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before="0" w:line="264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Integrare cu Calendare Digitale: O funcție care permite sincronizarea biletelor cumpărate cu calendarele digitale ale utilizatorilor, asigurând că nu vor uita de eveniment.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before="0" w:line="264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Forum: Spații dedicate în care participanții la eveniment pot discuta și interacționa, construind astfel o comunitate.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before="0" w:line="264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Reviews și Evaluări: După participarea la un eveniment, utilizatorii pot lăsa recenzii și feedback legate de experiența pe care au avut-o utilizând platforma BiletZone.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before="0" w:line="264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 de Loialitate: Cu fiecare bilet cumpărat, utilizatorii acumulează puncte care pot fi ulterior folosite pentru reduceri sau oferte speciale.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before="0" w:line="264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Bilete Cadou și Vouchere: Posibilitatea de a oferi bilete sub formă de cadou sau de a cumpăra vouchere cadou pentru prieteni și familie.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before="0" w:line="264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Alerte și Notificări: Setări personalizate pentru a primi alerte despre evenimentele preferate, reduceri speciale sau lansări de bilete pentru artiștii sau evenimentele favorite.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line="264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Fotografii și Videoclipuri după Eveniment: BiletZone oferă posibilitatea de a viziona înregistrări și poze de la evenimente după ce acestea s-au încheiat.</w:t>
      </w:r>
    </w:p>
    <w:p w:rsidR="00000000" w:rsidDel="00000000" w:rsidP="00000000" w:rsidRDefault="00000000" w:rsidRPr="00000000" w14:paraId="00000045">
      <w:pPr>
        <w:spacing w:after="120" w:line="264" w:lineRule="auto"/>
        <w:ind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BiletZone își propune să redefinească modul în care utilizatorii se raportează la evenimente, oferind nu doar un bilet, ci o experiență completă, de neuitat.</w:t>
      </w:r>
    </w:p>
    <w:p w:rsidR="00000000" w:rsidDel="00000000" w:rsidP="00000000" w:rsidRDefault="00000000" w:rsidRPr="00000000" w14:paraId="00000046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</w:numPr>
        <w:spacing w:after="0" w:before="160" w:line="240" w:lineRule="auto"/>
        <w:ind w:left="576"/>
        <w:jc w:val="both"/>
        <w:rPr>
          <w:rFonts w:ascii="Calibri" w:cs="Calibri" w:eastAsia="Calibri" w:hAnsi="Calibri"/>
          <w:color w:val="b43512"/>
          <w:sz w:val="28"/>
          <w:szCs w:val="28"/>
        </w:rPr>
      </w:pPr>
      <w:bookmarkStart w:colFirst="0" w:colLast="0" w:name="_mjhocjwz9n2o" w:id="2"/>
      <w:bookmarkEnd w:id="2"/>
      <w:r w:rsidDel="00000000" w:rsidR="00000000" w:rsidRPr="00000000">
        <w:rPr>
          <w:rFonts w:ascii="Calibri" w:cs="Calibri" w:eastAsia="Calibri" w:hAnsi="Calibri"/>
          <w:color w:val="b43512"/>
          <w:sz w:val="28"/>
          <w:szCs w:val="28"/>
          <w:rtl w:val="0"/>
        </w:rPr>
        <w:t xml:space="preserve">Caracteristicile utilizatorului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64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Grupul țintă al aplicației este divers în ceea ce privește nivelul de cunoștințe tehnologice. Acesta poate fi împărțit în două categorii: utilizatori cu experiență minimă și utilizatori cu experiență moderată/avansată.</w:t>
      </w:r>
    </w:p>
    <w:p w:rsidR="00000000" w:rsidDel="00000000" w:rsidP="00000000" w:rsidRDefault="00000000" w:rsidRPr="00000000" w14:paraId="00000049">
      <w:pPr>
        <w:spacing w:after="120" w:line="264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Utilizatorii cu experiență minimă au cunoștințe limitate despre tehnologie și au nevoie de o interfață simplă și de instrucțiuni clare pentru a putea achiziționa bilete cu ușurință.</w:t>
      </w:r>
    </w:p>
    <w:p w:rsidR="00000000" w:rsidDel="00000000" w:rsidP="00000000" w:rsidRDefault="00000000" w:rsidRPr="00000000" w14:paraId="0000004A">
      <w:pPr>
        <w:spacing w:after="120" w:line="264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Utilizatorii cu experiență moderată/avansată au abilități tehnologice mai dezvoltate și pot naviga în aplicație, selecta bilete și finaliza tranzacții fără ajutor constant.</w:t>
      </w:r>
    </w:p>
    <w:p w:rsidR="00000000" w:rsidDel="00000000" w:rsidP="00000000" w:rsidRDefault="00000000" w:rsidRPr="00000000" w14:paraId="0000004B">
      <w:pPr>
        <w:spacing w:after="120" w:line="264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Utilizatorii cu experiență minimă pot beneficia de secțiuni de întrebări frecvente. Utilizatorii cu experiență avansată doresc funcționalități avansate și personalizabile în aplicație.</w:t>
      </w:r>
    </w:p>
    <w:p w:rsidR="00000000" w:rsidDel="00000000" w:rsidP="00000000" w:rsidRDefault="00000000" w:rsidRPr="00000000" w14:paraId="0000004C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</w:numPr>
        <w:pBdr>
          <w:bottom w:color="e84c22" w:space="1" w:sz="4" w:val="single"/>
        </w:pBdr>
        <w:spacing w:after="40" w:line="240" w:lineRule="auto"/>
        <w:ind w:left="432"/>
        <w:jc w:val="both"/>
        <w:rPr>
          <w:rFonts w:ascii="Calibri" w:cs="Calibri" w:eastAsia="Calibri" w:hAnsi="Calibri"/>
          <w:color w:val="b43512"/>
          <w:sz w:val="36"/>
          <w:szCs w:val="36"/>
        </w:rPr>
      </w:pPr>
      <w:bookmarkStart w:colFirst="0" w:colLast="0" w:name="_g361lwmu8r4n" w:id="3"/>
      <w:bookmarkEnd w:id="3"/>
      <w:r w:rsidDel="00000000" w:rsidR="00000000" w:rsidRPr="00000000">
        <w:rPr>
          <w:rFonts w:ascii="Calibri" w:cs="Calibri" w:eastAsia="Calibri" w:hAnsi="Calibri"/>
          <w:color w:val="b43512"/>
          <w:sz w:val="36"/>
          <w:szCs w:val="36"/>
          <w:rtl w:val="0"/>
        </w:rPr>
        <w:t xml:space="preserve">Cazuri de utilizare</w:t>
      </w:r>
    </w:p>
    <w:p w:rsidR="00000000" w:rsidDel="00000000" w:rsidP="00000000" w:rsidRDefault="00000000" w:rsidRPr="00000000" w14:paraId="0000004E">
      <w:pPr>
        <w:pStyle w:val="Heading2"/>
        <w:numPr>
          <w:ilvl w:val="1"/>
        </w:numPr>
        <w:spacing w:after="0" w:before="160" w:line="240" w:lineRule="auto"/>
        <w:ind w:left="576"/>
        <w:jc w:val="both"/>
        <w:rPr>
          <w:rFonts w:ascii="Calibri" w:cs="Calibri" w:eastAsia="Calibri" w:hAnsi="Calibri"/>
          <w:color w:val="b4351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b43512"/>
          <w:sz w:val="28"/>
          <w:szCs w:val="28"/>
          <w:rtl w:val="0"/>
        </w:rPr>
        <w:t xml:space="preserve">Actori</w:t>
      </w:r>
    </w:p>
    <w:p w:rsidR="00000000" w:rsidDel="00000000" w:rsidP="00000000" w:rsidRDefault="00000000" w:rsidRPr="00000000" w14:paraId="0000004F">
      <w:pPr>
        <w:numPr>
          <w:ilvl w:val="0"/>
        </w:numPr>
        <w:spacing w:line="26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Utilizator neautentificat</w:t>
      </w:r>
    </w:p>
    <w:p w:rsidR="00000000" w:rsidDel="00000000" w:rsidP="00000000" w:rsidRDefault="00000000" w:rsidRPr="00000000" w14:paraId="00000050">
      <w:pPr>
        <w:numPr>
          <w:ilvl w:val="0"/>
        </w:numPr>
        <w:spacing w:line="26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Utilizator autentificat </w:t>
      </w:r>
    </w:p>
    <w:p w:rsidR="00000000" w:rsidDel="00000000" w:rsidP="00000000" w:rsidRDefault="00000000" w:rsidRPr="00000000" w14:paraId="00000051">
      <w:pPr>
        <w:numPr>
          <w:ilvl w:val="0"/>
        </w:numPr>
        <w:spacing w:line="264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52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</w:numPr>
        <w:spacing w:after="0" w:before="160" w:line="240" w:lineRule="auto"/>
        <w:ind w:left="576"/>
        <w:jc w:val="both"/>
        <w:rPr>
          <w:rFonts w:ascii="Calibri" w:cs="Calibri" w:eastAsia="Calibri" w:hAnsi="Calibri"/>
          <w:color w:val="b4351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b43512"/>
          <w:sz w:val="28"/>
          <w:szCs w:val="28"/>
          <w:rtl w:val="0"/>
        </w:rPr>
        <w:t xml:space="preserve">Diagrame UML de use-case</w:t>
      </w:r>
    </w:p>
    <w:p w:rsidR="00000000" w:rsidDel="00000000" w:rsidP="00000000" w:rsidRDefault="00000000" w:rsidRPr="00000000" w14:paraId="00000054">
      <w:pPr>
        <w:numPr>
          <w:ilvl w:val="1"/>
        </w:numPr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64" w:lineRule="auto"/>
        <w:ind w:left="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</w:numPr>
        <w:pBdr>
          <w:bottom w:color="e84c22" w:space="1" w:sz="4" w:val="single"/>
        </w:pBdr>
        <w:spacing w:after="40" w:line="240" w:lineRule="auto"/>
        <w:ind w:left="432"/>
        <w:jc w:val="both"/>
        <w:rPr>
          <w:rFonts w:ascii="Calibri" w:cs="Calibri" w:eastAsia="Calibri" w:hAnsi="Calibri"/>
          <w:color w:val="b43512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b43512"/>
          <w:sz w:val="36"/>
          <w:szCs w:val="36"/>
          <w:rtl w:val="0"/>
        </w:rPr>
        <w:t xml:space="preserve">Cerințe specifice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8.0" w:type="dxa"/>
        <w:tblBorders>
          <w:top w:color="f5b7a6" w:space="0" w:sz="4" w:val="single"/>
          <w:left w:color="f5b7a6" w:space="0" w:sz="4" w:val="single"/>
          <w:bottom w:color="f5b7a6" w:space="0" w:sz="4" w:val="single"/>
          <w:right w:color="f5b7a6" w:space="0" w:sz="4" w:val="single"/>
          <w:insideH w:color="f5b7a6" w:space="0" w:sz="4" w:val="single"/>
          <w:insideV w:color="f5b7a6" w:space="0" w:sz="4" w:val="single"/>
        </w:tblBorders>
        <w:tblLayout w:type="fixed"/>
        <w:tblLook w:val="04A0"/>
      </w:tblPr>
      <w:tblGrid>
        <w:gridCol w:w="570"/>
        <w:gridCol w:w="1650"/>
        <w:gridCol w:w="2595"/>
        <w:gridCol w:w="3315"/>
        <w:gridCol w:w="1230"/>
        <w:tblGridChange w:id="0">
          <w:tblGrid>
            <w:gridCol w:w="570"/>
            <w:gridCol w:w="1650"/>
            <w:gridCol w:w="2595"/>
            <w:gridCol w:w="3315"/>
            <w:gridCol w:w="1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Ca ... (rol)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Vreau să ... (caracteristică)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Pentru a ... (motivație)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Prioritate/Necesitate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neautentificat / autentificat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Să vizualizez cele mai noi evenimente disponibile.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mă informa sau a cumpăra bilete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neautentificat / autentificat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Vizualizez informații referitoare la site și datele de contact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Face sugestii, observații sau a raporta o problemă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neautentificat/autentificat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Vizualizez evenimente 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în funcție de o anumită locație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Economisi timp și a beneficia de un rezultat care se mulează pe nevoile mele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neautentificat / autentificat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Vizualizez evenimente în funcție de o anumită categorie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găsi rapid și eficient evenimentele care îmi corespund intereselor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neautentificat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Mă pot autentifica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Beneficia de avantajele oferite pentru utilizatorii autentificați (e.g., să îmi salvez preferințele, să fiu notificat dacă un eveniment devine disponibil sau dacă mai apar bilete în stoc, ...)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autentificat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Îmi cumpăr bilet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Participa la eveniment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autentificat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Pot adăuga evenimentele la o secțiune de favorite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Accesa ușor un eveniment și să primesc recomandări personalizate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autentificat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Primesc beneficii de loialitate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Cumpăra la un preț redus biletele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autentificat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Sincronizez calendarul personal cu evenimentele la care particip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 la curent cu evenimentele la care particip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Minimă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Utilizator autentificat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Vizualizez și să particip la discuția de pe forum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Lăsa review-uri la experiența pe care am avut-o și să aflu părerile altora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Minimă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Gestionează activitatea întregii platforme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asigura de buna funcționare a aplicației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Maximă</w:t>
            </w:r>
          </w:p>
        </w:tc>
      </w:tr>
    </w:tbl>
    <w:p w:rsidR="00000000" w:rsidDel="00000000" w:rsidP="00000000" w:rsidRDefault="00000000" w:rsidRPr="00000000" w14:paraId="00000095">
      <w:pPr>
        <w:spacing w:after="120" w:line="264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</w:numPr>
        <w:pBdr>
          <w:bottom w:color="e84c22" w:space="1" w:sz="4" w:val="single"/>
        </w:pBdr>
        <w:spacing w:after="40" w:line="240" w:lineRule="auto"/>
        <w:ind w:left="432"/>
        <w:jc w:val="both"/>
        <w:rPr>
          <w:rFonts w:ascii="Calibri" w:cs="Calibri" w:eastAsia="Calibri" w:hAnsi="Calibri"/>
          <w:color w:val="b43512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b43512"/>
          <w:sz w:val="36"/>
          <w:szCs w:val="36"/>
          <w:rtl w:val="0"/>
        </w:rPr>
        <w:t xml:space="preserve">Concluzii</w:t>
      </w:r>
    </w:p>
    <w:p w:rsidR="00000000" w:rsidDel="00000000" w:rsidP="00000000" w:rsidRDefault="00000000" w:rsidRPr="00000000" w14:paraId="00000097">
      <w:pPr>
        <w:ind w:firstLine="5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BiletZone redefinește modul în care utilizatorii descoperă și participă la evenimente. Prin combinarea unei interfețe intuitive cu funcționalități avansate, aplicația oferă o experiență personalizată de căutare și achiziție a biletelor. Scopul principal al BiletZone este de a simplifica interacțiunea cu lumea evenimentelor, punând pasiunea și interesele utilizatorului pe primul loc.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1937a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1937a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