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420A5C" w14:textId="23BACA64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1105" cy="3476625"/>
                <wp:effectExtent l="0" t="0" r="4445" b="9525"/>
                <wp:docPr id="1" name="Imagen 18" descr="For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Forma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301105" cy="3476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6.15pt;height:273.75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-419986</wp:posOffset>
                </wp:positionH>
                <wp:positionV relativeFrom="paragraph">
                  <wp:posOffset>-893135</wp:posOffset>
                </wp:positionV>
                <wp:extent cx="2066290" cy="560705"/>
                <wp:effectExtent l="0" t="0" r="0" b="0"/>
                <wp:wrapNone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403336" name="Imagen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066290" cy="560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76672;o:allowoverlap:true;o:allowincell:true;mso-position-horizontal-relative:text;margin-left:-33.07pt;mso-position-horizontal:absolute;mso-position-vertical-relative:text;margin-top:-70.33pt;mso-position-vertical:absolute;width:162.70pt;height:44.15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7" behindDoc="0" locked="0" layoutInCell="1" allowOverlap="1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" type="#_x0000_t2" style="position:absolute;z-index:251665407;o:allowoverlap:true;o:allowincell:true;mso-position-horizontal-relative:text;margin-left:152.79pt;mso-position-horizontal:absolute;mso-position-vertical-relative:text;margin-top:-56.93pt;mso-position-vertical:absolute;width:376.95pt;height:20.70pt;mso-wrap-distance-left:9.00pt;mso-wrap-distance-top:0.00pt;mso-wrap-distance-right:9.00pt;mso-wrap-distance-bottom:0.00pt;visibility:visible;" fillcolor="#E7E8E9" stroked="f" strokeweight="1.00pt">
                <v:stroke dashstyle="solid"/>
              </v:shape>
            </w:pict>
          </mc:Fallback>
        </mc:AlternateContent>
      </w:r>
      <w:r/>
    </w:p>
    <w:p w14:paraId="6CDABF6F" w14:textId="6814C6DE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4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" type="#_x0000_t2" style="position:absolute;z-index:251666432;o:allowoverlap:true;o:allowincell:true;mso-position-horizontal-relative:text;margin-left:-24.60pt;mso-position-horizontal:absolute;mso-position-vertical-relative:text;margin-top:30.20pt;mso-position-vertical:absolute;width:8.55pt;height:56.69pt;mso-wrap-distance-left:9.00pt;mso-wrap-distance-top:0.00pt;mso-wrap-distance-right:9.00pt;mso-wrap-distance-bottom:0.00pt;visibility:visible;" fillcolor="#FFB800" stroked="f" strokeweight="1.00pt">
                <v:stroke dashstyle="solid"/>
              </v:shape>
            </w:pict>
          </mc:Fallback>
        </mc:AlternateContent>
      </w:r>
      <w:r/>
    </w:p>
    <w:p w14:paraId="52E79B76" w14:textId="22D93F42">
      <w:pPr>
        <w:pStyle w:val="773"/>
        <w:pBdr/>
        <w:spacing/>
        <w:ind/>
        <w:rPr/>
      </w:pPr>
      <w:r/>
      <w:r>
        <w:t xml:space="preserve">DESARROLLO BACKEND</w:t>
      </w:r>
      <w:r>
        <w:rPr>
          <w:lang w:val="es-ES"/>
        </w:rPr>
        <w:t xml:space="preserve"> III</w:t>
      </w:r>
      <w:r/>
    </w:p>
    <w:p w14:paraId="6E57F13B">
      <w:pPr>
        <w:pStyle w:val="773"/>
        <w:pBdr/>
        <w:spacing/>
        <w:ind/>
        <w:rPr/>
      </w:pPr>
      <w:r/>
      <w:r>
        <w:t xml:space="preserve">(</w:t>
      </w:r>
      <w:r>
        <w:rPr>
          <w:lang w:val="es-ES"/>
        </w:rPr>
        <w:t xml:space="preserve">PBY2203</w:t>
      </w:r>
      <w:r>
        <w:t xml:space="preserve">)</w:t>
      </w:r>
      <w:r/>
      <w:r/>
    </w:p>
    <w:p w14:paraId="23555CF9" w14:textId="2E8CA43A">
      <w:pPr>
        <w:pStyle w:val="775"/>
        <w:pBdr/>
        <w:spacing/>
        <w:ind/>
        <w:rPr/>
      </w:pPr>
      <w:r>
        <w:t>Informe técnico – Evaluación Final Transversal</w:t>
      </w:r>
      <w:r>
        <w:br/>
        <w:t>Autor: Miguel Castillo</w:t>
      </w:r>
    </w:p>
    <w:p w14:paraId="3317F749" w14:textId="77777777">
      <w:pPr>
        <w:pBdr/>
        <w:spacing/>
        <w:ind/>
        <w:rPr/>
      </w:pPr>
      <w:r/>
      <w:r/>
    </w:p>
    <w:p w14:paraId="13964435" w14:textId="017E97A8">
      <w:pPr>
        <w:pBdr/>
        <w:spacing w:after="160"/>
        <w:ind w:left="459"/>
        <w:rPr>
          <w:sz w:val="44"/>
          <w:u w:val="single"/>
          <w14:ligatures w14:val="none"/>
        </w:rPr>
      </w:pPr>
      <w:r>
        <w:br w:type="page" w:clear="all"/>
      </w:r>
      <w:r>
        <w:rPr>
          <w:sz w:val="44"/>
          <w:u w:val="single"/>
          <w14:ligatures w14:val="none"/>
        </w:rPr>
      </w:r>
    </w:p>
    <w:p>
      <w:pPr>
        <w:pageBreakBefore/>
      </w:pPr>
      <w:r>
        <w:rPr>
          <w:rFonts w:ascii="Arial" w:hAnsi="Arial" w:eastAsia="Arial"/>
          <w:b/>
          <w:i w:val="0"/>
          <w:sz w:val="44"/>
        </w:rPr>
        <w:t>Índice</w:t>
      </w:r>
    </w:p>
    <w:p>
      <w:pPr>
        <w:tabs>
          <w:tab w:pos="9072" w:val="right" w:leader="dot"/>
        </w:tabs>
        <w:spacing w:after="0"/>
        <w:ind w:left="0"/>
      </w:pPr>
      <w:r>
        <w:rPr>
          <w:rFonts w:ascii="Arial" w:hAnsi="Arial" w:eastAsia="Arial"/>
          <w:b/>
          <w:i w:val="0"/>
          <w:sz w:val="22"/>
        </w:rPr>
        <w:t>1. Introducción y contexto</w:t>
        <w:tab/>
        <w:t>3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1.1 Objetivos</w:t>
        <w:tab/>
        <w:t>3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1.2 Alcance y supuestos</w:t>
        <w:tab/>
        <w:t>3</w:t>
      </w:r>
    </w:p>
    <w:p>
      <w:pPr>
        <w:tabs>
          <w:tab w:pos="9072" w:val="right" w:leader="dot"/>
        </w:tabs>
        <w:spacing w:after="0"/>
        <w:ind w:left="0"/>
      </w:pPr>
      <w:r>
        <w:rPr>
          <w:rFonts w:ascii="Arial" w:hAnsi="Arial" w:eastAsia="Arial"/>
          <w:b/>
          <w:i w:val="0"/>
          <w:sz w:val="22"/>
        </w:rPr>
        <w:t>2. Identificación de procesos clave</w:t>
        <w:tab/>
        <w:t>4</w:t>
      </w:r>
    </w:p>
    <w:p>
      <w:pPr>
        <w:tabs>
          <w:tab w:pos="9072" w:val="right" w:leader="dot"/>
        </w:tabs>
        <w:spacing w:after="0"/>
        <w:ind w:left="0"/>
      </w:pPr>
      <w:r>
        <w:rPr>
          <w:rFonts w:ascii="Arial" w:hAnsi="Arial" w:eastAsia="Arial"/>
          <w:b/>
          <w:i w:val="0"/>
          <w:sz w:val="22"/>
        </w:rPr>
        <w:t>3. Propuesta de arquitectura</w:t>
        <w:tab/>
        <w:t>5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3.1 Requerimientos clave del negocio</w:t>
        <w:tab/>
        <w:t>5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3.2 Decisiones tecnológicas y justificación</w:t>
        <w:tab/>
        <w:t>5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3.3 Diagrama de arquitectura</w:t>
        <w:tab/>
        <w:t>7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3.4 Diagrama de casos de uso</w:t>
        <w:tab/>
        <w:t>8</w:t>
      </w:r>
    </w:p>
    <w:p>
      <w:pPr>
        <w:tabs>
          <w:tab w:pos="9072" w:val="right" w:leader="dot"/>
        </w:tabs>
        <w:spacing w:after="0"/>
        <w:ind w:left="0"/>
      </w:pPr>
      <w:r>
        <w:rPr>
          <w:rFonts w:ascii="Arial" w:hAnsi="Arial" w:eastAsia="Arial"/>
          <w:b/>
          <w:i w:val="0"/>
          <w:sz w:val="22"/>
        </w:rPr>
        <w:t>4. Parte 1: Migración de procesos batch</w:t>
        <w:tab/>
        <w:t>9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4.1 Jobs implementados</w:t>
        <w:tab/>
        <w:t>9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4.2 Manejo de errores, paralelismo y reejecución</w:t>
        <w:tab/>
        <w:t>10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4.3 Equivalencia con el sistema legacy y verificación</w:t>
        <w:tab/>
        <w:t>10</w:t>
      </w:r>
    </w:p>
    <w:p>
      <w:pPr>
        <w:tabs>
          <w:tab w:pos="9072" w:val="right" w:leader="dot"/>
        </w:tabs>
        <w:spacing w:after="0"/>
        <w:ind w:left="0"/>
      </w:pPr>
      <w:r>
        <w:rPr>
          <w:rFonts w:ascii="Arial" w:hAnsi="Arial" w:eastAsia="Arial"/>
          <w:b/>
          <w:i w:val="0"/>
          <w:sz w:val="22"/>
        </w:rPr>
        <w:t>5. Parte 2: Patrón Backend for Frontend</w:t>
        <w:tab/>
        <w:t>12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5.1 Autenticación, autorización y comunicaciones seguras</w:t>
        <w:tab/>
        <w:t>12</w:t>
      </w:r>
    </w:p>
    <w:p>
      <w:pPr>
        <w:tabs>
          <w:tab w:pos="9072" w:val="right" w:leader="dot"/>
        </w:tabs>
        <w:spacing w:after="0"/>
        <w:ind w:left="0"/>
      </w:pPr>
      <w:r>
        <w:rPr>
          <w:rFonts w:ascii="Arial" w:hAnsi="Arial" w:eastAsia="Arial"/>
          <w:b/>
          <w:i w:val="0"/>
          <w:sz w:val="22"/>
        </w:rPr>
        <w:t>6. Parte 3: Microservicios resilientes con Spring Cloud</w:t>
        <w:tab/>
        <w:t>14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6.1 Microservicios de negocio</w:t>
        <w:tab/>
        <w:t>14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6.2 Spring Cloud: configuración, descubrimiento, balanceo y enrutamiento</w:t>
        <w:tab/>
        <w:t>14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6.3 Seguridad OAuth2</w:t>
        <w:tab/>
        <w:t>14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6.4 Resiliencia con Resilience4j</w:t>
        <w:tab/>
        <w:t>15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6.5 Mensajería asíncrona con Kafka</w:t>
        <w:tab/>
        <w:t>15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6.6 Consistencia de datos en entorno distribuido</w:t>
        <w:tab/>
        <w:t>15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6.7 Monitorización y registro</w:t>
        <w:tab/>
        <w:t>16</w:t>
      </w:r>
    </w:p>
    <w:p>
      <w:pPr>
        <w:tabs>
          <w:tab w:pos="9072" w:val="right" w:leader="dot"/>
        </w:tabs>
        <w:spacing w:after="0"/>
        <w:ind w:left="0"/>
      </w:pPr>
      <w:r>
        <w:rPr>
          <w:rFonts w:ascii="Arial" w:hAnsi="Arial" w:eastAsia="Arial"/>
          <w:b/>
          <w:i w:val="0"/>
          <w:sz w:val="22"/>
        </w:rPr>
        <w:t>7. Docker, escalabilidad horizontal y nube</w:t>
        <w:tab/>
        <w:t>17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7.1 Contenedores y orquestación</w:t>
        <w:tab/>
        <w:t>17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7.2 Escalabilidad horizontal</w:t>
        <w:tab/>
        <w:t>17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7.3 Preparación para AWS</w:t>
        <w:tab/>
        <w:t>17</w:t>
      </w:r>
    </w:p>
    <w:p>
      <w:pPr>
        <w:tabs>
          <w:tab w:pos="9072" w:val="right" w:leader="dot"/>
        </w:tabs>
        <w:spacing w:after="0"/>
        <w:ind w:left="0"/>
      </w:pPr>
      <w:r>
        <w:rPr>
          <w:rFonts w:ascii="Arial" w:hAnsi="Arial" w:eastAsia="Arial"/>
          <w:b/>
          <w:i w:val="0"/>
          <w:sz w:val="22"/>
        </w:rPr>
        <w:t>8. Documentación entregada</w:t>
        <w:tab/>
        <w:t>18</w:t>
      </w:r>
    </w:p>
    <w:p>
      <w:pPr>
        <w:tabs>
          <w:tab w:pos="9072" w:val="right" w:leader="dot"/>
        </w:tabs>
        <w:spacing w:after="0"/>
        <w:ind w:left="0"/>
      </w:pPr>
      <w:r>
        <w:rPr>
          <w:rFonts w:ascii="Arial" w:hAnsi="Arial" w:eastAsia="Arial"/>
          <w:b/>
          <w:i w:val="0"/>
          <w:sz w:val="22"/>
        </w:rPr>
        <w:t>9. Comparación con el sistema legacy</w:t>
        <w:tab/>
        <w:t>19</w:t>
      </w:r>
    </w:p>
    <w:p>
      <w:pPr>
        <w:tabs>
          <w:tab w:pos="9072" w:val="right" w:leader="dot"/>
        </w:tabs>
        <w:spacing w:after="0"/>
        <w:ind w:left="0"/>
      </w:pPr>
      <w:r>
        <w:rPr>
          <w:rFonts w:ascii="Arial" w:hAnsi="Arial" w:eastAsia="Arial"/>
          <w:b/>
          <w:i w:val="0"/>
          <w:sz w:val="22"/>
        </w:rPr>
        <w:t>10. Desafíos, soluciones y mejoras propuestas</w:t>
        <w:tab/>
        <w:t>20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10.1 Desafíos enfrentados y soluciones</w:t>
        <w:tab/>
        <w:t>20</w:t>
      </w:r>
    </w:p>
    <w:p>
      <w:pPr>
        <w:tabs>
          <w:tab w:pos="9072" w:val="right" w:leader="dot"/>
        </w:tabs>
        <w:spacing w:after="0"/>
        <w:ind w:left="432"/>
      </w:pPr>
      <w:r>
        <w:rPr>
          <w:rFonts w:ascii="Arial" w:hAnsi="Arial" w:eastAsia="Arial"/>
          <w:b w:val="0"/>
          <w:i w:val="0"/>
          <w:sz w:val="20"/>
        </w:rPr>
        <w:t>10.2 Propuestas de mejora y próximos pasos</w:t>
        <w:tab/>
        <w:t>20</w:t>
      </w:r>
    </w:p>
    <w:p>
      <w:pPr>
        <w:pStyle w:val="767"/>
        <w:pageBreakBefore/>
      </w:pPr>
      <w:r>
        <w:rPr>
          <w:rFonts w:ascii="Arial" w:hAnsi="Arial" w:eastAsia="Arial"/>
          <w:b/>
          <w:i w:val="0"/>
          <w:sz w:val="44"/>
        </w:rPr>
        <w:t>1. Introducción y contexto</w:t>
      </w:r>
    </w:p>
    <w:p>
      <w:pPr>
        <w:spacing w:after="120"/>
        <w:jc w:val="both"/>
      </w:pPr>
      <w:r>
        <w:rPr>
          <w:rFonts w:ascii="Arial" w:hAnsi="Arial" w:eastAsia="Arial"/>
          <w:b w:val="0"/>
          <w:i w:val="0"/>
          <w:sz w:val="24"/>
        </w:rPr>
        <w:t>El Banco XYZ opera desde hace más de 30 años un sistema de gestión bancaria legacy construido en COBOL y scripts Shell sobre servidores mainframe. Este sistema concentra operaciones críticas (procesamiento de transacciones, estados de cuenta, cálculo de intereses y gestión de clientes), pero presenta limitaciones de escalabilidad, altos costos de mantenimiento y dificultad para integrar nuevas tecnologías y canales.</w:t>
      </w:r>
    </w:p>
    <w:p>
      <w:pPr>
        <w:spacing w:after="120"/>
        <w:jc w:val="both"/>
      </w:pPr>
      <w:r>
        <w:rPr>
          <w:rFonts w:ascii="Arial" w:hAnsi="Arial" w:eastAsia="Arial"/>
          <w:b w:val="0"/>
          <w:i w:val="0"/>
          <w:sz w:val="24"/>
        </w:rPr>
        <w:t>Este informe describe la solución desarrollada por Miguel Castillo: una plataforma moderna basada en microservicios con Spring Boot y Spring Cloud, procesos batch migrados a Spring Batch, el patrón Backend for Frontend (BFF) para tres canales (web, móvil y cajeros automáticos), seguridad con OAuth2, resiliencia con Resilience4j, mensajería asíncrona con Kafka y empaquetado en Docker listo para AWS.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1.1 Objetivos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Reescribir los procesos batch legacy en Spring Batch con manejo de errores, reintentos, paralelismo y reejecución automática.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Separar el monolito en microservicios independientes (Clientes, Cuentas y Pagos) con configuración centralizada y descubrimiento dinámico.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Entregar respuestas optimizadas y seguras por canal mediante tres BFF independientes.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Garantizar seguridad distribuida (OAuth2/JWT, HTTPS), tolerancia a fallos y escalabilidad horizontal.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1.2 Alcance y supuestos</w:t>
      </w:r>
    </w:p>
    <w:p>
      <w:pPr>
        <w:spacing w:after="120"/>
        <w:jc w:val="both"/>
      </w:pPr>
      <w:r>
        <w:rPr>
          <w:rFonts w:ascii="Arial" w:hAnsi="Arial" w:eastAsia="Arial"/>
          <w:b w:val="0"/>
          <w:i w:val="0"/>
          <w:sz w:val="24"/>
        </w:rPr>
        <w:t>El alcance cubre las tres partes solicitadas en la evaluación. Como datos de entrada se utilizó un conjunto de prueba con el formato descrito en la sección 4 (20.000 transacciones y 200 cuentas); los archivos pueden reemplazarse por los del repositorio fin_legacy_data ajustando el mapeo de columnas. La autenticación implementada es de tipo cliente-aplicación (client_credentials) por canal; la identidad del usuario final queda como mejora (sección 10).</w:t>
      </w:r>
    </w:p>
    <w:p>
      <w:pPr>
        <w:pStyle w:val="767"/>
        <w:pageBreakBefore/>
      </w:pPr>
      <w:r>
        <w:rPr>
          <w:rFonts w:ascii="Arial" w:hAnsi="Arial" w:eastAsia="Arial"/>
          <w:b/>
          <w:i w:val="0"/>
          <w:sz w:val="44"/>
        </w:rPr>
        <w:t>2. Identificación de procesos clave</w:t>
      </w:r>
    </w:p>
    <w:p>
      <w:pPr>
        <w:spacing w:after="120"/>
        <w:jc w:val="both"/>
      </w:pPr>
      <w:r>
        <w:rPr>
          <w:rFonts w:ascii="Arial" w:hAnsi="Arial" w:eastAsia="Arial"/>
          <w:b w:val="0"/>
          <w:i w:val="0"/>
          <w:sz w:val="24"/>
        </w:rPr>
        <w:t>Se identificaron cinco procesos críticos para la migración desde el sistema legacy hacia una arquitectura de microservicios. Cada uno resuelve un problema concreto del sistema actual y se materializa en componentes específicos de la solución.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5"/>
        <w:gridCol w:w="1985"/>
        <w:gridCol w:w="1985"/>
        <w:gridCol w:w="1985"/>
        <w:gridCol w:w="1985"/>
      </w:tblGrid>
      <w:tr>
        <w:tc>
          <w:tcPr>
            <w:tcW w:type="dxa" w:w="432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Proceso clave</w:t>
            </w:r>
          </w:p>
        </w:tc>
        <w:tc>
          <w:tcPr>
            <w:tcW w:type="dxa" w:w="2304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Problema en el legacy</w:t>
            </w:r>
          </w:p>
        </w:tc>
        <w:tc>
          <w:tcPr>
            <w:tcW w:type="dxa" w:w="2736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Solución implementada</w:t>
            </w:r>
          </w:p>
        </w:tc>
        <w:tc>
          <w:tcPr>
            <w:tcW w:type="dxa" w:w="2016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Componentes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Migración de procesos batch a Spring Batch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Procesos COBOL/Shell secuenciales, sin reintentos ni paralelismo, difíciles de mantener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 jobs chunk-oriented con retry, skip, multi-hilo y reejecución automática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batch-service</w:t>
            </w:r>
          </w:p>
        </w:tc>
      </w:tr>
      <w:tr>
        <w:tc>
          <w:tcPr>
            <w:tcW w:type="dxa" w:w="43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7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División del monolito en microservicios</w:t>
            </w:r>
          </w:p>
        </w:tc>
        <w:tc>
          <w:tcPr>
            <w:tcW w:type="dxa" w:w="230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Escalado y mantenimiento complejos; un fallo afecta a todo</w:t>
            </w:r>
          </w:p>
        </w:tc>
        <w:tc>
          <w:tcPr>
            <w:tcW w:type="dxa" w:w="273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Servicios de Clientes, Cuentas y Pagos con BD propia, Config Server, Eureka y Gateway</w:t>
            </w:r>
          </w:p>
        </w:tc>
        <w:tc>
          <w:tcPr>
            <w:tcW w:type="dxa" w:w="20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clientes/cuentas/pagos-service, config-server, eureka-server, api-gateway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Patrón Backend for Frontend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Todos los canales reciben los mismos datos; el frontend depende del monolito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Un BFF por canal con payload y reglas propias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bff-web, bff-movil, bff-atm</w:t>
            </w:r>
          </w:p>
        </w:tc>
      </w:tr>
      <w:tr>
        <w:tc>
          <w:tcPr>
            <w:tcW w:type="dxa" w:w="43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7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Seguridad distribuida con Spring Cloud Security</w:t>
            </w:r>
          </w:p>
        </w:tc>
        <w:tc>
          <w:tcPr>
            <w:tcW w:type="dxa" w:w="230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Seguridad centralizada y limitada</w:t>
            </w:r>
          </w:p>
        </w:tc>
        <w:tc>
          <w:tcPr>
            <w:tcW w:type="dxa" w:w="273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OAuth2/JWT con scopes y TTL por canal; HTTPS en el punto de entrada; cada servicio valida el token</w:t>
            </w:r>
          </w:p>
        </w:tc>
        <w:tc>
          <w:tcPr>
            <w:tcW w:type="dxa" w:w="20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auth-server, common (resource server), api-gateway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Mensajería asíncrona con Kafka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Acoplamiento síncrono entre módulos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Eventos de transacciones completadas y alertas de seguridad en tópicos Kafka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pagos-service (productor), notificaciones-service (consumidor)</w:t>
            </w:r>
          </w:p>
        </w:tc>
      </w:tr>
    </w:tbl>
    <w:p>
      <w:pPr>
        <w:spacing w:after="80"/>
      </w:pPr>
    </w:p>
    <w:p>
      <w:pPr>
        <w:pStyle w:val="767"/>
        <w:pageBreakBefore/>
      </w:pPr>
      <w:r>
        <w:rPr>
          <w:rFonts w:ascii="Arial" w:hAnsi="Arial" w:eastAsia="Arial"/>
          <w:b/>
          <w:i w:val="0"/>
          <w:sz w:val="44"/>
        </w:rPr>
        <w:t>3. Propuesta de arquitectura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3.1 Requerimientos clave del negocio</w:t>
      </w:r>
    </w:p>
    <w:p>
      <w:pPr>
        <w:spacing w:after="120"/>
        <w:jc w:val="both"/>
      </w:pPr>
      <w:r>
        <w:rPr>
          <w:rFonts w:ascii="Arial" w:hAnsi="Arial" w:eastAsia="Arial"/>
          <w:b w:val="0"/>
          <w:i w:val="0"/>
          <w:sz w:val="24"/>
        </w:rPr>
        <w:t>A partir del contexto del Banco XYZ se identificaron cinco requerimientos clave. Cada uno se vincula con decisiones de arquitectura concretas que se justifican en la sección 3.2.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08"/>
        <w:gridCol w:w="3308"/>
        <w:gridCol w:w="3308"/>
      </w:tblGrid>
      <w:tr>
        <w:tc>
          <w:tcPr>
            <w:tcW w:type="dxa" w:w="2304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Requerimiento de negocio</w:t>
            </w:r>
          </w:p>
        </w:tc>
        <w:tc>
          <w:tcPr>
            <w:tcW w:type="dxa" w:w="3456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Justificación</w:t>
            </w:r>
          </w:p>
        </w:tc>
        <w:tc>
          <w:tcPr>
            <w:tcW w:type="dxa" w:w="3600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Decisión de arquitectura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R1. Escalabilidad y disponibilidad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La demanda bancaria varía (cierres de mes, campañas) y el mainframe solo escala verticalmente con alto costo.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Microservicios sin estado, descubrimiento con Eureka, balanceo client-side y Gateway; escalado horizontal con Docker/ECS.</w:t>
            </w:r>
          </w:p>
        </w:tc>
      </w:tr>
      <w:tr>
        <w:tc>
          <w:tcPr>
            <w:tcW w:type="dxa" w:w="230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R2. Seguridad y cumplimiento</w:t>
            </w:r>
          </w:p>
        </w:tc>
        <w:tc>
          <w:tcPr>
            <w:tcW w:type="dxa" w:w="345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 manejan datos financieros y personales; cada canal tiene un nivel de riesgo distinto.</w:t>
            </w:r>
          </w:p>
        </w:tc>
        <w:tc>
          <w:tcPr>
            <w:tcW w:type="dxa" w:w="3600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OAuth2/JWT con scopes y TTL por canal, validación en cada servicio, HTTPS, bloqueo de operaciones fuera del canal.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R3. Continuidad operacional (resiliencia)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Un fallo en un módulo no debe detener los pagos ni dejar al cliente sin respuesta.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Resilience4j (Retry, CircuitBreaker, timeouts) con comportamientos alternativos; Saga con compensación.</w:t>
            </w:r>
          </w:p>
        </w:tc>
      </w:tr>
      <w:tr>
        <w:tc>
          <w:tcPr>
            <w:tcW w:type="dxa" w:w="230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R4. Eficiencia operativa de procesos masivos</w:t>
            </w:r>
          </w:p>
        </w:tc>
        <w:tc>
          <w:tcPr>
            <w:tcW w:type="dxa" w:w="345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Los procesos nocturnos deben terminar en ventanas acotadas y ser re-ejecutables.</w:t>
            </w:r>
          </w:p>
        </w:tc>
        <w:tc>
          <w:tcPr>
            <w:tcW w:type="dxa" w:w="3600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Spring Batch con chunks, paralelismo, UPSERT idempotente y reejecución automática.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R5. Agilidad para nuevos canales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Web, móvil y ATM evolucionan con ritmos distintos y necesitan datos distintos.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Patrón BFF: equipos frontend y backend desarrollan en paralelo con contratos por canal.</w:t>
            </w:r>
          </w:p>
        </w:tc>
      </w:tr>
    </w:tbl>
    <w:p>
      <w:pPr>
        <w:spacing w:after="80"/>
      </w:pP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3.2 Decisiones tecnológicas y justificación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08"/>
        <w:gridCol w:w="3308"/>
        <w:gridCol w:w="3308"/>
      </w:tblGrid>
      <w:tr>
        <w:tc>
          <w:tcPr>
            <w:tcW w:type="dxa" w:w="2592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Decisión</w:t>
            </w:r>
          </w:p>
        </w:tc>
        <w:tc>
          <w:tcPr>
            <w:tcW w:type="dxa" w:w="1872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Alternativas</w:t>
            </w:r>
          </w:p>
        </w:tc>
        <w:tc>
          <w:tcPr>
            <w:tcW w:type="dxa" w:w="4896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Spring Boot 3 / Java 17 + Spring Cloud 2023.0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Quarkus, Micronaut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Ecosistema maduro, integración nativa con Config, Eureka, Gateway, OAuth2 y Resilience4j; estándar en banca.</w:t>
            </w:r>
          </w:p>
        </w:tc>
      </w:tr>
      <w:tr>
        <w:tc>
          <w:tcPr>
            <w:tcW w:type="dxa" w:w="259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Spring Cloud Config (perfil native)</w:t>
            </w:r>
          </w:p>
        </w:tc>
        <w:tc>
          <w:tcPr>
            <w:tcW w:type="dxa" w:w="187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Variables de entorno, Consul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Configuración centralizada y versionable; los servicios no contienen URLs ni parámetros de resiliencia.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Eureka + Spring Cloud LoadBalancer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Kubernetes DNS, Consul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Detección dinámica y round-robin client-side; permite --scale sin cambiar configuración.</w:t>
            </w:r>
          </w:p>
        </w:tc>
      </w:tr>
      <w:tr>
        <w:tc>
          <w:tcPr>
            <w:tcW w:type="dxa" w:w="259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Spring Cloud Gateway con HTTPS</w:t>
            </w:r>
          </w:p>
        </w:tc>
        <w:tc>
          <w:tcPr>
            <w:tcW w:type="dxa" w:w="187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Nginx, AWS API Gateway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Enrutamiento lb:// por canal, un único punto de entrada seguro y portable a AWS ALB.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OAuth2 (Spring Authorization Server) + JWT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Keycloak, Cognito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Control total de scopes y TTL por canal; tokens verificables por cada servicio sin consultar al emisor (JWKS).</w:t>
            </w:r>
          </w:p>
        </w:tc>
      </w:tr>
      <w:tr>
        <w:tc>
          <w:tcPr>
            <w:tcW w:type="dxa" w:w="259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Resilience4j</w:t>
            </w:r>
          </w:p>
        </w:tc>
        <w:tc>
          <w:tcPr>
            <w:tcW w:type="dxa" w:w="187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Hystrix (obsoleto), Sentinel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Integración con Spring Boot 3, configuración declarativa, métricas y health indicators.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Kafka (KRaft)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RabbitMQ, JMS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Tópicos persistentes y particionados, consumidores independientes, retención de eventos.</w:t>
            </w:r>
          </w:p>
        </w:tc>
      </w:tr>
      <w:tr>
        <w:tc>
          <w:tcPr>
            <w:tcW w:type="dxa" w:w="259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PostgreSQL (una BD por servicio)</w:t>
            </w:r>
          </w:p>
        </w:tc>
        <w:tc>
          <w:tcPr>
            <w:tcW w:type="dxa" w:w="187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BD compartida, H2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Aislamiento de datos entre microservicios, transacciones ACID y bloqueos de fila; equivalente a Amazon RDS.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Spring Batch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Quartz + scripts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Modelo estándar de jobs/steps con repositorio de ejecuciones, reintentos, skip y reinicio.</w:t>
            </w:r>
          </w:p>
        </w:tc>
      </w:tr>
      <w:tr>
        <w:tc>
          <w:tcPr>
            <w:tcW w:type="dxa" w:w="259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Docker + docker-compose</w:t>
            </w:r>
          </w:p>
        </w:tc>
        <w:tc>
          <w:tcPr>
            <w:tcW w:type="dxa" w:w="187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Instalación manual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Entorno reproducible y portable a ECS/EKS.</w:t>
            </w:r>
          </w:p>
        </w:tc>
      </w:tr>
    </w:tbl>
    <w:p>
      <w:pPr>
        <w:spacing w:after="80"/>
      </w:pP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3.3 Diagrama de arquitectura</w:t>
      </w:r>
    </w:p>
    <w:p>
      <w:pPr>
        <w:jc w:val="center"/>
      </w:pPr>
      <w:r>
        <w:drawing>
          <wp:inline xmlns:pic="http://schemas.openxmlformats.org/drawingml/2006/picture">
            <wp:extent cx="5669280" cy="4794786"/>
            <wp:docPr id="1622403337" name="Picture 1622403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4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505050"/>
          <w:sz w:val="20"/>
        </w:rPr>
        <w:t>Figura 1. Arquitectura general de la solución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3.4 Diagrama de casos de uso</w:t>
      </w:r>
    </w:p>
    <w:p>
      <w:pPr>
        <w:jc w:val="center"/>
      </w:pPr>
      <w:r>
        <w:drawing>
          <wp:inline xmlns:pic="http://schemas.openxmlformats.org/drawingml/2006/picture">
            <wp:extent cx="5760720" cy="5337553"/>
            <wp:docPr id="1622403338" name="Picture 1622403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7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505050"/>
          <w:sz w:val="20"/>
        </w:rPr>
        <w:t>Figura 2. Casos de uso principales por actor</w:t>
      </w:r>
    </w:p>
    <w:p>
      <w:pPr>
        <w:pStyle w:val="767"/>
        <w:pageBreakBefore/>
      </w:pPr>
      <w:r>
        <w:rPr>
          <w:rFonts w:ascii="Arial" w:hAnsi="Arial" w:eastAsia="Arial"/>
          <w:b/>
          <w:i w:val="0"/>
          <w:sz w:val="44"/>
        </w:rPr>
        <w:t>4. Parte 1: Migración de procesos batch</w:t>
      </w:r>
    </w:p>
    <w:p>
      <w:pPr>
        <w:spacing w:after="120"/>
        <w:jc w:val="both"/>
      </w:pPr>
      <w:r>
        <w:rPr>
          <w:rFonts w:ascii="Arial" w:hAnsi="Arial" w:eastAsia="Arial"/>
          <w:b w:val="0"/>
          <w:i w:val="0"/>
          <w:sz w:val="24"/>
        </w:rPr>
        <w:t>Los tres procesos legacy fueron reescritos como jobs de Spring Batch dentro del módulo batch-service. Los jobs se ejecutan bajo demanda mediante un endpoint protegido (scope banco.admin) y pueden programarse con un scheduler externo (por ejemplo EventBridge en AWS).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4.1 Jobs implementados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5"/>
        <w:gridCol w:w="1985"/>
        <w:gridCol w:w="1985"/>
        <w:gridCol w:w="1985"/>
        <w:gridCol w:w="1985"/>
      </w:tblGrid>
      <w:tr>
        <w:tc>
          <w:tcPr>
            <w:tcW w:type="dxa" w:w="2016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Job</w:t>
            </w:r>
          </w:p>
        </w:tc>
        <w:tc>
          <w:tcPr>
            <w:tcW w:type="dxa" w:w="1728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Proceso legacy</w:t>
            </w:r>
          </w:p>
        </w:tc>
        <w:tc>
          <w:tcPr>
            <w:tcW w:type="dxa" w:w="1872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Lectura</w:t>
            </w:r>
          </w:p>
        </w:tc>
        <w:tc>
          <w:tcPr>
            <w:tcW w:type="dxa" w:w="2160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Procesamiento</w:t>
            </w:r>
          </w:p>
        </w:tc>
        <w:tc>
          <w:tcPr>
            <w:tcW w:type="dxa" w:w="1728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Escritura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reporteTransaccionesDiarias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Reporte de Transacciones Diarias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CSV de transacciones (reader sincronizado, multi-hilo)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Detecta anomalías: monto no positivo, monto sobre 5.000.000 o tipo desconocido; filtro opcional por fecha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UPSERT en reporte_transacciones + step de resumen por fecha y tipo (resumen_diario)</w:t>
            </w:r>
          </w:p>
        </w:tc>
      </w:tr>
      <w:tr>
        <w:tc>
          <w:tcPr>
            <w:tcW w:type="dxa" w:w="20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calculoInteresesMensuales</w:t>
            </w:r>
          </w:p>
        </w:tc>
        <w:tc>
          <w:tcPr>
            <w:tcW w:type="dxa" w:w="1728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Cálculo de Intereses Mensuales</w:t>
            </w:r>
          </w:p>
        </w:tc>
        <w:tc>
          <w:tcPr>
            <w:tcW w:type="dxa" w:w="187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Cuentas desde BD (paginado, thread-safe)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interés = saldo × tasa anual / 12 (ahorro 3 %, préstamo 12 %, corriente 0 %), redondeo HALF_UP</w:t>
            </w:r>
          </w:p>
        </w:tc>
        <w:tc>
          <w:tcPr>
            <w:tcW w:type="dxa" w:w="1728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UPSERT en intereses_calculados (cuenta, periodo)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estadosCuentaAnuales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Generación de Estados de Cuenta Anuales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Cuentas desde BD (paginado)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Totaliza depósitos, cargos, movimientos válidos e intereses del año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UPSERT en estados_cuenta (cuenta, año)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pic="http://schemas.openxmlformats.org/drawingml/2006/picture">
            <wp:extent cx="5760720" cy="2878609"/>
            <wp:docPr id="1622403339" name="Picture 1622403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505050"/>
          <w:sz w:val="20"/>
        </w:rPr>
        <w:t>Figura 3. Flujo de los procesos batch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4.2 Manejo de errores, paralelismo y reejecución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/>
          <w:i w:val="0"/>
          <w:sz w:val="24"/>
        </w:rPr>
        <w:t xml:space="preserve">• Reintentos: </w:t>
      </w:r>
      <w:r>
        <w:rPr>
          <w:rFonts w:ascii="Arial" w:hAnsi="Arial" w:eastAsia="Arial"/>
          <w:b w:val="0"/>
          <w:i w:val="0"/>
          <w:sz w:val="24"/>
        </w:rPr>
        <w:t>fallos transitorios de base de datos (TransientDataAccessException) se reintentan 3 veces con espera fija de 1 segundo.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/>
          <w:i w:val="0"/>
          <w:sz w:val="24"/>
        </w:rPr>
        <w:t xml:space="preserve">• Omisión controlada: </w:t>
      </w:r>
      <w:r>
        <w:rPr>
          <w:rFonts w:ascii="Arial" w:hAnsi="Arial" w:eastAsia="Arial"/>
          <w:b w:val="0"/>
          <w:i w:val="0"/>
          <w:sz w:val="24"/>
        </w:rPr>
        <w:t>filas corruptas (errores de parseo o fechas inválidas) se omiten hasta un máximo de 50 sin detener el job.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/>
          <w:i w:val="0"/>
          <w:sz w:val="24"/>
        </w:rPr>
        <w:t xml:space="preserve">• Paralelismo y volumen: </w:t>
      </w:r>
      <w:r>
        <w:rPr>
          <w:rFonts w:ascii="Arial" w:hAnsi="Arial" w:eastAsia="Arial"/>
          <w:b w:val="0"/>
          <w:i w:val="0"/>
          <w:sz w:val="24"/>
        </w:rPr>
        <w:t>steps multi-hilo (4 hilos), chunks de 500 registros y escritura JDBC por lotes; el lector de archivo se sincroniza y el lector de BD es thread-safe.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/>
          <w:i w:val="0"/>
          <w:sz w:val="24"/>
        </w:rPr>
        <w:t xml:space="preserve">• Integridad y consistencia: </w:t>
      </w:r>
      <w:r>
        <w:rPr>
          <w:rFonts w:ascii="Arial" w:hAnsi="Arial" w:eastAsia="Arial"/>
          <w:b w:val="0"/>
          <w:i w:val="0"/>
          <w:sz w:val="24"/>
        </w:rPr>
        <w:t>toda escritura es un UPSERT (ON CONFLICT DO UPDATE), por lo que reejecutar un job no duplica datos; cada chunk es transaccional.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/>
          <w:i w:val="0"/>
          <w:sz w:val="24"/>
        </w:rPr>
        <w:t xml:space="preserve">• Política de finalización y reejecución automática: </w:t>
      </w:r>
      <w:r>
        <w:rPr>
          <w:rFonts w:ascii="Arial" w:hAnsi="Arial" w:eastAsia="Arial"/>
          <w:b w:val="0"/>
          <w:i w:val="0"/>
          <w:sz w:val="24"/>
        </w:rPr>
        <w:t>el componente FailedJobRestarter revisa cada 60 s las instancias en estado FAILED y las relanza con los mismos parámetros (hasta 3 reintentos); superado el límite, registra un error para intervención manual. El repositorio de Spring Batch en PostgreSQL evita ejecuciones duplicadas entre instancias.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4.3 Equivalencia con el sistema legacy y verificación</w:t>
      </w:r>
    </w:p>
    <w:p>
      <w:pPr>
        <w:spacing w:after="120"/>
        <w:jc w:val="both"/>
      </w:pPr>
      <w:r>
        <w:rPr>
          <w:rFonts w:ascii="Arial" w:hAnsi="Arial" w:eastAsia="Arial"/>
          <w:b w:val="0"/>
          <w:i w:val="0"/>
          <w:sz w:val="24"/>
        </w:rPr>
        <w:t>Para asegurar resultados equivalentes se mantuvieron las reglas de negocio del legacy (detección de anomalías, fórmula de interés y totalización anual) y se definieron controles de verificación: conteo de registros leídos contra escritos más omitidos, y totales por fecha y tipo comparables con el resumen que producía el proceso original.</w:t>
      </w:r>
    </w:p>
    <w:p>
      <w:pPr>
        <w:spacing w:after="120"/>
        <w:jc w:val="both"/>
      </w:pPr>
      <w:r>
        <w:rPr>
          <w:rFonts w:ascii="Arial" w:hAnsi="Arial" w:eastAsia="Arial"/>
          <w:b w:val="0"/>
          <w:i w:val="0"/>
          <w:sz w:val="24"/>
        </w:rPr>
        <w:t>Con el conjunto de datos de prueba incluido (20.003 líneas de datos), los valores esperados del job reporteTransaccionesDiarias son: 20.000 registros procesados y escritos, 3 filas corruptas omitidas y 39 anomalías detectadas. Estos valores se verifican con el script scripts/generar_evidencia.sh, cuya salida queda registrada en la carpeta evidencias.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08"/>
        <w:gridCol w:w="3308"/>
        <w:gridCol w:w="3308"/>
      </w:tblGrid>
      <w:tr>
        <w:tc>
          <w:tcPr>
            <w:tcW w:type="dxa" w:w="1872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Aspecto</w:t>
            </w:r>
          </w:p>
        </w:tc>
        <w:tc>
          <w:tcPr>
            <w:tcW w:type="dxa" w:w="3456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Legacy (COBOL/Shell)</w:t>
            </w:r>
          </w:p>
        </w:tc>
        <w:tc>
          <w:tcPr>
            <w:tcW w:type="dxa" w:w="4032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Nueva solución (Spring Batch)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Ejecución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Secuencial en mainframe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Multi-hilo, chunks de 500, escalable</w:t>
            </w:r>
          </w:p>
        </w:tc>
      </w:tr>
      <w:tr>
        <w:tc>
          <w:tcPr>
            <w:tcW w:type="dxa" w:w="187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Errores</w:t>
            </w:r>
          </w:p>
        </w:tc>
        <w:tc>
          <w:tcPr>
            <w:tcW w:type="dxa" w:w="345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El proceso se detiene o requiere intervención</w:t>
            </w:r>
          </w:p>
        </w:tc>
        <w:tc>
          <w:tcPr>
            <w:tcW w:type="dxa" w:w="403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Retry, skip y reejecución automática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Reproceso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Manual, riesgo de duplicados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Idempotente (UPSERT)</w:t>
            </w:r>
          </w:p>
        </w:tc>
      </w:tr>
      <w:tr>
        <w:tc>
          <w:tcPr>
            <w:tcW w:type="dxa" w:w="187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Trazabilidad</w:t>
            </w:r>
          </w:p>
        </w:tc>
        <w:tc>
          <w:tcPr>
            <w:tcW w:type="dxa" w:w="345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Logs de texto</w:t>
            </w:r>
          </w:p>
        </w:tc>
        <w:tc>
          <w:tcPr>
            <w:tcW w:type="dxa" w:w="403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Repositorio de ejecuciones (lecturas, escrituras, omitidos) consultable por API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Operación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Scripts Shell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API protegida y programable en la nube</w:t>
            </w:r>
          </w:p>
        </w:tc>
      </w:tr>
    </w:tbl>
    <w:p>
      <w:pPr>
        <w:spacing w:after="80"/>
      </w:pPr>
    </w:p>
    <w:p>
      <w:pPr>
        <w:pStyle w:val="767"/>
        <w:pageBreakBefore/>
      </w:pPr>
      <w:r>
        <w:rPr>
          <w:rFonts w:ascii="Arial" w:hAnsi="Arial" w:eastAsia="Arial"/>
          <w:b/>
          <w:i w:val="0"/>
          <w:sz w:val="44"/>
        </w:rPr>
        <w:t>5. Parte 2: Patrón Backend for Frontend</w:t>
      </w:r>
    </w:p>
    <w:p>
      <w:pPr>
        <w:spacing w:after="120"/>
        <w:jc w:val="both"/>
      </w:pPr>
      <w:r>
        <w:rPr>
          <w:rFonts w:ascii="Arial" w:hAnsi="Arial" w:eastAsia="Arial"/>
          <w:b w:val="0"/>
          <w:i w:val="0"/>
          <w:sz w:val="24"/>
        </w:rPr>
        <w:t>Se implementaron tres BFF independientes, cada uno como microservicio propio con su contrato, seguridad y reglas de degradación. Los equipos de frontend de cada canal pueden evolucionar su BFF sin afectar a los demás ni al backend de dominio.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81"/>
        <w:gridCol w:w="2481"/>
        <w:gridCol w:w="2481"/>
        <w:gridCol w:w="2481"/>
      </w:tblGrid>
      <w:tr>
        <w:tc>
          <w:tcPr>
            <w:tcW w:type="dxa" w:w="1872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Aspecto</w:t>
            </w:r>
          </w:p>
        </w:tc>
        <w:tc>
          <w:tcPr>
            <w:tcW w:type="dxa" w:w="2592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BFF Web</w:t>
            </w:r>
          </w:p>
        </w:tc>
        <w:tc>
          <w:tcPr>
            <w:tcW w:type="dxa" w:w="2448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BFF Móvil</w:t>
            </w:r>
          </w:p>
        </w:tc>
        <w:tc>
          <w:tcPr>
            <w:tcW w:type="dxa" w:w="2448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BFF ATM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Ruta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/web/**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/movil/**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/atm/**</w:t>
            </w:r>
          </w:p>
        </w:tc>
      </w:tr>
      <w:tr>
        <w:tc>
          <w:tcPr>
            <w:tcW w:type="dxa" w:w="187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Scope exigido</w:t>
            </w:r>
          </w:p>
        </w:tc>
        <w:tc>
          <w:tcPr>
            <w:tcW w:type="dxa" w:w="259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canal.web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canal.movil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canal.atm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TTL del token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30 min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15 min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 min</w:t>
            </w:r>
          </w:p>
        </w:tc>
      </w:tr>
      <w:tr>
        <w:tc>
          <w:tcPr>
            <w:tcW w:type="dxa" w:w="187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Payload</w:t>
            </w:r>
          </w:p>
        </w:tc>
        <w:tc>
          <w:tcPr>
            <w:tcW w:type="dxa" w:w="259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Completo: cliente, cuentas, movimientos recientes, advertencias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Mínimo: nombre y (número, saldo) por cuenta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Solo saldo y resultado del retiro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Operaciones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Dashboard, transferencias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Resumen, transferencias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Consulta de saldo, retiro</w:t>
            </w:r>
          </w:p>
        </w:tc>
      </w:tr>
      <w:tr>
        <w:tc>
          <w:tcPr>
            <w:tcW w:type="dxa" w:w="187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Reglas propias</w:t>
            </w:r>
          </w:p>
        </w:tc>
        <w:tc>
          <w:tcPr>
            <w:tcW w:type="dxa" w:w="259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Agrega datos de 3 servicios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Reduce campos para ahorrar ancho de banda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Máximo 300.000 por retiro, múltiplos de 10.000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Ante fallos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Degradación: responde con advertencias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Degradación: aviso al usuario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Sin degradación: 503 controlado (operación crítica)</w:t>
            </w:r>
          </w:p>
        </w:tc>
      </w:tr>
    </w:tbl>
    <w:p>
      <w:pPr>
        <w:spacing w:after="80"/>
      </w:pP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5.1 Autenticación, autorización y comunicaciones seguras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Cada canal tiene su propio cliente OAuth2 con scopes y vigencia distintos; un token de un canal es rechazado (403) en los BFF de otros canales.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El token se propaga a los microservicios, que validan firma (JWKS del Authorization Server) y el scope banco.read/banco.write.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El API Gateway expone únicamente HTTPS (puerto 8443) con certificado PKCS12; en producción se reemplaza por un certificado de ACM/CA.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Sin token la respuesta es 401; los endpoints de actuator expuestos públicamente se limitan a health e info.</w:t>
      </w:r>
    </w:p>
    <w:p>
      <w:pPr>
        <w:jc w:val="center"/>
      </w:pPr>
      <w:r>
        <w:drawing>
          <wp:inline xmlns:pic="http://schemas.openxmlformats.org/drawingml/2006/picture">
            <wp:extent cx="5760720" cy="3106590"/>
            <wp:docPr id="1622403340" name="Picture 1622403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505050"/>
          <w:sz w:val="20"/>
        </w:rPr>
        <w:t>Figura 4. Secuencia de una transferencia desde el canal web</w:t>
      </w:r>
    </w:p>
    <w:p>
      <w:pPr>
        <w:pStyle w:val="767"/>
        <w:pageBreakBefore/>
      </w:pPr>
      <w:r>
        <w:rPr>
          <w:rFonts w:ascii="Arial" w:hAnsi="Arial" w:eastAsia="Arial"/>
          <w:b/>
          <w:i w:val="0"/>
          <w:sz w:val="44"/>
        </w:rPr>
        <w:t>6. Parte 3: Microservicios resilientes con Spring Cloud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6.1 Microservicios de negocio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08"/>
        <w:gridCol w:w="3308"/>
        <w:gridCol w:w="3308"/>
      </w:tblGrid>
      <w:tr>
        <w:tc>
          <w:tcPr>
            <w:tcW w:type="dxa" w:w="2304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Servicio</w:t>
            </w:r>
          </w:p>
        </w:tc>
        <w:tc>
          <w:tcPr>
            <w:tcW w:type="dxa" w:w="3312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Responsabilidad</w:t>
            </w:r>
          </w:p>
        </w:tc>
        <w:tc>
          <w:tcPr>
            <w:tcW w:type="dxa" w:w="3744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Endpoints principales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clientes-service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Información personal y perfiles de clientes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GET/POST /api/clientes, GET/PUT /api/clientes/{id}</w:t>
            </w:r>
          </w:p>
        </w:tc>
      </w:tr>
      <w:tr>
        <w:tc>
          <w:tcPr>
            <w:tcW w:type="dxa" w:w="230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cuentas-service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Apertura, cierre y mantenimiento de cuentas</w:t>
            </w:r>
          </w:p>
        </w:tc>
        <w:tc>
          <w:tcPr>
            <w:tcW w:type="dxa" w:w="374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GET /api/cuentas?clienteId=, POST /api/cuentas, POST /{n}/cierre, POST /{n}/movimiento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pagos-service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Pagos, transferencias, depósitos y retiros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POST /api/pagos/transferencia|deposito|retiro|pago, GET /api/pagos?cuenta=</w:t>
            </w:r>
          </w:p>
        </w:tc>
      </w:tr>
      <w:tr>
        <w:tc>
          <w:tcPr>
            <w:tcW w:type="dxa" w:w="230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notificaciones-service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Consumo de eventos y envío de notificaciones</w:t>
            </w:r>
          </w:p>
        </w:tc>
        <w:tc>
          <w:tcPr>
            <w:tcW w:type="dxa" w:w="374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Consumidor Kafka; GET /api/notificaciones</w:t>
            </w:r>
          </w:p>
        </w:tc>
      </w:tr>
    </w:tbl>
    <w:p>
      <w:pPr>
        <w:spacing w:after="80"/>
      </w:pP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6.2 Spring Cloud: configuración, descubrimiento, balanceo y enrutamiento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/>
          <w:i w:val="0"/>
          <w:sz w:val="24"/>
        </w:rPr>
        <w:t xml:space="preserve">• Spring Cloud Config: </w:t>
      </w:r>
      <w:r>
        <w:rPr>
          <w:rFonts w:ascii="Arial" w:hAnsi="Arial" w:eastAsia="Arial"/>
          <w:b w:val="0"/>
          <w:i w:val="0"/>
          <w:sz w:val="24"/>
        </w:rPr>
        <w:t>toda la configuración compartida (Eureka, JWKS, Kafka, Resilience4j) y específica (puertos, bases de datos, scopes) vive en el Config Server; los servicios solo conocen su nombre y la URL del servidor.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/>
          <w:i w:val="0"/>
          <w:sz w:val="24"/>
        </w:rPr>
        <w:t xml:space="preserve">• Eureka: </w:t>
      </w:r>
      <w:r>
        <w:rPr>
          <w:rFonts w:ascii="Arial" w:hAnsi="Arial" w:eastAsia="Arial"/>
          <w:b w:val="0"/>
          <w:i w:val="0"/>
          <w:sz w:val="24"/>
        </w:rPr>
        <w:t>los servicios se registran con un identificador único por instancia, de modo que varias réplicas conviven sin conflicto.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/>
          <w:i w:val="0"/>
          <w:sz w:val="24"/>
        </w:rPr>
        <w:t xml:space="preserve">• Balanceo y enrutamiento: </w:t>
      </w:r>
      <w:r>
        <w:rPr>
          <w:rFonts w:ascii="Arial" w:hAnsi="Arial" w:eastAsia="Arial"/>
          <w:b w:val="0"/>
          <w:i w:val="0"/>
          <w:sz w:val="24"/>
        </w:rPr>
        <w:t>el Gateway enruta por prefijo hacia lb://bff-*, y los clientes HTTP internos usan RestClient con @LoadBalanced (round-robin) sobre nombres lógicos.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6.3 Seguridad OAuth2</w:t>
      </w:r>
    </w:p>
    <w:p>
      <w:pPr>
        <w:spacing w:after="120"/>
        <w:jc w:val="both"/>
      </w:pPr>
      <w:r>
        <w:rPr>
          <w:rFonts w:ascii="Arial" w:hAnsi="Arial" w:eastAsia="Arial"/>
          <w:b w:val="0"/>
          <w:i w:val="0"/>
          <w:sz w:val="24"/>
        </w:rPr>
        <w:t>El módulo común configura todos los servicios como Resource Server: sesiones sin estado, GET exige el scope de lectura y las demás operaciones el de escritura, configurables por servicio. El batch-service exige banco.admin.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6.4 Resiliencia con Resilience4j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08"/>
        <w:gridCol w:w="3308"/>
        <w:gridCol w:w="3308"/>
      </w:tblGrid>
      <w:tr>
        <w:tc>
          <w:tcPr>
            <w:tcW w:type="dxa" w:w="2592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Mecanismo</w:t>
            </w:r>
          </w:p>
        </w:tc>
        <w:tc>
          <w:tcPr>
            <w:tcW w:type="dxa" w:w="3744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Configuración</w:t>
            </w:r>
          </w:p>
        </w:tc>
        <w:tc>
          <w:tcPr>
            <w:tcW w:type="dxa" w:w="3024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Efecto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CircuitBreaker (clientes, cuentas, pagos)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Ventana 6 llamadas, mínimo 3, umbral 50 %, 15 s abierto, 2 llamadas en half-open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Evita saturar un servicio caído y responde de inmediato</w:t>
            </w:r>
          </w:p>
        </w:tc>
      </w:tr>
      <w:tr>
        <w:tc>
          <w:tcPr>
            <w:tcW w:type="dxa" w:w="259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Retry</w:t>
            </w:r>
          </w:p>
        </w:tc>
        <w:tc>
          <w:tcPr>
            <w:tcW w:type="dxa" w:w="374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 intentos, espera 500 ms</w:t>
            </w:r>
          </w:p>
        </w:tc>
        <w:tc>
          <w:tcPr>
            <w:tcW w:type="dxa" w:w="302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Absorbe fallos transitorios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Timeouts HTTP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Conexión 2 s, lectura 3 s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Evita hilos bloqueados</w:t>
            </w:r>
          </w:p>
        </w:tc>
      </w:tr>
      <w:tr>
        <w:tc>
          <w:tcPr>
            <w:tcW w:type="dxa" w:w="259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Excepciones ignoradas</w:t>
            </w:r>
          </w:p>
        </w:tc>
        <w:tc>
          <w:tcPr>
            <w:tcW w:type="dxa" w:w="374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Errores 4xx (HttpClientErrorException)</w:t>
            </w:r>
          </w:p>
        </w:tc>
        <w:tc>
          <w:tcPr>
            <w:tcW w:type="dxa" w:w="302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Errores de negocio (saldo insuficiente, no existe) no abren el circuito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Fallback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ServicioNoDisponibleException → 503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Respuesta controlada; los BFF web/móvil degradan, el ATM falla de forma explícita</w:t>
            </w:r>
          </w:p>
        </w:tc>
      </w:tr>
    </w:tbl>
    <w:p>
      <w:pPr>
        <w:spacing w:after="80"/>
      </w:pP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6.5 Mensajería asíncrona con Kafka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/>
          <w:i w:val="0"/>
          <w:sz w:val="24"/>
        </w:rPr>
        <w:t xml:space="preserve">• transacciones-completadas: </w:t>
      </w:r>
      <w:r>
        <w:rPr>
          <w:rFonts w:ascii="Arial" w:hAnsi="Arial" w:eastAsia="Arial"/>
          <w:b w:val="0"/>
          <w:i w:val="0"/>
          <w:sz w:val="24"/>
        </w:rPr>
        <w:t>evento por cada pago, transferencia, depósito o retiro completado; lo consume notificaciones-service.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/>
          <w:i w:val="0"/>
          <w:sz w:val="24"/>
        </w:rPr>
        <w:t xml:space="preserve">• alertas-seguridad: </w:t>
      </w:r>
      <w:r>
        <w:rPr>
          <w:rFonts w:ascii="Arial" w:hAnsi="Arial" w:eastAsia="Arial"/>
          <w:b w:val="0"/>
          <w:i w:val="0"/>
          <w:sz w:val="24"/>
        </w:rPr>
        <w:t>evento cuando el monto es mayor o igual a 1.000.000 o cuando falla una compensación; se notifica al equipo de fraude.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/>
          <w:i w:val="0"/>
          <w:sz w:val="24"/>
        </w:rPr>
        <w:t xml:space="preserve">• Productor y consumidor: </w:t>
      </w:r>
      <w:r>
        <w:rPr>
          <w:rFonts w:ascii="Arial" w:hAnsi="Arial" w:eastAsia="Arial"/>
          <w:b w:val="0"/>
          <w:i w:val="0"/>
          <w:sz w:val="24"/>
        </w:rPr>
        <w:t>pagos-service publica de forma asíncrona (no bloquea la transacción); notificaciones-service procesa en tiempo real con su propio grupo de consumo.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6.6 Consistencia de datos en entorno distribuido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Patrón Saga con compensación: si el abono falla después del cargo, pagos-service revierte el cargo; si la compensación falla, genera una alerta para revisión manual.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Cada pago queda registrado con estado PENDIENTE, COMPLETADA o FALLIDA, lo que permite auditoría y conciliación.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Bloqueo pesimista por fila en cuentas-service para evitar saldos inconsistentes cuando varias instancias escriben a la vez; base de datos propia por servicio.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6.7 Monitorización y registro</w:t>
      </w:r>
    </w:p>
    <w:p>
      <w:pPr>
        <w:spacing w:after="120"/>
        <w:jc w:val="both"/>
      </w:pPr>
      <w:r>
        <w:rPr>
          <w:rFonts w:ascii="Arial" w:hAnsi="Arial" w:eastAsia="Arial"/>
          <w:b w:val="0"/>
          <w:i w:val="0"/>
          <w:sz w:val="24"/>
        </w:rPr>
        <w:t>Todos los servicios exponen actuator (health, métricas, estado de los circuit breakers y reintentos) y registran cada petición con método, ruta, estado, duración e identificador de la instancia que respondió, lo que permite verificar el balanceo y diagnosticar incidentes con docker compose logs o CloudWatch.</w:t>
      </w:r>
    </w:p>
    <w:p>
      <w:pPr>
        <w:pStyle w:val="767"/>
        <w:pageBreakBefore/>
      </w:pPr>
      <w:r>
        <w:rPr>
          <w:rFonts w:ascii="Arial" w:hAnsi="Arial" w:eastAsia="Arial"/>
          <w:b/>
          <w:i w:val="0"/>
          <w:sz w:val="44"/>
        </w:rPr>
        <w:t>7. Docker, escalabilidad horizontal y nube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7.1 Contenedores y orquestación</w:t>
      </w:r>
    </w:p>
    <w:p>
      <w:pPr>
        <w:spacing w:after="120"/>
        <w:jc w:val="both"/>
      </w:pPr>
      <w:r>
        <w:rPr>
          <w:rFonts w:ascii="Arial" w:hAnsi="Arial" w:eastAsia="Arial"/>
          <w:b w:val="0"/>
          <w:i w:val="0"/>
          <w:sz w:val="24"/>
        </w:rPr>
        <w:t>Un único Dockerfile multi-etapa y parametrizado compila cada módulo con Maven y genera una imagen ligera con JRE 17. El docker-compose.yaml orquesta 13 servicios y la infraestructura (PostgreSQL y Kafka), con healthchecks y dependencias que garantizan el orden de arranque: PostgreSQL y Kafka, Config Server, Eureka, Auth Server, microservicios, BFF y Gateway.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7.2 Escalabilidad horizontal</w:t>
      </w:r>
    </w:p>
    <w:p>
      <w:pPr>
        <w:spacing w:after="120"/>
        <w:jc w:val="both"/>
      </w:pPr>
      <w:r>
        <w:rPr>
          <w:rFonts w:ascii="Arial" w:hAnsi="Arial" w:eastAsia="Arial"/>
          <w:b w:val="0"/>
          <w:i w:val="0"/>
          <w:sz w:val="24"/>
        </w:rPr>
        <w:t>Los servicios de dominio no publican puertos al host y son stateless, por lo que pueden replicarse con docker compose up --scale cuentas-service=3 --scale pagos-service=2. Eureka registra las nuevas instancias y el balanceador las incorpora automáticamente; los logs muestran qué contenedor atendió cada solicitud.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7.3 Preparación para AWS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961"/>
        <w:gridCol w:w="4961"/>
      </w:tblGrid>
      <w:tr>
        <w:tc>
          <w:tcPr>
            <w:tcW w:type="dxa" w:w="3744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Componente local</w:t>
            </w:r>
          </w:p>
        </w:tc>
        <w:tc>
          <w:tcPr>
            <w:tcW w:type="dxa" w:w="5616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Servicio AWS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Imágenes Docker</w:t>
            </w:r>
          </w:p>
        </w:tc>
        <w:tc>
          <w:tcPr>
            <w:tcW w:type="dxa" w:w="56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Amazon ECR</w:t>
            </w:r>
          </w:p>
        </w:tc>
      </w:tr>
      <w:tr>
        <w:tc>
          <w:tcPr>
            <w:tcW w:type="dxa" w:w="374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docker-compose</w:t>
            </w:r>
          </w:p>
        </w:tc>
        <w:tc>
          <w:tcPr>
            <w:tcW w:type="dxa" w:w="56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Amazon ECS Fargate (desiredCount y Auto Scaling)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PostgreSQL</w:t>
            </w:r>
          </w:p>
        </w:tc>
        <w:tc>
          <w:tcPr>
            <w:tcW w:type="dxa" w:w="56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Amazon RDS (Multi-AZ)</w:t>
            </w:r>
          </w:p>
        </w:tc>
      </w:tr>
      <w:tr>
        <w:tc>
          <w:tcPr>
            <w:tcW w:type="dxa" w:w="374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Kafka</w:t>
            </w:r>
          </w:p>
        </w:tc>
        <w:tc>
          <w:tcPr>
            <w:tcW w:type="dxa" w:w="56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Amazon MSK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Gateway HTTPS</w:t>
            </w:r>
          </w:p>
        </w:tc>
        <w:tc>
          <w:tcPr>
            <w:tcW w:type="dxa" w:w="56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Application Load Balancer + ACM</w:t>
            </w:r>
          </w:p>
        </w:tc>
      </w:tr>
      <w:tr>
        <w:tc>
          <w:tcPr>
            <w:tcW w:type="dxa" w:w="374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Secretos</w:t>
            </w:r>
          </w:p>
        </w:tc>
        <w:tc>
          <w:tcPr>
            <w:tcW w:type="dxa" w:w="56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AWS Secrets Manager / SSM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Logs y alarmas</w:t>
            </w:r>
          </w:p>
        </w:tc>
        <w:tc>
          <w:tcPr>
            <w:tcW w:type="dxa" w:w="56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CloudWatch</w:t>
            </w:r>
          </w:p>
        </w:tc>
      </w:tr>
      <w:tr>
        <w:tc>
          <w:tcPr>
            <w:tcW w:type="dxa" w:w="3744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Batch programado</w:t>
            </w:r>
          </w:p>
        </w:tc>
        <w:tc>
          <w:tcPr>
            <w:tcW w:type="dxa" w:w="56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EventBridge Scheduler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Arial" w:hAnsi="Arial" w:eastAsia="Arial"/>
          <w:b w:val="0"/>
          <w:i w:val="0"/>
          <w:sz w:val="24"/>
        </w:rPr>
        <w:t>El procedimiento detallado está en despliegue.md (opción rápida con EC2 y opción de producción con ECS).</w:t>
      </w:r>
    </w:p>
    <w:p>
      <w:pPr>
        <w:pStyle w:val="767"/>
        <w:pageBreakBefore/>
      </w:pPr>
      <w:r>
        <w:rPr>
          <w:rFonts w:ascii="Arial" w:hAnsi="Arial" w:eastAsia="Arial"/>
          <w:b/>
          <w:i w:val="0"/>
          <w:sz w:val="44"/>
        </w:rPr>
        <w:t>8. Documentación entregada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08"/>
        <w:gridCol w:w="3308"/>
        <w:gridCol w:w="3308"/>
      </w:tblGrid>
      <w:tr>
        <w:tc>
          <w:tcPr>
            <w:tcW w:type="dxa" w:w="2016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Entregable</w:t>
            </w:r>
          </w:p>
        </w:tc>
        <w:tc>
          <w:tcPr>
            <w:tcW w:type="dxa" w:w="3168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Archivo</w:t>
            </w:r>
          </w:p>
        </w:tc>
        <w:tc>
          <w:tcPr>
            <w:tcW w:type="dxa" w:w="4176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Código fuente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readme.md y repositorio GitHub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Estructura multi-módulo Maven, descripción de componentes y enlace al repositorio</w:t>
            </w:r>
          </w:p>
        </w:tc>
      </w:tr>
      <w:tr>
        <w:tc>
          <w:tcPr>
            <w:tcW w:type="dxa" w:w="20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Informe técnico</w:t>
            </w:r>
          </w:p>
        </w:tc>
        <w:tc>
          <w:tcPr>
            <w:tcW w:type="dxa" w:w="3168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Informe_Tecnico.pdf</w:t>
            </w:r>
          </w:p>
        </w:tc>
        <w:tc>
          <w:tcPr>
            <w:tcW w:type="dxa" w:w="417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Este documento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Instrucciones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instrucciones.md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Ejecución y pruebas paso a paso de cada componente</w:t>
            </w:r>
          </w:p>
        </w:tc>
      </w:tr>
      <w:tr>
        <w:tc>
          <w:tcPr>
            <w:tcW w:type="dxa" w:w="20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Despliegue en la nube</w:t>
            </w:r>
          </w:p>
        </w:tc>
        <w:tc>
          <w:tcPr>
            <w:tcW w:type="dxa" w:w="3168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despliegue.md</w:t>
            </w:r>
          </w:p>
        </w:tc>
        <w:tc>
          <w:tcPr>
            <w:tcW w:type="dxa" w:w="417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Pasos para AWS (EC2 y ECS)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Evidencia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evidencias/evidencia_ejecucion.txt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Salida real de las pruebas, generada con scripts/generar_evidencia.sh</w:t>
            </w:r>
          </w:p>
        </w:tc>
      </w:tr>
      <w:tr>
        <w:tc>
          <w:tcPr>
            <w:tcW w:type="dxa" w:w="20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3168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MP4 de 5 a 7 minutos</w:t>
            </w:r>
          </w:p>
        </w:tc>
        <w:tc>
          <w:tcPr>
            <w:tcW w:type="dxa" w:w="417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Presentación con webcam y evidencias</w:t>
            </w:r>
          </w:p>
        </w:tc>
      </w:tr>
    </w:tbl>
    <w:p>
      <w:pPr>
        <w:spacing w:after="80"/>
      </w:pPr>
    </w:p>
    <w:p>
      <w:pPr>
        <w:pStyle w:val="767"/>
        <w:pageBreakBefore/>
      </w:pPr>
      <w:r>
        <w:rPr>
          <w:rFonts w:ascii="Arial" w:hAnsi="Arial" w:eastAsia="Arial"/>
          <w:b/>
          <w:i w:val="0"/>
          <w:sz w:val="44"/>
        </w:rPr>
        <w:t>9. Comparación con el sistema legacy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08"/>
        <w:gridCol w:w="3308"/>
        <w:gridCol w:w="3308"/>
      </w:tblGrid>
      <w:tr>
        <w:tc>
          <w:tcPr>
            <w:tcW w:type="dxa" w:w="2016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Dimensión</w:t>
            </w:r>
          </w:p>
        </w:tc>
        <w:tc>
          <w:tcPr>
            <w:tcW w:type="dxa" w:w="3312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Sistema legacy</w:t>
            </w:r>
          </w:p>
        </w:tc>
        <w:tc>
          <w:tcPr>
            <w:tcW w:type="dxa" w:w="4032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Solución nueva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Arquitectura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Monolito en mainframe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Microservicios independientes con BD propia</w:t>
            </w:r>
          </w:p>
        </w:tc>
      </w:tr>
      <w:tr>
        <w:tc>
          <w:tcPr>
            <w:tcW w:type="dxa" w:w="20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Escalabilidad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Vertical, costosa</w:t>
            </w:r>
          </w:p>
        </w:tc>
        <w:tc>
          <w:tcPr>
            <w:tcW w:type="dxa" w:w="403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Horizontal (réplicas en Docker/ECS)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Tolerancia a fallos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Un fallo puede afectar a todo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Circuit breaker, retry, fallback y degradación por canal</w:t>
            </w:r>
          </w:p>
        </w:tc>
      </w:tr>
      <w:tr>
        <w:tc>
          <w:tcPr>
            <w:tcW w:type="dxa" w:w="20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Canales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Un backend para todos</w:t>
            </w:r>
          </w:p>
        </w:tc>
        <w:tc>
          <w:tcPr>
            <w:tcW w:type="dxa" w:w="403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BFF por canal con payload y seguridad propios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Seguridad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Centralizada y limitada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OAuth2/JWT por canal, HTTPS, validación en cada servicio</w:t>
            </w:r>
          </w:p>
        </w:tc>
      </w:tr>
      <w:tr>
        <w:tc>
          <w:tcPr>
            <w:tcW w:type="dxa" w:w="20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Procesos batch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COBOL/Shell secuenciales</w:t>
            </w:r>
          </w:p>
        </w:tc>
        <w:tc>
          <w:tcPr>
            <w:tcW w:type="dxa" w:w="403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Spring Batch paralelo, con reintentos y reejecución automática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Integración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Acoplamiento síncrono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Eventos Kafka</w:t>
            </w:r>
          </w:p>
        </w:tc>
      </w:tr>
      <w:tr>
        <w:tc>
          <w:tcPr>
            <w:tcW w:type="dxa" w:w="20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Configuración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Dispersa en scripts</w:t>
            </w:r>
          </w:p>
        </w:tc>
        <w:tc>
          <w:tcPr>
            <w:tcW w:type="dxa" w:w="4032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Centralizada en Config Server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Despliegue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Manual en servidores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Contenedores reproducibles y portables a la nube</w:t>
            </w:r>
          </w:p>
        </w:tc>
      </w:tr>
    </w:tbl>
    <w:p>
      <w:pPr>
        <w:spacing w:after="80"/>
      </w:pPr>
    </w:p>
    <w:p>
      <w:pPr>
        <w:pStyle w:val="767"/>
        <w:pageBreakBefore/>
      </w:pPr>
      <w:r>
        <w:rPr>
          <w:rFonts w:ascii="Arial" w:hAnsi="Arial" w:eastAsia="Arial"/>
          <w:b/>
          <w:i w:val="0"/>
          <w:sz w:val="44"/>
        </w:rPr>
        <w:t>10. Desafíos, soluciones y mejoras propuestas</w:t>
      </w: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10.1 Desafíos enfrentados y soluciones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961"/>
        <w:gridCol w:w="4961"/>
      </w:tblGrid>
      <w:tr>
        <w:tc>
          <w:tcPr>
            <w:tcW w:type="dxa" w:w="4320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Desafío</w:t>
            </w:r>
          </w:p>
        </w:tc>
        <w:tc>
          <w:tcPr>
            <w:tcW w:type="dxa" w:w="5040"/>
            <w:shd w:val="clear" w:color="auto" w:fill="2F5D8C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Consistencia entre cuentas y pagos sin transacciones distribuidas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Saga con compensación, estados de pago y bloqueo pesimista por fila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Fallos en cascada entre servicios</w:t>
            </w:r>
          </w:p>
        </w:tc>
        <w:tc>
          <w:tcPr>
            <w:tcW w:type="dxa" w:w="5040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Resilience4j con timeouts, retry, circuit breaker y fallbacks distintos por canal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Distinguir errores de negocio de fallos técnicos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Ignorar los 4xx en el circuit breaker y propagarlos tal cual al cliente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Procesar grandes volúmenes sin perder repetibilidad</w:t>
            </w:r>
          </w:p>
        </w:tc>
        <w:tc>
          <w:tcPr>
            <w:tcW w:type="dxa" w:w="5040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Chunks, multi-hilo y escrituras UPSERT idempotentes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Orden de arranque de 13 servicios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Healthchecks, depends_on con condiciones y reinicio ante fallo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Escalar réplicas sin conflicto de puertos</w:t>
            </w:r>
          </w:p>
        </w:tc>
        <w:tc>
          <w:tcPr>
            <w:tcW w:type="dxa" w:w="5040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Sin puertos publicados, descubrimiento con Eureka y acceso por Gateway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Seguridad diferenciada por canal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Un cliente OAuth2 por canal con scopes y TTL propios</w:t>
            </w:r>
          </w:p>
        </w:tc>
      </w:tr>
    </w:tbl>
    <w:p>
      <w:pPr>
        <w:spacing w:after="80"/>
      </w:pPr>
    </w:p>
    <w:p>
      <w:pPr>
        <w:pStyle w:val="768"/>
      </w:pPr>
      <w:r>
        <w:rPr>
          <w:rFonts w:ascii="Arial" w:hAnsi="Arial" w:eastAsia="Arial"/>
          <w:b/>
          <w:i w:val="0"/>
          <w:sz w:val="32"/>
        </w:rPr>
        <w:t>10.2 Propuestas de mejora y próximos pasos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Clave de idempotencia (Idempotency-Key) en pagos y patrón Outbox para publicar eventos de forma atómica con la base de datos.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Autenticación de usuarios finales con Authorization Code + PKCE y MFA; claves de firma persistentes y clientes en base de datos o Cognito.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Trazabilidad distribuida (OpenTelemetry) y panel de métricas (Prometheus/Grafana).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Particionado de steps batch (partitioning remoto) y programación con EventBridge; generación de estados de cuenta en PDF.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Migración a ECS/EKS con Auto Scaling, RDS Multi-AZ, MSK y cifrado de configuración con Secrets Manager.</w:t>
      </w:r>
    </w:p>
    <w:p>
      <w:pPr>
        <w:spacing w:after="60"/>
        <w:ind w:left="432" w:hanging="288"/>
        <w:jc w:val="both"/>
      </w:pPr>
      <w:r>
        <w:rPr>
          <w:rFonts w:ascii="Arial" w:hAnsi="Arial" w:eastAsia="Arial"/>
          <w:b w:val="0"/>
          <w:i w:val="0"/>
          <w:sz w:val="24"/>
        </w:rPr>
        <w:t>• Pruebas automatizadas de contrato por BFF y pruebas de carga.</w:t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560" w:right="1183" w:bottom="28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E8DE014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5353955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A6556FD" w14:textId="15FB5445">
    <w:pPr>
      <w:pStyle w:val="78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4406E90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F3EA0AF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B8B6E87" w14:textId="4483423B"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751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E6728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5C14FFB"/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78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62832D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20BF05A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5740D2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28824F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28FC0B8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AAB1EB5"/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81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3C0708D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DFB7A1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518405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52927A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5493653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55BE28B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663423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67E178E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6BEC0FA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6C136A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6F4E47F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73F6632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753954D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79F86A7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20"/>
  </w:num>
  <w:num w:numId="3">
    <w:abstractNumId w:val="0"/>
  </w:num>
  <w:num w:numId="4">
    <w:abstractNumId w:val="8"/>
  </w:num>
  <w:num w:numId="5">
    <w:abstractNumId w:val="6"/>
  </w:num>
  <w:num w:numId="6">
    <w:abstractNumId w:val="17"/>
  </w:num>
  <w:num w:numId="7">
    <w:abstractNumId w:val="14"/>
  </w:num>
  <w:num w:numId="8">
    <w:abstractNumId w:val="19"/>
  </w:num>
  <w:num w:numId="9">
    <w:abstractNumId w:val="16"/>
  </w:num>
  <w:num w:numId="10">
    <w:abstractNumId w:val="13"/>
  </w:num>
  <w:num w:numId="11">
    <w:abstractNumId w:val="22"/>
  </w:num>
  <w:num w:numId="12">
    <w:abstractNumId w:val="11"/>
  </w:num>
  <w:num w:numId="13">
    <w:abstractNumId w:val="15"/>
  </w:num>
  <w:num w:numId="14">
    <w:abstractNumId w:val="3"/>
  </w:num>
  <w:num w:numId="15">
    <w:abstractNumId w:val="10"/>
  </w:num>
  <w:num w:numId="16">
    <w:abstractNumId w:val="18"/>
  </w:num>
  <w:num w:numId="17">
    <w:abstractNumId w:val="7"/>
  </w:num>
  <w:num w:numId="18">
    <w:abstractNumId w:val="1"/>
  </w:num>
  <w:num w:numId="19">
    <w:abstractNumId w:val="21"/>
  </w:num>
  <w:num w:numId="20">
    <w:abstractNumId w:val="5"/>
  </w:num>
  <w:num w:numId="21">
    <w:abstractNumId w:val="12"/>
  </w:num>
  <w:num w:numId="22">
    <w:abstractNumId w:val="4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360" w:lineRule="auto"/>
        <w:ind w:right="0" w:firstLine="0" w:left="45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66"/>
    <w:next w:val="7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66"/>
    <w:next w:val="7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6"/>
    <w:next w:val="7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6"/>
    <w:next w:val="7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6"/>
    <w:next w:val="7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6"/>
    <w:next w:val="7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70"/>
    <w:link w:val="7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0"/>
    <w:link w:val="7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0"/>
    <w:link w:val="7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0"/>
    <w:link w:val="7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0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0"/>
    <w:link w:val="7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770"/>
    <w:link w:val="7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2">
    <w:name w:val="Emphasis"/>
    <w:basedOn w:val="770"/>
    <w:uiPriority w:val="20"/>
    <w:qFormat/>
    <w:pPr>
      <w:pBdr/>
      <w:spacing/>
      <w:ind/>
    </w:pPr>
    <w:rPr>
      <w:i/>
      <w:iCs/>
    </w:rPr>
  </w:style>
  <w:style w:type="character" w:styleId="175">
    <w:name w:val="Book Title"/>
    <w:basedOn w:val="77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70"/>
    <w:link w:val="783"/>
    <w:uiPriority w:val="99"/>
    <w:pPr>
      <w:pBdr/>
      <w:spacing/>
      <w:ind/>
    </w:pPr>
  </w:style>
  <w:style w:type="character" w:styleId="179">
    <w:name w:val="Footer Char"/>
    <w:basedOn w:val="770"/>
    <w:link w:val="785"/>
    <w:uiPriority w:val="99"/>
    <w:pPr>
      <w:pBdr/>
      <w:spacing/>
      <w:ind/>
    </w:pPr>
  </w:style>
  <w:style w:type="paragraph" w:styleId="180">
    <w:name w:val="Caption"/>
    <w:basedOn w:val="766"/>
    <w:next w:val="7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0"/>
    <w:uiPriority w:val="99"/>
    <w:semiHidden/>
    <w:unhideWhenUsed/>
    <w:pPr>
      <w:pBdr/>
      <w:spacing/>
      <w:ind/>
    </w:pPr>
    <w:rPr>
      <w:vertAlign w:val="superscript"/>
    </w:rPr>
  </w:style>
  <w:style w:type="paragraph" w:styleId="191">
    <w:name w:val="toc 3"/>
    <w:basedOn w:val="766"/>
    <w:next w:val="766"/>
    <w:uiPriority w:val="39"/>
    <w:unhideWhenUsed/>
    <w:pPr>
      <w:pBdr/>
      <w:spacing w:after="100"/>
      <w:ind w:left="440"/>
    </w:pPr>
  </w:style>
  <w:style w:type="paragraph" w:styleId="192">
    <w:name w:val="toc 4"/>
    <w:basedOn w:val="766"/>
    <w:next w:val="766"/>
    <w:uiPriority w:val="39"/>
    <w:unhideWhenUsed/>
    <w:pPr>
      <w:pBdr/>
      <w:spacing w:after="100"/>
      <w:ind w:left="660"/>
    </w:pPr>
  </w:style>
  <w:style w:type="paragraph" w:styleId="193">
    <w:name w:val="toc 5"/>
    <w:basedOn w:val="766"/>
    <w:next w:val="766"/>
    <w:uiPriority w:val="39"/>
    <w:unhideWhenUsed/>
    <w:pPr>
      <w:pBdr/>
      <w:spacing w:after="100"/>
      <w:ind w:left="880"/>
    </w:pPr>
  </w:style>
  <w:style w:type="paragraph" w:styleId="194">
    <w:name w:val="toc 6"/>
    <w:basedOn w:val="766"/>
    <w:next w:val="766"/>
    <w:uiPriority w:val="39"/>
    <w:unhideWhenUsed/>
    <w:pPr>
      <w:pBdr/>
      <w:spacing w:after="100"/>
      <w:ind w:left="1100"/>
    </w:pPr>
  </w:style>
  <w:style w:type="paragraph" w:styleId="195">
    <w:name w:val="toc 7"/>
    <w:basedOn w:val="766"/>
    <w:next w:val="766"/>
    <w:uiPriority w:val="39"/>
    <w:unhideWhenUsed/>
    <w:pPr>
      <w:pBdr/>
      <w:spacing w:after="100"/>
      <w:ind w:left="1320"/>
    </w:pPr>
  </w:style>
  <w:style w:type="paragraph" w:styleId="196">
    <w:name w:val="toc 8"/>
    <w:basedOn w:val="766"/>
    <w:next w:val="766"/>
    <w:uiPriority w:val="39"/>
    <w:unhideWhenUsed/>
    <w:pPr>
      <w:pBdr/>
      <w:spacing w:after="100"/>
      <w:ind w:left="1540"/>
    </w:pPr>
  </w:style>
  <w:style w:type="paragraph" w:styleId="197">
    <w:name w:val="toc 9"/>
    <w:basedOn w:val="766"/>
    <w:next w:val="7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6"/>
    <w:next w:val="766"/>
    <w:uiPriority w:val="99"/>
    <w:unhideWhenUsed/>
    <w:pPr>
      <w:pBdr/>
      <w:spacing w:after="0" w:afterAutospacing="0"/>
      <w:ind/>
    </w:pPr>
  </w:style>
  <w:style w:type="paragraph" w:styleId="766" w:default="1">
    <w:name w:val="Normal"/>
    <w:qFormat/>
    <w:pPr>
      <w:pBdr/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767">
    <w:name w:val="Heading 1"/>
    <w:basedOn w:val="766"/>
    <w:next w:val="766"/>
    <w:link w:val="780"/>
    <w:uiPriority w:val="9"/>
    <w:qFormat/>
    <w:pPr>
      <w:keepNext w:val="true"/>
      <w:keepLines w:val="true"/>
      <w:pBdr/>
      <w:spacing w:after="360" w:before="360"/>
      <w:ind/>
      <w:outlineLvl w:val="0"/>
    </w:pPr>
    <w:rPr>
      <w:rFonts w:eastAsiaTheme="majorEastAsia" w:cstheme="majorBidi"/>
      <w:b/>
      <w:sz w:val="44"/>
      <w:szCs w:val="32"/>
      <w14:ligatures w14:val="none"/>
    </w:rPr>
  </w:style>
  <w:style w:type="paragraph" w:styleId="768">
    <w:name w:val="Heading 2"/>
    <w:basedOn w:val="766"/>
    <w:next w:val="766"/>
    <w:link w:val="791"/>
    <w:uiPriority w:val="9"/>
    <w:unhideWhenUsed/>
    <w:qFormat/>
    <w:pPr>
      <w:keepNext w:val="true"/>
      <w:keepLines w:val="true"/>
      <w:pBdr/>
      <w:spacing w:after="120" w:before="160"/>
      <w:ind/>
      <w:outlineLvl w:val="1"/>
    </w:pPr>
    <w:rPr>
      <w:rFonts w:eastAsiaTheme="majorEastAsia" w:cstheme="majorBidi"/>
      <w:b/>
      <w:sz w:val="32"/>
      <w:szCs w:val="26"/>
    </w:rPr>
  </w:style>
  <w:style w:type="paragraph" w:styleId="769">
    <w:name w:val="Heading 3"/>
    <w:basedOn w:val="766"/>
    <w:next w:val="766"/>
    <w:link w:val="782"/>
    <w:uiPriority w:val="9"/>
    <w:unhideWhenUsed/>
    <w:qFormat/>
    <w:pPr>
      <w:keepNext w:val="true"/>
      <w:keepLines w:val="true"/>
      <w:pBdr/>
      <w:spacing w:after="120" w:before="160"/>
      <w:ind/>
      <w:outlineLvl w:val="2"/>
    </w:pPr>
    <w:rPr>
      <w:rFonts w:asciiTheme="majorHAnsi" w:hAnsiTheme="majorHAnsi"/>
      <w:b/>
      <w:szCs w:val="24"/>
    </w:rPr>
  </w:style>
  <w:style w:type="character" w:styleId="770" w:default="1">
    <w:name w:val="Default Paragraph Font"/>
    <w:uiPriority w:val="1"/>
    <w:unhideWhenUsed/>
    <w:pPr>
      <w:pBdr/>
      <w:spacing/>
      <w:ind/>
    </w:pPr>
  </w:style>
  <w:style w:type="table" w:styleId="7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2" w:default="1">
    <w:name w:val="No List"/>
    <w:uiPriority w:val="99"/>
    <w:semiHidden/>
    <w:unhideWhenUsed/>
    <w:pPr>
      <w:pBdr/>
      <w:spacing/>
      <w:ind/>
    </w:pPr>
  </w:style>
  <w:style w:type="paragraph" w:styleId="773">
    <w:name w:val="Title"/>
    <w:basedOn w:val="766"/>
    <w:next w:val="766"/>
    <w:link w:val="774"/>
    <w:uiPriority w:val="10"/>
    <w:qFormat/>
    <w:pPr>
      <w:pBdr/>
      <w:spacing w:after="120" w:before="120" w:line="240" w:lineRule="auto"/>
      <w:ind/>
      <w:contextualSpacing w:val="true"/>
    </w:pPr>
    <w:rPr>
      <w:rFonts w:eastAsiaTheme="majorEastAsia" w:cstheme="majorBidi"/>
      <w:b/>
      <w:spacing w:val="-10"/>
      <w:sz w:val="56"/>
      <w:szCs w:val="56"/>
      <w14:ligatures w14:val="none"/>
    </w:rPr>
  </w:style>
  <w:style w:type="character" w:styleId="774" w:customStyle="1">
    <w:name w:val="Título Car"/>
    <w:basedOn w:val="770"/>
    <w:link w:val="773"/>
    <w:uiPriority w:val="10"/>
    <w:pPr>
      <w:pBdr/>
      <w:spacing/>
      <w:ind/>
    </w:pPr>
    <w:rPr>
      <w:rFonts w:ascii="Arial" w:hAnsi="Arial" w:eastAsiaTheme="majorEastAsia" w:cstheme="majorBidi"/>
      <w:b/>
      <w:color w:val="404040" w:themeColor="text1" w:themeTint="BF"/>
      <w:spacing w:val="-10"/>
      <w:sz w:val="56"/>
      <w:szCs w:val="56"/>
      <w14:ligatures w14:val="none"/>
    </w:rPr>
  </w:style>
  <w:style w:type="paragraph" w:styleId="775" w:customStyle="1">
    <w:name w:val="Bajada-portada"/>
    <w:basedOn w:val="766"/>
    <w:qFormat/>
    <w:pPr>
      <w:pBdr/>
      <w:spacing/>
      <w:ind/>
    </w:pPr>
    <w:rPr>
      <w:sz w:val="44"/>
      <w14:ligatures w14:val="none"/>
    </w:rPr>
  </w:style>
  <w:style w:type="paragraph" w:styleId="776" w:customStyle="1">
    <w:name w:val="carrera1"/>
    <w:basedOn w:val="773"/>
    <w:next w:val="778"/>
    <w:link w:val="777"/>
    <w:qFormat/>
    <w:pPr>
      <w:pBdr/>
      <w:spacing/>
      <w:ind/>
    </w:pPr>
    <w:rPr>
      <w:color w:val="7f7f7f" w:themeColor="text1" w:themeTint="80"/>
    </w:rPr>
  </w:style>
  <w:style w:type="character" w:styleId="777" w:customStyle="1">
    <w:name w:val="carrera1 Car"/>
    <w:basedOn w:val="774"/>
    <w:link w:val="776"/>
    <w:pPr>
      <w:pBdr/>
      <w:spacing/>
      <w:ind/>
    </w:pPr>
    <w:rPr>
      <w:rFonts w:ascii="Arial" w:hAnsi="Arial" w:eastAsiaTheme="majorEastAsia" w:cstheme="majorBidi"/>
      <w:b/>
      <w:color w:val="7f7f7f" w:themeColor="text1" w:themeTint="80"/>
      <w:spacing w:val="-10"/>
      <w:sz w:val="56"/>
      <w:szCs w:val="56"/>
      <w14:ligatures w14:val="none"/>
    </w:rPr>
  </w:style>
  <w:style w:type="paragraph" w:styleId="778" w:customStyle="1">
    <w:name w:val="carrera2"/>
    <w:link w:val="779"/>
    <w:qFormat/>
    <w:pPr>
      <w:pBdr/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sz w:val="90"/>
      <w:szCs w:val="90"/>
      <w14:ligatures w14:val="none"/>
    </w:rPr>
  </w:style>
  <w:style w:type="character" w:styleId="779" w:customStyle="1">
    <w:name w:val="carrera2 Car"/>
    <w:basedOn w:val="777"/>
    <w:link w:val="778"/>
    <w:pPr>
      <w:pBdr/>
      <w:spacing/>
      <w:ind/>
    </w:pPr>
    <w:rPr>
      <w:rFonts w:ascii="Arial" w:hAnsi="Arial" w:eastAsiaTheme="majorEastAsia" w:cstheme="majorBidi"/>
      <w:b/>
      <w:color w:val="404040" w:themeColor="text1" w:themeTint="BF"/>
      <w:spacing w:val="-10"/>
      <w:sz w:val="90"/>
      <w:szCs w:val="90"/>
      <w14:ligatures w14:val="none"/>
    </w:rPr>
  </w:style>
  <w:style w:type="character" w:styleId="780" w:customStyle="1">
    <w:name w:val="Título 1 Car"/>
    <w:basedOn w:val="770"/>
    <w:link w:val="767"/>
    <w:uiPriority w:val="9"/>
    <w:pPr>
      <w:pBdr/>
      <w:spacing/>
      <w:ind/>
    </w:pPr>
    <w:rPr>
      <w:rFonts w:ascii="Arial" w:hAnsi="Arial" w:eastAsiaTheme="majorEastAsia" w:cstheme="majorBidi"/>
      <w:b/>
      <w:color w:val="404040" w:themeColor="text1" w:themeTint="BF"/>
      <w:sz w:val="44"/>
      <w:szCs w:val="32"/>
      <w14:ligatures w14:val="none"/>
    </w:rPr>
  </w:style>
  <w:style w:type="character" w:styleId="781">
    <w:name w:val="Hyperlink"/>
    <w:basedOn w:val="7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82" w:customStyle="1">
    <w:name w:val="Título 3 Car"/>
    <w:basedOn w:val="770"/>
    <w:link w:val="769"/>
    <w:uiPriority w:val="9"/>
    <w:pPr>
      <w:pBdr/>
      <w:spacing/>
      <w:ind/>
    </w:pPr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783">
    <w:name w:val="Header"/>
    <w:basedOn w:val="766"/>
    <w:link w:val="784"/>
    <w:uiPriority w:val="99"/>
    <w:unhideWhenUsed/>
    <w:pPr>
      <w:pBdr/>
      <w:tabs>
        <w:tab w:val="center" w:leader="none" w:pos="4419"/>
        <w:tab w:val="right" w:leader="none" w:pos="8838"/>
      </w:tabs>
      <w:spacing w:line="240" w:lineRule="auto"/>
      <w:ind/>
    </w:pPr>
  </w:style>
  <w:style w:type="character" w:styleId="784" w:customStyle="1">
    <w:name w:val="Encabezado Car"/>
    <w:basedOn w:val="770"/>
    <w:link w:val="783"/>
    <w:uiPriority w:val="99"/>
    <w:pPr>
      <w:pBdr/>
      <w:spacing/>
      <w:ind/>
    </w:pPr>
  </w:style>
  <w:style w:type="paragraph" w:styleId="785">
    <w:name w:val="Footer"/>
    <w:basedOn w:val="766"/>
    <w:link w:val="786"/>
    <w:uiPriority w:val="99"/>
    <w:unhideWhenUsed/>
    <w:pPr>
      <w:pBdr/>
      <w:tabs>
        <w:tab w:val="center" w:leader="none" w:pos="4419"/>
        <w:tab w:val="right" w:leader="none" w:pos="8838"/>
      </w:tabs>
      <w:spacing w:line="240" w:lineRule="auto"/>
      <w:ind/>
    </w:pPr>
  </w:style>
  <w:style w:type="character" w:styleId="786" w:customStyle="1">
    <w:name w:val="Pie de página Car"/>
    <w:basedOn w:val="770"/>
    <w:link w:val="785"/>
    <w:uiPriority w:val="99"/>
    <w:pPr>
      <w:pBdr/>
      <w:spacing/>
      <w:ind/>
    </w:pPr>
  </w:style>
  <w:style w:type="paragraph" w:styleId="787" w:customStyle="1">
    <w:name w:val="Título cabecera y pie"/>
    <w:basedOn w:val="766"/>
    <w:qFormat/>
    <w:pPr>
      <w:pBdr/>
      <w:spacing w:line="240" w:lineRule="auto"/>
      <w:ind/>
    </w:pPr>
    <w:rPr>
      <w:rFonts w:cs="Arial"/>
      <w:b/>
      <w:lang w:val="es-ES"/>
      <w14:ligatures w14:val="none"/>
    </w:rPr>
  </w:style>
  <w:style w:type="character" w:styleId="788">
    <w:name w:val="Subtle Reference"/>
    <w:basedOn w:val="770"/>
    <w:uiPriority w:val="31"/>
    <w:qFormat/>
    <w:pPr>
      <w:pBdr/>
      <w:spacing/>
      <w:ind/>
    </w:pPr>
    <w:rPr>
      <w:smallCaps/>
      <w:color w:val="5a5a5a" w:themeColor="text1" w:themeTint="A5"/>
    </w:rPr>
  </w:style>
  <w:style w:type="paragraph" w:styleId="789">
    <w:name w:val="List Paragraph"/>
    <w:basedOn w:val="766"/>
    <w:link w:val="790"/>
    <w:uiPriority w:val="34"/>
    <w:qFormat/>
    <w:pPr>
      <w:numPr>
        <w:numId w:val="1"/>
      </w:numPr>
      <w:pBdr/>
      <w:spacing/>
      <w:ind w:left="360"/>
      <w:contextualSpacing w:val="true"/>
    </w:pPr>
    <w:rPr>
      <w14:ligatures w14:val="none"/>
    </w:rPr>
  </w:style>
  <w:style w:type="character" w:styleId="790" w:customStyle="1">
    <w:name w:val="Párrafo de lista Car"/>
    <w:link w:val="789"/>
    <w:uiPriority w:val="34"/>
    <w:pPr>
      <w:pBdr/>
      <w:spacing/>
      <w:ind/>
    </w:pPr>
    <w:rPr>
      <w:rFonts w:ascii="Arial" w:hAnsi="Arial"/>
      <w:color w:val="404040" w:themeColor="text1" w:themeTint="BF"/>
      <w:sz w:val="24"/>
      <w14:ligatures w14:val="none"/>
    </w:rPr>
  </w:style>
  <w:style w:type="character" w:styleId="791" w:customStyle="1">
    <w:name w:val="Título 2 Car"/>
    <w:basedOn w:val="770"/>
    <w:link w:val="768"/>
    <w:uiPriority w:val="9"/>
    <w:pPr>
      <w:pBdr/>
      <w:spacing/>
      <w:ind/>
    </w:pPr>
    <w:rPr>
      <w:rFonts w:ascii="Arial" w:hAnsi="Arial" w:eastAsiaTheme="majorEastAsia" w:cstheme="majorBidi"/>
      <w:b/>
      <w:color w:val="404040" w:themeColor="text1" w:themeTint="BF"/>
      <w:sz w:val="32"/>
      <w:szCs w:val="26"/>
    </w:rPr>
  </w:style>
  <w:style w:type="table" w:styleId="792">
    <w:name w:val="Table Grid"/>
    <w:basedOn w:val="771"/>
    <w:uiPriority w:val="39"/>
    <w:pPr>
      <w:pBdr/>
      <w:spacing w:after="0" w:line="240" w:lineRule="auto"/>
      <w:ind/>
    </w:pPr>
    <w:rPr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3">
    <w:name w:val="toc 1"/>
    <w:basedOn w:val="766"/>
    <w:next w:val="766"/>
    <w:uiPriority w:val="39"/>
    <w:unhideWhenUsed/>
    <w:pPr>
      <w:pBdr/>
      <w:spacing w:after="100"/>
      <w:ind/>
    </w:pPr>
  </w:style>
  <w:style w:type="paragraph" w:styleId="794">
    <w:name w:val="Quote"/>
    <w:basedOn w:val="766"/>
    <w:next w:val="766"/>
    <w:link w:val="795"/>
    <w:uiPriority w:val="29"/>
    <w:qFormat/>
    <w:pPr>
      <w:pBdr/>
      <w:spacing w:before="200"/>
      <w:ind w:right="864" w:left="864"/>
      <w:jc w:val="center"/>
    </w:pPr>
    <w:rPr>
      <w:i/>
      <w:iCs/>
    </w:rPr>
  </w:style>
  <w:style w:type="character" w:styleId="795" w:customStyle="1">
    <w:name w:val="Cita Car"/>
    <w:basedOn w:val="770"/>
    <w:link w:val="794"/>
    <w:uiPriority w:val="29"/>
    <w:pPr>
      <w:pBdr/>
      <w:spacing/>
      <w:ind/>
    </w:pPr>
    <w:rPr>
      <w:rFonts w:ascii="Arial" w:hAnsi="Arial"/>
      <w:i/>
      <w:iCs/>
      <w:color w:val="404040" w:themeColor="text1" w:themeTint="BF"/>
      <w:sz w:val="24"/>
    </w:rPr>
  </w:style>
  <w:style w:type="paragraph" w:styleId="796">
    <w:name w:val="toc 2"/>
    <w:basedOn w:val="766"/>
    <w:next w:val="766"/>
    <w:uiPriority w:val="39"/>
    <w:unhideWhenUsed/>
    <w:pPr>
      <w:pBdr/>
      <w:spacing w:after="100"/>
      <w:ind w:left="708"/>
    </w:pPr>
  </w:style>
  <w:style w:type="paragraph" w:styleId="797" w:customStyle="1">
    <w:name w:val="paragraph"/>
    <w:basedOn w:val="766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auto"/>
      <w:szCs w:val="24"/>
      <w:lang w:eastAsia="es-CL"/>
      <w14:ligatures w14:val="none"/>
    </w:rPr>
  </w:style>
  <w:style w:type="paragraph" w:styleId="798" w:customStyle="1">
    <w:name w:val="titulo-tabla"/>
    <w:basedOn w:val="766"/>
    <w:link w:val="802"/>
    <w:qFormat/>
    <w:pPr>
      <w:pBdr/>
      <w:spacing w:after="120" w:before="120" w:line="276" w:lineRule="auto"/>
      <w:ind/>
    </w:pPr>
    <w:rPr>
      <w:b/>
      <w:bCs/>
      <w14:ligatures w14:val="none"/>
    </w:rPr>
  </w:style>
  <w:style w:type="paragraph" w:styleId="799">
    <w:name w:val="Intense Quote"/>
    <w:basedOn w:val="766"/>
    <w:next w:val="766"/>
    <w:link w:val="800"/>
    <w:uiPriority w:val="30"/>
    <w:qFormat/>
    <w:pPr>
      <w:pBdr>
        <w:top w:val="single" w:color="4472c4" w:themeColor="accent1" w:sz="4" w:space="10"/>
        <w:bottom w:val="single" w:color="4472c4" w:themeColor="accent1" w:sz="4" w:space="10"/>
      </w:pBdr>
      <w:spacing w:after="360" w:before="360"/>
      <w:ind w:right="864" w:left="864"/>
      <w:jc w:val="center"/>
    </w:pPr>
    <w:rPr>
      <w:i/>
      <w:iCs/>
      <w:color w:val="4472c4" w:themeColor="accent1"/>
    </w:rPr>
  </w:style>
  <w:style w:type="character" w:styleId="800" w:customStyle="1">
    <w:name w:val="Cita destacada Car"/>
    <w:basedOn w:val="770"/>
    <w:link w:val="799"/>
    <w:uiPriority w:val="30"/>
    <w:pPr>
      <w:pBdr/>
      <w:spacing/>
      <w:ind/>
    </w:pPr>
    <w:rPr>
      <w:rFonts w:ascii="Arial" w:hAnsi="Arial"/>
      <w:i/>
      <w:iCs/>
      <w:color w:val="4472c4" w:themeColor="accent1"/>
      <w:sz w:val="24"/>
    </w:rPr>
  </w:style>
  <w:style w:type="character" w:styleId="801">
    <w:name w:val="FollowedHyperlink"/>
    <w:basedOn w:val="7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02" w:customStyle="1">
    <w:name w:val="titulo-tabla Car"/>
    <w:basedOn w:val="770"/>
    <w:link w:val="798"/>
    <w:pPr>
      <w:pBdr/>
      <w:spacing/>
      <w:ind/>
    </w:pPr>
    <w:rPr>
      <w:rFonts w:ascii="Arial" w:hAnsi="Arial"/>
      <w:b/>
      <w:bCs/>
      <w:color w:val="404040" w:themeColor="text1" w:themeTint="BF"/>
      <w:sz w:val="24"/>
      <w14:ligatures w14:val="none"/>
    </w:rPr>
  </w:style>
  <w:style w:type="paragraph" w:styleId="803" w:customStyle="1">
    <w:name w:val="texto-tabla"/>
    <w:basedOn w:val="766"/>
    <w:qFormat/>
    <w:pPr>
      <w:pBdr/>
      <w:spacing w:after="240" w:before="120" w:line="276" w:lineRule="auto"/>
      <w:ind/>
    </w:pPr>
    <w:rPr>
      <w14:ligatures w14:val="none"/>
    </w:rPr>
  </w:style>
  <w:style w:type="paragraph" w:styleId="804" w:customStyle="1">
    <w:name w:val="Aviso legal"/>
    <w:basedOn w:val="766"/>
    <w:qFormat/>
    <w:pPr>
      <w:pBdr/>
      <w:spacing w:line="276" w:lineRule="auto"/>
      <w:ind/>
      <w:jc w:val="center"/>
    </w:pPr>
    <w:rPr>
      <w:sz w:val="20"/>
      <w14:ligatures w14:val="none"/>
    </w:rPr>
  </w:style>
  <w:style w:type="paragraph" w:styleId="805" w:customStyle="1">
    <w:name w:val="Bajada Título"/>
    <w:basedOn w:val="766"/>
    <w:qFormat/>
    <w:pPr>
      <w:pBdr/>
      <w:spacing w:after="160"/>
      <w:ind/>
    </w:pPr>
    <w:rPr>
      <w:sz w:val="44"/>
      <w14:ligatures w14:val="none"/>
    </w:rPr>
  </w:style>
  <w:style w:type="character" w:styleId="806">
    <w:name w:val="Strong"/>
    <w:basedOn w:val="770"/>
    <w:uiPriority w:val="22"/>
    <w:qFormat/>
    <w:pPr>
      <w:pBdr/>
      <w:spacing/>
      <w:ind/>
    </w:pPr>
    <w:rPr>
      <w:b/>
      <w:bCs/>
    </w:rPr>
  </w:style>
  <w:style w:type="character" w:styleId="807">
    <w:name w:val="Intense Reference"/>
    <w:basedOn w:val="770"/>
    <w:uiPriority w:val="32"/>
    <w:pPr>
      <w:pBdr/>
      <w:spacing/>
      <w:ind/>
    </w:pPr>
    <w:rPr>
      <w:b/>
      <w:bCs/>
      <w:smallCaps/>
      <w:color w:val="4472c4" w:themeColor="accent1"/>
      <w:spacing w:val="5"/>
    </w:rPr>
  </w:style>
  <w:style w:type="paragraph" w:styleId="808" w:customStyle="1">
    <w:name w:val="Epígrafe"/>
    <w:basedOn w:val="766"/>
    <w:qFormat/>
    <w:pPr>
      <w:pBdr/>
      <w:spacing w:after="160"/>
      <w:ind/>
    </w:pPr>
    <w:rPr>
      <w:b/>
      <w:bCs/>
      <w:sz w:val="36"/>
      <w:szCs w:val="36"/>
      <w14:ligatures w14:val="none"/>
    </w:rPr>
  </w:style>
  <w:style w:type="character" w:styleId="809">
    <w:name w:val="Unresolved Mention"/>
    <w:basedOn w:val="77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10" w:customStyle="1">
    <w:name w:val="lista-tabla"/>
    <w:basedOn w:val="803"/>
    <w:next w:val="803"/>
    <w:qFormat/>
    <w:pPr>
      <w:numPr>
        <w:numId w:val="4"/>
      </w:numPr>
      <w:pBdr/>
      <w:spacing/>
      <w:ind w:hanging="357" w:left="357"/>
    </w:pPr>
  </w:style>
  <w:style w:type="character" w:styleId="811">
    <w:name w:val="annotation reference"/>
    <w:basedOn w:val="770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12">
    <w:name w:val="annotation text"/>
    <w:basedOn w:val="766"/>
    <w:link w:val="813"/>
    <w:uiPriority w:val="99"/>
    <w:unhideWhenUsed/>
    <w:pPr>
      <w:pBdr/>
      <w:spacing w:after="160" w:line="240" w:lineRule="auto"/>
      <w:ind/>
    </w:pPr>
    <w:rPr>
      <w:sz w:val="20"/>
      <w:szCs w:val="20"/>
      <w14:ligatures w14:val="none"/>
    </w:rPr>
  </w:style>
  <w:style w:type="character" w:styleId="813" w:customStyle="1">
    <w:name w:val="Texto comentario Car"/>
    <w:basedOn w:val="770"/>
    <w:link w:val="812"/>
    <w:uiPriority w:val="99"/>
    <w:pPr>
      <w:pBdr/>
      <w:spacing/>
      <w:ind/>
    </w:pPr>
    <w:rPr>
      <w:rFonts w:ascii="Arial" w:hAnsi="Arial"/>
      <w:color w:val="404040" w:themeColor="text1" w:themeTint="BF"/>
      <w:sz w:val="20"/>
      <w:szCs w:val="20"/>
      <w14:ligatures w14:val="none"/>
    </w:rPr>
  </w:style>
  <w:style w:type="paragraph" w:styleId="814">
    <w:name w:val="No Spacing"/>
    <w:uiPriority w:val="1"/>
    <w:qFormat/>
    <w:pPr>
      <w:pBdr/>
      <w:spacing w:after="0" w:line="240" w:lineRule="auto"/>
      <w:ind w:left="0"/>
    </w:pPr>
    <w:rPr>
      <w14:ligatures w14:val="none"/>
    </w:rPr>
  </w:style>
  <w:style w:type="paragraph" w:styleId="815" w:customStyle="1">
    <w:name w:val="Formato importante"/>
    <w:basedOn w:val="766"/>
    <w:link w:val="816"/>
    <w:qFormat/>
    <w:pPr>
      <w:pBdr/>
      <w:spacing w:after="160" w:before="160"/>
      <w:ind w:right="284" w:left="284"/>
    </w:pPr>
    <w:rPr>
      <w:bCs/>
      <w14:ligatures w14:val="none"/>
    </w:rPr>
  </w:style>
  <w:style w:type="character" w:styleId="816" w:customStyle="1">
    <w:name w:val="Formato importante Car"/>
    <w:basedOn w:val="770"/>
    <w:link w:val="815"/>
    <w:pPr>
      <w:pBdr/>
      <w:spacing/>
      <w:ind/>
    </w:pPr>
    <w:rPr>
      <w:rFonts w:ascii="Arial" w:hAnsi="Arial"/>
      <w:bCs/>
      <w:color w:val="404040" w:themeColor="text1" w:themeTint="BF"/>
      <w:sz w:val="24"/>
      <w14:ligatures w14:val="none"/>
    </w:rPr>
  </w:style>
  <w:style w:type="character" w:styleId="817" w:customStyle="1">
    <w:name w:val="bb-file-viewer-file-text"/>
    <w:basedOn w:val="770"/>
    <w:uiPriority w:val="1"/>
    <w:pPr>
      <w:pBdr/>
      <w:spacing/>
      <w:ind/>
    </w:pPr>
  </w:style>
  <w:style w:type="paragraph" w:styleId="818">
    <w:name w:val="annotation subject"/>
    <w:basedOn w:val="812"/>
    <w:next w:val="812"/>
    <w:link w:val="819"/>
    <w:uiPriority w:val="99"/>
    <w:semiHidden/>
    <w:unhideWhenUsed/>
    <w:pPr>
      <w:pBdr/>
      <w:spacing/>
      <w:ind/>
    </w:pPr>
    <w:rPr>
      <w:b/>
      <w:bCs/>
    </w:rPr>
  </w:style>
  <w:style w:type="character" w:styleId="819" w:customStyle="1">
    <w:name w:val="Asunto del comentario Car"/>
    <w:basedOn w:val="813"/>
    <w:link w:val="818"/>
    <w:uiPriority w:val="99"/>
    <w:semiHidden/>
    <w:pPr>
      <w:pBdr/>
      <w:spacing/>
      <w:ind/>
    </w:pPr>
    <w:rPr>
      <w:rFonts w:ascii="Arial" w:hAnsi="Arial"/>
      <w:b/>
      <w:bCs/>
      <w:color w:val="404040" w:themeColor="text1" w:themeTint="BF"/>
      <w:sz w:val="20"/>
      <w:szCs w:val="20"/>
      <w14:ligatures w14:val="none"/>
    </w:rPr>
  </w:style>
  <w:style w:type="paragraph" w:styleId="820">
    <w:name w:val="Subtitle"/>
    <w:basedOn w:val="766"/>
    <w:next w:val="766"/>
    <w:link w:val="821"/>
    <w:uiPriority w:val="11"/>
    <w:qFormat/>
    <w:pPr>
      <w:numPr>
        <w:ilvl w:val="1"/>
      </w:numPr>
      <w:pBdr/>
      <w:spacing w:after="120"/>
      <w:ind/>
    </w:pPr>
    <w:rPr>
      <w:rFonts w:eastAsiaTheme="minorEastAsia"/>
      <w:b/>
      <w:bCs/>
      <w:i/>
      <w:iCs/>
    </w:rPr>
  </w:style>
  <w:style w:type="character" w:styleId="821" w:customStyle="1">
    <w:name w:val="Subtítulo Car"/>
    <w:basedOn w:val="770"/>
    <w:link w:val="820"/>
    <w:uiPriority w:val="11"/>
    <w:pPr>
      <w:pBdr/>
      <w:spacing/>
      <w:ind/>
    </w:pPr>
    <w:rPr>
      <w:rFonts w:ascii="Arial" w:hAnsi="Arial" w:eastAsiaTheme="minorEastAsia"/>
      <w:b/>
      <w:bCs/>
      <w:i/>
      <w:iCs/>
      <w:color w:val="404040" w:themeColor="text1" w:themeTint="BF"/>
      <w:sz w:val="24"/>
    </w:rPr>
  </w:style>
  <w:style w:type="character" w:styleId="822">
    <w:name w:val="Subtle Emphasis"/>
    <w:basedOn w:val="7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paragraph" w:styleId="823" w:customStyle="1">
    <w:name w:val="portada-bajada"/>
    <w:basedOn w:val="766"/>
    <w:qFormat/>
    <w:pPr>
      <w:pBdr/>
      <w:spacing w:after="160"/>
      <w:ind/>
    </w:pPr>
    <w:rPr>
      <w:sz w:val="44"/>
      <w14:ligatures w14:val="none"/>
    </w:rPr>
  </w:style>
  <w:style w:type="paragraph" w:styleId="824" w:customStyle="1">
    <w:name w:val="portada-semana"/>
    <w:basedOn w:val="823"/>
    <w:next w:val="766"/>
    <w:qFormat/>
    <w:pPr>
      <w:pBdr/>
      <w:spacing w:after="120" w:line="240" w:lineRule="auto"/>
      <w:ind/>
    </w:pPr>
    <w:rPr>
      <w:bCs/>
      <w:sz w:val="36"/>
    </w:rPr>
  </w:style>
  <w:style w:type="paragraph" w:styleId="825" w:customStyle="1">
    <w:name w:val="Normal parrafos largos"/>
    <w:basedOn w:val="766"/>
    <w:qFormat/>
    <w:pPr>
      <w:pBdr/>
      <w:spacing w:after="160" w:line="276" w:lineRule="auto"/>
      <w:ind/>
    </w:pPr>
    <w:rPr>
      <w:bCs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5F_x0020_de_x005F_x0020_creaci_x005F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5F_x0020_de_x005F_x0020_creaci_x005F_x00f3_n" ma:index="21" nillable="true" ma:displayName="Fecha de creación" ma:format="DateTime" ma:internalName="Fecha_x005F_x0020_de_x005F_x0020_creaci_x005F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0780E0CB-4761-4DC3-9F65-CB2A592BCA00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2BB207E8-9444-451C-8122-77FD6525B2C5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72F9D89D-892B-4869-BBBB-63E072684107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01FDF67F-A69A-4A2D-8B91-1C967765E78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revision>5</cp:revision>
  <dcterms:created xsi:type="dcterms:W3CDTF">2024-04-25T20:53:00Z</dcterms:created>
  <dcterms:modified xsi:type="dcterms:W3CDTF">2026-10-06T01:59:30Z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1633900.000000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