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một số hình thức và hệ thống thường gặp trong quản lý yêu cầu nội bộ của doanh nghiệp.</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14:paraId="4D9C9964"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Bảng tính dùng chung (ví dụ: Google Sheets, Microsoft Excel Online)</w:t>
            </w:r>
          </w:p>
        </w:tc>
        <w:tc>
          <w:tcPr>
            <w:tcW w:w="3168" w:type="dxa"/>
            <w:vAlign w:val="center"/>
            <w:tcMar>
              <w:top w:w="90" w:type="dxa"/>
              <w:start w:w="110" w:type="dxa"/>
              <w:bottom w:w="90" w:type="dxa"/>
              <w:end w:w="110" w:type="dxa"/>
            </w:tcMar>
          </w:tcPr>
          <w:p w14:paraId="0BB56421"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Linh hoạt, người dùng quen thuộc, có thể lọc và tổng hợp cơ bản.</w:t>
            </w:r>
          </w:p>
        </w:tc>
        <w:tc>
          <w:tcPr>
            <w:tcW w:w="3168" w:type="dxa"/>
            <w:vAlign w:val="center"/>
            <w:tcMar>
              <w:top w:w="90" w:type="dxa"/>
              <w:start w:w="110" w:type="dxa"/>
              <w:bottom w:w="90" w:type="dxa"/>
              <w:end w:w="110" w:type="dxa"/>
            </w:tcMar>
          </w:tcPr>
          <w:p w14:paraId="48CEEE73"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Dễ sai lệch dữ liệu khi nhiều người chỉnh sửa, khó phân quyền chi tiết, không phù hợp với luồng duyệt bổ sung và đóng kỳ.</w:t>
            </w:r>
          </w:p>
        </w:tc>
      </w:tr>
      <w:tr w:rsidR="000576F2" w:rsidRPr="00AF49EF" w14:paraId="22E9280E" w14:textId="77777777" w:rsidTr="00B32E53">
        <w:trPr>
          <w:jc w:val="center"/>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14:paraId="4160051E"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Phần mềm ERP/mua sắm tổng quát (ví dụ: Odoo, SAP)</w:t>
            </w:r>
          </w:p>
        </w:tc>
        <w:tc>
          <w:tcPr>
            <w:tcW w:w="3168" w:type="dxa"/>
            <w:vAlign w:val="center"/>
            <w:tcMar>
              <w:top w:w="90" w:type="dxa"/>
              <w:start w:w="110" w:type="dxa"/>
              <w:bottom w:w="90" w:type="dxa"/>
              <w:end w:w="110" w:type="dxa"/>
            </w:tcMar>
          </w:tcPr>
          <w:p w14:paraId="1BB12EAF"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Có quy trình mua hàng, kho và phê duyệt tương đối đầy đủ.</w:t>
            </w:r>
          </w:p>
        </w:tc>
        <w:tc>
          <w:tcPr>
            <w:tcW w:w="3168" w:type="dxa"/>
            <w:vAlign w:val="center"/>
            <w:tcMar>
              <w:top w:w="90" w:type="dxa"/>
              <w:start w:w="110" w:type="dxa"/>
              <w:bottom w:w="90" w:type="dxa"/>
              <w:end w:w="110" w:type="dxa"/>
            </w:tcMar>
          </w:tcPr>
          <w:p w14:paraId="7758C0C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Chi phí triển khai lớn, nhiều chức năng vượt phạm vi, khó tùy biến riêng quy tắc kỳ/ngày 5 và đơn bổ sung theo nhu cầu đề tài.</w:t>
            </w:r>
          </w:p>
        </w:tc>
      </w:tr>
      <w:tr w:rsidR="000576F2" w:rsidRPr="00AF49EF" w14:paraId="4F855934" w14:textId="77777777" w:rsidTr="00B32E53">
        <w:trPr>
          <w:jc w:val="center"/>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14:paraId="075CD33A"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Website quản lý yêu cầu nội bộ (ví dụ: Jira Service Management, Zoho Creator)</w:t>
            </w:r>
          </w:p>
        </w:tc>
        <w:tc>
          <w:tcPr>
            <w:tcW w:w="3168" w:type="dxa"/>
            <w:vAlign w:val="center"/>
            <w:tcMar>
              <w:top w:w="90" w:type="dxa"/>
              <w:start w:w="110" w:type="dxa"/>
              <w:bottom w:w="90" w:type="dxa"/>
              <w:end w:w="110" w:type="dxa"/>
            </w:tcMar>
          </w:tcPr>
          <w:p w14:paraId="0F200EB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Tập trung dữ liệu, dễ phân quyền, dễ kiểm soát trạng thái và tích hợp báo cáo.</w:t>
            </w:r>
          </w:p>
        </w:tc>
        <w:tc>
          <w:tcPr>
            <w:tcW w:w="3168" w:type="dxa"/>
            <w:vAlign w:val="center"/>
            <w:tcMar>
              <w:top w:w="90" w:type="dxa"/>
              <w:start w:w="110" w:type="dxa"/>
              <w:bottom w:w="90" w:type="dxa"/>
              <w:end w:w="110" w:type="dxa"/>
            </w:tcMar>
          </w:tcPr>
          <w:p w14:paraId="5BE08619"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Cần thiết kế nghiệp vụ, bảo mật, cơ sở dữ liệu và kiểm thử kỹ để tránh sai lệch dữ liệu vận hành.</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748655" cy="3232150"/>
            <wp:effectExtent l="0" t="0" r="4445" b="6350"/>
            <wp:docPr id="1152087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14:paraId="0FD2E415"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ASP.NET Core Web API (.NET 10)</w:t>
            </w:r>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14:paraId="26E47C64"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Blazor Server, Radzen Blazor</w:t>
            </w:r>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14:paraId="39454D01"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SQL Server, Entity Framework Core</w:t>
            </w:r>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14:paraId="45DDE89F"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JWT Bearer, cookie đăng nhập frontend, Policy-based Authorization</w:t>
            </w:r>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14:paraId="5770EA85"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Mapster</w:t>
            </w:r>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14:paraId="5F253DD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Serilog, bảng VPP03_Log</w:t>
            </w:r>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14:paraId="1D6C986B"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Docker Compose, Nginx Reverse Proxy</w:t>
            </w:r>
          </w:p>
        </w:tc>
        <w:tc>
          <w:tcPr>
            <w:tcW w:w="4752" w:type="dxa"/>
            <w:vAlign w:val="center"/>
            <w:tcMar>
              <w:top w:w="55" w:type="dxa"/>
              <w:start w:w="90" w:type="dxa"/>
              <w:bottom w:w="55" w:type="dxa"/>
              <w:end w:w="90" w:type="dxa"/>
            </w:tcMar>
          </w:tcPr>
          <w:p w14:paraId="6A1FFA7D"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Đóng gói SQL Server, backend, frontend; định tuyến, reverse proxy, SSL termination và hỗ trợ triển khai lên máy chủ.</w:t>
            </w:r>
          </w:p>
        </w:tc>
      </w:tr>
      <w:tr w:rsidR="006D6050" w:rsidRPr="00AF49EF" w14:paraId="72A1F5CD" w14:textId="77777777" w:rsidTr="00B32E53">
        <w:trPr>
          <w:jc w:val="center"/>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14:paraId="7F7F39F6"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xUnit, Playwright, FluentAssertions, Moq, EF Core InMemory/SQLite</w:t>
            </w:r>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xml:space="preserve">- Nếu xác thực thành công, Backend tạo token JWT có thời hạn 24 giờ, chứa các thông tin quan trọng của người dùng gồm: mã người dùng (UserID), tên đăng nhập, tên đầy </w:t>
      </w:r>
      <w:r>
        <w:rPr>
          <w:rFonts w:cs="Times New Roman"/>
          <w:lang w:val="en-GB"/>
        </w:rPr>
        <w:lastRenderedPageBreak/>
        <w:t>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lastRenderedPageBreak/>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lastRenderedPageBreak/>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r w:rsidRPr="00AF49EF">
        <w:rPr>
          <w:rFonts w:cs="Times New Roman"/>
        </w:rPr>
        <w:t>[1] Microsoft, “ASP.NET Core Documentation,” Microsoft Learn. Available: https://learn.microsoft.com/aspnet/core</w:t>
      </w:r>
    </w:p>
    <w:p w14:paraId="5434B713" w14:textId="77777777" w:rsidR="006D6050" w:rsidRPr="00AF49EF" w:rsidRDefault="00801F46">
      <w:pPr>
        <w:spacing w:after="0"/>
        <w:rPr>
          <w:rFonts w:cs="Times New Roman"/>
        </w:rPr>
      </w:pPr>
      <w:r w:rsidRPr="00AF49EF">
        <w:rPr>
          <w:rFonts w:cs="Times New Roman"/>
        </w:rPr>
        <w:t>[2] Microsoft, “Entity Framework Core Documentation,” Microsoft Learn. Available: https://learn.microsoft.com/ef/core</w:t>
      </w:r>
    </w:p>
    <w:p w14:paraId="056046B2" w14:textId="77777777" w:rsidR="006D6050" w:rsidRPr="00AF49EF" w:rsidRDefault="00801F46">
      <w:pPr>
        <w:spacing w:after="0"/>
        <w:rPr>
          <w:rFonts w:cs="Times New Roman"/>
        </w:rPr>
      </w:pPr>
      <w:r w:rsidRPr="00AF49EF">
        <w:rPr>
          <w:rFonts w:cs="Times New Roman"/>
        </w:rPr>
        <w:t>[3] Microsoft, “SQL Server Documentation,” Microsoft Learn. Available: https://learn.microsoft.com/sql/sql-server</w:t>
      </w:r>
    </w:p>
    <w:p w14:paraId="5984D8A1" w14:textId="77777777" w:rsidR="006D6050" w:rsidRPr="00AF49EF" w:rsidRDefault="00801F46">
      <w:pPr>
        <w:spacing w:after="0"/>
        <w:rPr>
          <w:rFonts w:cs="Times New Roman"/>
        </w:rPr>
      </w:pPr>
      <w:r w:rsidRPr="00AF49EF">
        <w:rPr>
          <w:rFonts w:cs="Times New Roman"/>
        </w:rPr>
        <w:t>[4] Microsoft, “Blazor Documentation,” Microsoft Learn. Available: https://learn.microsoft.com/aspnet/core/blazor</w:t>
      </w:r>
    </w:p>
    <w:p w14:paraId="58777AA5" w14:textId="77777777" w:rsidR="006D6050" w:rsidRPr="00AF49EF" w:rsidRDefault="00801F46">
      <w:pPr>
        <w:spacing w:after="0"/>
        <w:rPr>
          <w:rFonts w:cs="Times New Roman"/>
        </w:rPr>
      </w:pPr>
      <w:r w:rsidRPr="00AF49EF">
        <w:rPr>
          <w:rFonts w:cs="Times New Roman"/>
        </w:rPr>
        <w:t>[5] Radzen, “Radzen Blazor Components Documentation.” Available: https://blazor.radzen.com</w:t>
      </w:r>
    </w:p>
    <w:p w14:paraId="7AA8E3D4" w14:textId="77777777" w:rsidR="006D6050" w:rsidRPr="00AF49EF" w:rsidRDefault="00801F46">
      <w:pPr>
        <w:spacing w:after="0"/>
        <w:rPr>
          <w:rFonts w:cs="Times New Roman"/>
        </w:rPr>
      </w:pPr>
      <w:r w:rsidRPr="00AF49EF">
        <w:rPr>
          <w:rFonts w:cs="Times New Roman"/>
        </w:rPr>
        <w:t>[6] Mapster Project, “Mapster Documentation.” Available: https://github.com/MapsterMapper/Mapster</w:t>
      </w:r>
    </w:p>
    <w:p w14:paraId="3C393EB1" w14:textId="77777777" w:rsidR="006D6050" w:rsidRPr="00AF49EF" w:rsidRDefault="00801F46">
      <w:pPr>
        <w:spacing w:after="0"/>
        <w:rPr>
          <w:rFonts w:cs="Times New Roman"/>
        </w:rPr>
      </w:pPr>
      <w:r w:rsidRPr="00AF49EF">
        <w:rPr>
          <w:rFonts w:cs="Times New Roman"/>
        </w:rPr>
        <w:t>[7] Serilog Project, “Serilog Documentation.” Available: https://serilog.net</w:t>
      </w:r>
    </w:p>
    <w:p w14:paraId="7B26DDBF" w14:textId="77777777" w:rsidR="006D6050" w:rsidRPr="00AF49EF" w:rsidRDefault="00801F46">
      <w:pPr>
        <w:spacing w:after="0"/>
        <w:rPr>
          <w:rFonts w:cs="Times New Roman"/>
        </w:rPr>
      </w:pPr>
      <w:r w:rsidRPr="00AF49EF">
        <w:rPr>
          <w:rFonts w:cs="Times New Roman"/>
        </w:rPr>
        <w:t>[8] Docker, “Docker Compose Documentation.” Available: https://docs.docker.com/compose</w:t>
      </w:r>
    </w:p>
    <w:p w14:paraId="1D15D33D" w14:textId="77777777" w:rsidR="006D6050" w:rsidRPr="00AF49EF" w:rsidRDefault="00801F46">
      <w:pPr>
        <w:spacing w:after="0"/>
        <w:rPr>
          <w:rFonts w:cs="Times New Roman"/>
        </w:rPr>
      </w:pPr>
      <w:r w:rsidRPr="00AF49EF">
        <w:rPr>
          <w:rFonts w:cs="Times New Roman"/>
        </w:rPr>
        <w:t>[9] Microsoft, “Playwright for .NET Documentation.” Available: https://playwright.dev/dotnet</w:t>
      </w:r>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