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architecture-overview.svg" ContentType="image/svg+xml"/>
  <Override PartName="/word/media/functional-decomposition.svg" ContentType="image/svg+xml"/>
  <Override PartName="/word/media/use-case-overview.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Mô hình dữ liệu ý niệm của hệ thống GTAS VPP</w:t>
      </w:r>
    </w:p>
    <w:p>
      <w:pPr>
        <w:rPr>
          <w:rFonts w:cs="Times New Roman"/>
        </w:rPr>
      </w:pPr>
      <w:r>
        <w:t>Hình 3-2: ERD luận lý nhóm tổ chức và phân quyền</w:t>
      </w:r>
    </w:p>
    <w:p>
      <w:pPr>
        <w:rPr>
          <w:rFonts w:cs="Times New Roman"/>
        </w:rPr>
      </w:pPr>
      <w:r>
        <w:t>Hình 3-3: ERD luận lý nhóm danh mục và bảng giá</w:t>
      </w:r>
    </w:p>
    <w:p>
      <w:pPr>
        <w:rPr>
          <w:rFonts w:cs="Times New Roman"/>
        </w:rPr>
      </w:pPr>
      <w:r>
        <w:t>Hình 3-4: ERD luận lý nhóm đơn yêu cầu và nhật ký</w:t>
      </w:r>
    </w:p>
    <w:p w14:paraId="7A62435B" w14:textId="77777777" w:rsidR="006D6050" w:rsidRPr="00AF49EF" w:rsidRDefault="00801F46">
      <w:pPr>
        <w:rPr>
          <w:rFonts w:cs="Times New Roman"/>
        </w:rPr>
      </w:pPr>
      <w:r>
        <w:t>Hình 3-5: Sơ đồ use case chức năng đăng nhập và tải quyền</w:t>
      </w:r>
    </w:p>
    <w:p w14:paraId="26BEEAF1" w14:textId="77777777" w:rsidR="006D6050" w:rsidRPr="00AF49EF" w:rsidRDefault="00801F46">
      <w:pPr>
        <w:rPr>
          <w:rFonts w:cs="Times New Roman"/>
        </w:rPr>
      </w:pPr>
      <w:r>
        <w:t>Hình 3-6: Sơ đồ use case chức năng tạo đơn yêu cầu thông thường</w:t>
      </w:r>
    </w:p>
    <w:p w14:paraId="0547D893" w14:textId="77777777" w:rsidR="006D6050" w:rsidRPr="00AF49EF" w:rsidRDefault="00801F46">
      <w:pPr>
        <w:rPr>
          <w:rFonts w:cs="Times New Roman"/>
        </w:rPr>
      </w:pPr>
      <w:r>
        <w:t>Hình 3-7: Sơ đồ use case chức năng chỉnh sửa và hủy đơn</w:t>
      </w:r>
    </w:p>
    <w:p w14:paraId="304C3BA5" w14:textId="77777777" w:rsidR="006D6050" w:rsidRPr="00AF49EF" w:rsidRDefault="00801F46">
      <w:pPr>
        <w:rPr>
          <w:rFonts w:cs="Times New Roman"/>
        </w:rPr>
      </w:pPr>
      <w:r>
        <w:t>Hình 3-8: Sơ đồ use case chức năng tạo đơn bổ sung</w:t>
      </w:r>
    </w:p>
    <w:p w14:paraId="77990447" w14:textId="77777777" w:rsidR="006D6050" w:rsidRPr="00AF49EF" w:rsidRDefault="00801F46">
      <w:pPr>
        <w:rPr>
          <w:rFonts w:cs="Times New Roman"/>
        </w:rPr>
      </w:pPr>
      <w:r>
        <w:t>Hình 3-9: Sơ đồ use case chức năng duyệt đơn bổ sung</w:t>
      </w:r>
    </w:p>
    <w:p w14:paraId="444601BE" w14:textId="77777777" w:rsidR="006D6050" w:rsidRPr="00AF49EF" w:rsidRDefault="00801F46">
      <w:pPr>
        <w:rPr>
          <w:rFonts w:cs="Times New Roman"/>
        </w:rPr>
      </w:pPr>
      <w:r>
        <w:t>Hình 3-10: Sơ đồ use case chức năng quản lý danh mục mặt hàng</w:t>
      </w:r>
    </w:p>
    <w:p w14:paraId="4CBDA9DE" w14:textId="77777777" w:rsidR="006D6050" w:rsidRPr="00AF49EF" w:rsidRDefault="00801F46">
      <w:pPr>
        <w:rPr>
          <w:rFonts w:cs="Times New Roman"/>
        </w:rPr>
      </w:pPr>
      <w:r>
        <w:t>Hình 3-11: Sơ đồ use case chức năng quản lý bảng giá</w:t>
      </w:r>
    </w:p>
    <w:p w14:paraId="232A8D4E" w14:textId="77777777" w:rsidR="006D6050" w:rsidRPr="00AF49EF" w:rsidRDefault="00801F46">
      <w:pPr>
        <w:rPr>
          <w:rFonts w:cs="Times New Roman"/>
        </w:rPr>
      </w:pPr>
      <w:r>
        <w:t>Hình 3-12: Sơ đồ use case chức năng đóng kỳ và chụp giá</w:t>
      </w:r>
    </w:p>
    <w:p w14:paraId="327BB324" w14:textId="77777777" w:rsidR="006D6050" w:rsidRPr="00AF49EF" w:rsidRDefault="00801F46">
      <w:pPr>
        <w:rPr>
          <w:rFonts w:cs="Times New Roman"/>
        </w:rPr>
      </w:pPr>
      <w:r>
        <w:t>Hình 3-13: Sơ đồ use case chức năng quản lý người dùng và phân quyền</w:t>
      </w:r>
    </w:p>
    <w:p w14:paraId="4E9442B2" w14:textId="77777777" w:rsidR="006D6050" w:rsidRPr="00AF49EF" w:rsidRDefault="00801F46">
      <w:pPr>
        <w:rPr>
          <w:rFonts w:cs="Times New Roman"/>
        </w:rPr>
      </w:pPr>
      <w:r>
        <w:t>Hình 3-14: Sơ đồ use case chức năng xem dashboard và báo cáo</w:t>
      </w:r>
    </w:p>
    <w:p w14:paraId="28CF7F9B" w14:textId="77777777" w:rsidR="006D6050" w:rsidRPr="00AF49EF" w:rsidRDefault="00801F46">
      <w:pPr>
        <w:rPr>
          <w:rFonts w:cs="Times New Roman"/>
        </w:rPr>
      </w:pPr>
      <w:r>
        <w:t>Hình 3-15: Sơ đồ tuần tự chức năng đăng nhập và tải quyền</w:t>
      </w:r>
    </w:p>
    <w:p w14:paraId="3B5F2816" w14:textId="77777777" w:rsidR="006D6050" w:rsidRPr="00AF49EF" w:rsidRDefault="00801F46">
      <w:pPr>
        <w:rPr>
          <w:rFonts w:cs="Times New Roman"/>
        </w:rPr>
      </w:pPr>
      <w:r>
        <w:t>Hình 3-16: Sơ đồ tuần tự chức năng tạo đơn yêu cầu thông thường</w:t>
      </w:r>
    </w:p>
    <w:p w14:paraId="4C91B878" w14:textId="77777777" w:rsidR="006D6050" w:rsidRPr="00AF49EF" w:rsidRDefault="00801F46">
      <w:pPr>
        <w:rPr>
          <w:rFonts w:cs="Times New Roman"/>
        </w:rPr>
      </w:pPr>
      <w:r>
        <w:t>Hình 3-17: Sơ đồ tuần tự chức năng tạo đơn bổ sung</w:t>
      </w:r>
    </w:p>
    <w:p w14:paraId="0D5EC3B1" w14:textId="77777777" w:rsidR="006D6050" w:rsidRPr="00AF49EF" w:rsidRDefault="00801F46">
      <w:pPr>
        <w:rPr>
          <w:rFonts w:cs="Times New Roman"/>
        </w:rPr>
      </w:pPr>
      <w:r>
        <w:t>Hình 3-18: Sơ đồ tuần tự chức năng duyệt đơn bổ sung</w:t>
      </w:r>
    </w:p>
    <w:p w14:paraId="07860697" w14:textId="77777777" w:rsidR="006D6050" w:rsidRPr="00AF49EF" w:rsidRDefault="00801F46">
      <w:pPr>
        <w:rPr>
          <w:rFonts w:cs="Times New Roman"/>
        </w:rPr>
      </w:pPr>
      <w:r>
        <w:t>Hình 3-19: Sơ đồ tuần tự chức năng đóng kỳ và chụp giá</w:t>
      </w:r>
    </w:p>
    <w:p w14:paraId="3BB7858E" w14:textId="77777777" w:rsidR="006D6050" w:rsidRPr="00AF49EF" w:rsidRDefault="00801F46">
      <w:pPr>
        <w:rPr>
          <w:rFonts w:cs="Times New Roman"/>
        </w:rPr>
      </w:pPr>
      <w:r>
        <w:t>Hình 3-20: Sơ đồ tuần tự chức năng quản lý bảng giá</w:t>
      </w:r>
    </w:p>
    <w:p w14:paraId="0A8B62FE" w14:textId="77777777" w:rsidR="006D6050" w:rsidRPr="00AF49EF" w:rsidRDefault="00801F46">
      <w:pPr>
        <w:rPr>
          <w:rFonts w:cs="Times New Roman"/>
        </w:rPr>
      </w:pPr>
      <w:r>
        <w:t>Hình 3-21: Sơ đồ hoạt động quy trình tạo đơn yêu cầu thông thường</w:t>
      </w:r>
    </w:p>
    <w:p w14:paraId="20616BEA" w14:textId="77777777" w:rsidR="006D6050" w:rsidRPr="00AF49EF" w:rsidRDefault="00801F46">
      <w:pPr>
        <w:rPr>
          <w:rFonts w:cs="Times New Roman"/>
        </w:rPr>
      </w:pPr>
      <w:r>
        <w:t>Hình 3-22: Sơ đồ hoạt động quy trình xử lý đơn bổ sung</w:t>
      </w:r>
    </w:p>
    <w:p w14:paraId="5475A7FA" w14:textId="77777777" w:rsidR="006D6050" w:rsidRPr="00AF49EF" w:rsidRDefault="00801F46">
      <w:pPr>
        <w:rPr>
          <w:rFonts w:cs="Times New Roman"/>
        </w:rPr>
      </w:pPr>
      <w:r>
        <w:t>Hình 3-23: Sơ đồ hoạt động quy trình đóng kỳ</w:t>
      </w:r>
    </w:p>
    <w:p w14:paraId="40BA15F6" w14:textId="77777777" w:rsidR="006D6050" w:rsidRPr="00AF49EF" w:rsidRDefault="00801F46">
      <w:pPr>
        <w:rPr>
          <w:rFonts w:cs="Times New Roman"/>
        </w:rPr>
      </w:pPr>
      <w:r>
        <w:t>Hình 3-24: Sơ đồ hoạt động quy trình quản lý bảng giá</w:t>
      </w:r>
    </w:p>
    <w:p w14:paraId="3DE946AC" w14:textId="77777777" w:rsidR="006D6050" w:rsidRPr="00AF49EF" w:rsidRDefault="00801F46">
      <w:pPr>
        <w:rPr>
          <w:rFonts w:cs="Times New Roman"/>
        </w:rPr>
      </w:pPr>
      <w:r>
        <w:t>Hình 3-25: Sơ đồ hoạt động quy trình phân quyền</w:t>
      </w:r>
    </w:p>
    <w:p w14:paraId="39491930" w14:textId="77777777" w:rsidR="006D6050" w:rsidRPr="00AF49EF" w:rsidRDefault="00801F46">
      <w:pPr>
        <w:rPr>
          <w:rFonts w:cs="Times New Roman"/>
        </w:rPr>
      </w:pPr>
      <w:r>
        <w:t>Hình 3-26: Giao diện đăng nhập hệ thống</w:t>
      </w:r>
    </w:p>
    <w:p w14:paraId="44582512" w14:textId="77777777" w:rsidR="006D6050" w:rsidRPr="00AF49EF" w:rsidRDefault="00801F46">
      <w:pPr>
        <w:rPr>
          <w:rFonts w:cs="Times New Roman"/>
        </w:rPr>
      </w:pPr>
      <w:r>
        <w:t>Hình 3-27: Giao diện dashboard tổng quan</w:t>
      </w:r>
    </w:p>
    <w:p w14:paraId="04930D31" w14:textId="77777777" w:rsidR="006D6050" w:rsidRPr="00AF49EF" w:rsidRDefault="00801F46">
      <w:pPr>
        <w:rPr>
          <w:rFonts w:cs="Times New Roman"/>
        </w:rPr>
      </w:pPr>
      <w:r>
        <w:lastRenderedPageBreak/>
        <w:t>Hình 3-28: Giao diện danh sách đơn yêu cầu</w:t>
      </w:r>
    </w:p>
    <w:p w14:paraId="186DC8A0" w14:textId="77777777" w:rsidR="006D6050" w:rsidRPr="00AF49EF" w:rsidRDefault="00801F46">
      <w:pPr>
        <w:rPr>
          <w:rFonts w:cs="Times New Roman"/>
        </w:rPr>
      </w:pPr>
      <w:r>
        <w:t>Hình 3-29: Giao diện tạo đơn yêu cầu văn phòng phẩm</w:t>
      </w:r>
    </w:p>
    <w:p w14:paraId="46B661F7" w14:textId="77777777" w:rsidR="006D6050" w:rsidRPr="00AF49EF" w:rsidRDefault="00801F46">
      <w:pPr>
        <w:rPr>
          <w:rFonts w:cs="Times New Roman"/>
        </w:rPr>
      </w:pPr>
      <w:r>
        <w:t>Hình 3-30: Giao diện duyệt đơn bổ sung</w:t>
      </w:r>
    </w:p>
    <w:p w14:paraId="5DD91147" w14:textId="77777777" w:rsidR="006D6050" w:rsidRPr="00AF49EF" w:rsidRDefault="00801F46">
      <w:pPr>
        <w:rPr>
          <w:rFonts w:cs="Times New Roman"/>
        </w:rPr>
      </w:pPr>
      <w:r>
        <w:t>Hình 3-31: Giao diện quản lý bảng giá</w:t>
      </w:r>
    </w:p>
    <w:p w14:paraId="6B78B4BF" w14:textId="77777777" w:rsidR="006D6050" w:rsidRPr="00AF49EF" w:rsidRDefault="00801F46">
      <w:pPr>
        <w:rPr>
          <w:rFonts w:cs="Times New Roman"/>
        </w:rPr>
      </w:pPr>
      <w:r>
        <w:t>Hình 3-32: Giao diện quản lý danh mục mặt hàng</w:t>
      </w:r>
    </w:p>
    <w:p w14:paraId="10BAE911" w14:textId="77777777" w:rsidR="006D6050" w:rsidRPr="00AF49EF" w:rsidRDefault="00801F46">
      <w:pPr>
        <w:rPr>
          <w:rFonts w:cs="Times New Roman"/>
        </w:rPr>
      </w:pPr>
      <w:r>
        <w:t>Hình 3-33: Giao diện phân quyền theo nhóm</w:t>
      </w:r>
    </w:p>
    <w:p w14:paraId="6D8BF762" w14:textId="77777777" w:rsidR="006D6050" w:rsidRPr="00AF49EF" w:rsidRDefault="00801F46">
      <w:pPr>
        <w:rPr>
          <w:rFonts w:cs="Times New Roman"/>
        </w:rPr>
      </w:pPr>
      <w:r>
        <w:t>Hình 3-34: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3" cstate="print">
                      <a:extLst>
                        <a:ext uri="{96DAC541-7B7A-43D3-8B79-37D633B846F1}">
                          <asvg:svgBlip xmlns:asvg="http://schemas.microsoft.com/office/drawing/2016/SVG/main" r:embed="rId45"/>
                        </a:ext>
                      </a:extLst>
                    </a:blip>
                    <a:srcRect/>
                    <a:stretch>
                      <a:fillRect/>
                    </a:stretch>
                  </pic:blipFill>
                  <pic:spPr bwMode="auto">
                    <a:xfrm>
                      <a:off x="0" y="0"/>
                      <a:ext cx="5669280" cy="310038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keepNext/>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keepNext/>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keepNext/>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keepNext/>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keepNext/>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keepNext/>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keepNext/>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keepNext/>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keepNext/>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keepNext/>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keepNext/>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keepNext/>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keepNext/>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keepNext/>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keepNext/>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keepNext/>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keepNext/>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keepNext/>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keepNext/>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keepNext/>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keepNext/>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keepNext/>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keepNext/>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keepNext/>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keepNext/>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keepNext/>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keepNext/>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keepNext/>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keepNext/>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keepNext/>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keepNext/>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14" cstate="print">
                      <a:extLst>
                        <a:ext uri="{96DAC541-7B7A-43D3-8B79-37D633B846F1}">
                          <asvg:svgBlip xmlns:asvg="http://schemas.microsoft.com/office/drawing/2016/SVG/main" r:embed="rId60"/>
                        </a:ext>
                      </a:extLst>
                    </a:blip>
                    <a:srcRect/>
                    <a:stretch>
                      <a:fillRect/>
                    </a:stretch>
                  </pic:blipFill>
                  <pic:spPr bwMode="auto">
                    <a:xfrm>
                      <a:off x="0" y="0"/>
                      <a:ext cx="5669280" cy="3366135"/>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 Sơ đồ phân rã chức năng hệ thống</w:t>
      </w:r>
    </w:p>
    <w:p w14:paraId="4A0127DF" w14:textId="77777777" w:rsidR="006D6050" w:rsidRPr="00AF49EF" w:rsidRDefault="00801F46">
      <w:pPr>
        <w:pStyle w:val="Heading3"/>
        <w:keepNext/>
        <w:spacing w:before="160"/>
        <w:pageBreakBefore/>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15" cstate="print">
                      <a:extLst>
                        <a:ext uri="{96DAC541-7B7A-43D3-8B79-37D633B846F1}">
                          <asvg:svgBlip xmlns:asvg="http://schemas.microsoft.com/office/drawing/2016/SVG/main" r:embed="rId61"/>
                        </a:ext>
                      </a:extLst>
                    </a:blip>
                    <a:srcRect/>
                    <a:stretch>
                      <a:fillRect/>
                    </a:stretch>
                  </pic:blipFill>
                  <pic:spPr bwMode="auto">
                    <a:xfrm>
                      <a:off x="0" y="0"/>
                      <a:ext cx="5669280" cy="4163377"/>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 Sơ đồ use case tổng quát hệ thống</w:t>
      </w:r>
    </w:p>
    <w:p>
      <w:pPr>
        <w:pageBreakBefore/>
        <w:spacing w:before="0"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5F0286A" w14:textId="77777777" w:rsidTr="00C842BC">
        <w:trPr>
          <w:jc w:val="center"/>
          <w:tblHeader w:val="true"/>
          <w:cantSplit/>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Tác nhân</w:t>
            </w:r>
          </w:p>
        </w:tc>
        <w:tc>
          <w:tcPr>
            <w:tcW w:w="3000"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Mô tả</w:t>
            </w:r>
          </w:p>
        </w:tc>
        <w:tc>
          <w:tcPr>
            <w:tcW w:w="4272"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Use case chính</w:t>
            </w:r>
          </w:p>
        </w:tc>
      </w:tr>
      <w:tr w:rsidR="006D6050" w:rsidRPr="00AF49EF" w14:paraId="485ACE0A" w14:textId="77777777" w:rsidTr="00C842BC">
        <w:trPr>
          <w:jc w:val="center"/>
          <w:cantSplit/>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Nhân viên</w:t>
            </w:r>
          </w:p>
        </w:tc>
        <w:tc>
          <w:tcPr>
            <w:tcW w:w="3000"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Người dùng tạo và theo dõi yêu cầu văn phòng phẩm của mình trong phạm vi đơn vị công tác.</w:t>
            </w:r>
          </w:p>
        </w:tc>
        <w:tc>
          <w:tcPr>
            <w:tcW w:w="4272"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Đăng nhập, xem danh mục, tạo/sao chép/sửa/hủy đơn, xem lịch sử, tạo đơn bổ sung và theo dõi trạng thái.</w:t>
            </w:r>
          </w:p>
        </w:tc>
      </w:tr>
      <w:tr w:rsidR="006D6050" w:rsidRPr="00AF49EF" w14:paraId="76C982C9" w14:textId="77777777" w:rsidTr="00C842BC">
        <w:trPr>
          <w:jc w:val="center"/>
          <w:cantSplit/>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lý phòng ban</w:t>
            </w:r>
          </w:p>
        </w:tc>
        <w:tc>
          <w:tcPr>
            <w:tcW w:w="3000"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nghiệp vụ theo dõi nhu cầu văn phòng phẩm theo phạm vi phòng ban được cấu hình.</w:t>
            </w:r>
          </w:p>
        </w:tc>
        <w:tc>
          <w:tcPr>
            <w:tcW w:w="4272"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Xem tổng hợp phòng ban, lọc theo kỳ/trạng thái và đối chiếu dữ liệu.</w:t>
            </w:r>
          </w:p>
        </w:tc>
      </w:tr>
      <w:tr w:rsidR="006D6050" w:rsidRPr="00AF49EF" w14:paraId="7DB27DA3" w14:textId="77777777" w:rsidTr="00C842BC">
        <w:trPr>
          <w:jc w:val="center"/>
          <w:cantSplit/>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trị viên</w:t>
            </w:r>
          </w:p>
        </w:tc>
        <w:tc>
          <w:tcPr>
            <w:tcW w:w="3000"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được cấu hình quyền quản trị dữ liệu nền, phân quyền và xử lý nghiệp vụ cuối kỳ.</w:t>
            </w:r>
          </w:p>
        </w:tc>
        <w:tc>
          <w:tcPr>
            <w:tcW w:w="4272"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Quản lý danh mục, nhà cung cấp, bảng giá; duyệt đơn bổ sung; đóng kỳ; phân quyền; xem tổng hợp toàn hệ thống.</w:t>
            </w:r>
          </w:p>
        </w:tc>
      </w:tr>
      <w:tr w:rsidR="006D6050" w:rsidRPr="00AF49EF" w14:paraId="05F736B3" w14:textId="77777777" w:rsidTr="00C842BC">
        <w:trPr>
          <w:jc w:val="center"/>
          <w:cantSplit/>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center"/>
              <w:rPr>
                <w:rFonts w:cs="Times New Roman"/>
              </w:rPr>
            </w:pPr>
            <w:r>
              <w:rPr>
                <w:rFonts w:ascii="Times New Roman" w:hAnsi="Times New Roman" w:eastAsia="Times New Roman" w:cs="Times New Roman"/>
                <w:sz w:val="24"/>
              </w:rPr>
              <w:t>Xử lý tự động</w:t>
            </w:r>
          </w:p>
        </w:tc>
        <w:tc>
          <w:tcPr>
            <w:tcW w:w="3000"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Nhóm xử lý nội bộ, không phải người dùng trực tiếp; thực hiện kiểm tra và ghi nhận nghiệp vụ.</w:t>
            </w:r>
          </w:p>
        </w:tc>
        <w:tc>
          <w:tcPr>
            <w:tcW w:w="4272"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sz w:val="24"/>
              </w:rPr>
              <w:t>Tính kỳ, kiểm tra hạn chốt/trùng đơn/ràng buộc, chụp giá và ghi log.</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pPr>
        <w:spacing w:line="360" w:lineRule="auto" w:after="0"/>
        <w:ind w:firstLine="720"/>
        <w:jc w:val="both"/>
      </w:pPr>
      <w:r>
        <w:rPr>
          <w:rFonts w:ascii="Times New Roman" w:hAnsi="Times New Roman" w:eastAsia="Times New Roman"/>
          <w:sz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pPr>
        <w:pStyle w:val="Heading3"/>
        <w:keepNext/>
      </w:pPr>
      <w:r>
        <w:t>3.1.1 Mô hình dữ liệu ý niệm</w:t>
      </w:r>
    </w:p>
    <w:p>
      <w:pPr>
        <w:spacing w:line="360" w:lineRule="auto" w:after="0"/>
        <w:ind w:firstLine="720"/>
        <w:jc w:val="both"/>
      </w:pPr>
      <w:r>
        <w:rPr>
          <w:rFonts w:ascii="Times New Roman" w:hAnsi="Times New Roman" w:eastAsia="Times New Roman"/>
          <w:sz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pPr>
        <w:keepNext/>
        <w:spacing w:before="60" w:after="0"/>
        <w:jc w:val="center"/>
      </w:pPr>
      <w:r>
        <w:drawing>
          <wp:inline xmlns:a="http://schemas.openxmlformats.org/drawingml/2006/main" xmlns:pic="http://schemas.openxmlformats.org/drawingml/2006/picture">
            <wp:extent cx="5669280" cy="3454717"/>
            <wp:docPr id="2021908890" name="Mô hình dữ liệu ý niệm của hệ thống GTAS VPP" descr="Mô hình dữ liệu ý niệm của hệ thống GTAS VPP"/>
            <wp:cNvGraphicFramePr>
              <a:graphicFrameLocks noChangeAspect="1"/>
            </wp:cNvGraphicFramePr>
            <a:graphic>
              <a:graphicData uri="http://schemas.openxmlformats.org/drawingml/2006/picture">
                <pic:pic>
                  <pic:nvPicPr>
                    <pic:cNvPr id="0" name="Mô hình dữ liệu ý niệm của hệ thống GTAS VPP" descr="Mô hình dữ liệu ý niệm của hệ thống GTAS VPP"/>
                    <pic:cNvPicPr/>
                  </pic:nvPicPr>
                  <pic:blipFill>
                    <a:blip r:embed="rId62">
                      <a:extLst>
                        <a:ext uri="{96DAC541-7B7A-43D3-8B79-37D633B846F1}">
                          <asvg:svgBlip xmlns:asvg="http://schemas.microsoft.com/office/drawing/2016/SVG/main" r:embed="rId66"/>
                        </a:ext>
                      </a:extLst>
                    </a:blip>
                    <a:stretch>
                      <a:fillRect/>
                    </a:stretch>
                  </pic:blipFill>
                  <pic:spPr>
                    <a:xfrm>
                      <a:off x="0" y="0"/>
                      <a:ext cx="5669280" cy="3454717"/>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3-1:</w:t>
      </w:r>
      <w:r>
        <w:rPr>
          <w:rFonts w:ascii="Times New Roman" w:hAnsi="Times New Roman" w:eastAsia="Times New Roman"/>
          <w:sz w:val="24"/>
        </w:rPr>
        <w:t xml:space="preserve"> Mô hình dữ liệu ý niệm của hệ thống GTAS VPP</w:t>
      </w:r>
    </w:p>
    <w:p>
      <w:pPr>
        <w:pStyle w:val="Heading3"/>
        <w:keepNext/>
        <w:pageBreakBefore/>
      </w:pPr>
      <w:r>
        <w:t>3.1.2 Mô hình dữ liệu luận lý</w:t>
      </w:r>
    </w:p>
    <w:p>
      <w:pPr>
        <w:spacing w:line="360" w:lineRule="auto" w:after="0"/>
        <w:ind w:firstLine="720"/>
        <w:jc w:val="both"/>
      </w:pPr>
      <w:r>
        <w:rPr>
          <w:rFonts w:ascii="Times New Roman" w:hAnsi="Times New Roman" w:eastAsia="Times New Roman"/>
          <w:sz w:val="26"/>
        </w:rPr>
        <w:t>Mô hình luận lý giữ nguyên tên bảng và quan hệ trong source nhưng chỉ hiển thị khóa cùng các thuộc tính quan trọng. Sơ đồ được chia theo miền dữ liệu để chữ đủ lớn khi in trên khổ A4.</w:t>
      </w:r>
    </w:p>
    <w:p>
      <w:pPr>
        <w:pStyle w:val="Heading4"/>
        <w:keepNext/>
      </w:pPr>
      <w:r>
        <w:t>3.1.2.1 Nhóm tổ chức và phân quyền</w:t>
      </w:r>
    </w:p>
    <w:p>
      <w:pPr>
        <w:spacing w:line="360" w:lineRule="auto" w:after="0"/>
        <w:ind w:firstLine="720"/>
        <w:jc w:val="both"/>
      </w:pPr>
      <w:r>
        <w:rPr>
          <w:rFonts w:ascii="Times New Roman" w:hAnsi="Times New Roman" w:eastAsia="Times New Roman"/>
          <w:sz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pPr>
        <w:keepNext/>
        <w:spacing w:before="60" w:after="0"/>
        <w:jc w:val="center"/>
      </w:pPr>
      <w:r>
        <w:drawing>
          <wp:inline xmlns:a="http://schemas.openxmlformats.org/drawingml/2006/main" xmlns:pic="http://schemas.openxmlformats.org/drawingml/2006/picture">
            <wp:extent cx="5623560" cy="3741180"/>
            <wp:docPr id="2021908891" name="ERD luận lý nhóm tổ chức và phân quyền" descr="ERD luận lý nhóm tổ chức và phân quyền"/>
            <wp:cNvGraphicFramePr>
              <a:graphicFrameLocks noChangeAspect="1"/>
            </wp:cNvGraphicFramePr>
            <a:graphic>
              <a:graphicData uri="http://schemas.openxmlformats.org/drawingml/2006/picture">
                <pic:pic>
                  <pic:nvPicPr>
                    <pic:cNvPr id="0" name="ERD luận lý nhóm tổ chức và phân quyền" descr="ERD luận lý nhóm tổ chức và phân quyền"/>
                    <pic:cNvPicPr/>
                  </pic:nvPicPr>
                  <pic:blipFill>
                    <a:blip r:embed="rId63">
                      <a:extLst>
                        <a:ext uri="{96DAC541-7B7A-43D3-8B79-37D633B846F1}">
                          <asvg:svgBlip xmlns:asvg="http://schemas.microsoft.com/office/drawing/2016/SVG/main" r:embed="rId67"/>
                        </a:ext>
                      </a:extLst>
                    </a:blip>
                    <a:stretch>
                      <a:fillRect/>
                    </a:stretch>
                  </pic:blipFill>
                  <pic:spPr>
                    <a:xfrm>
                      <a:off x="0" y="0"/>
                      <a:ext cx="5623560" cy="3741180"/>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3-2:</w:t>
      </w:r>
      <w:r>
        <w:rPr>
          <w:rFonts w:ascii="Times New Roman" w:hAnsi="Times New Roman" w:eastAsia="Times New Roman"/>
          <w:sz w:val="24"/>
        </w:rPr>
        <w:t xml:space="preserve"> ERD luận lý nhóm tổ chức và phân quyền</w:t>
      </w:r>
    </w:p>
    <w:p>
      <w:pPr>
        <w:pStyle w:val="Heading4"/>
        <w:keepNext/>
        <w:pageBreakBefore/>
      </w:pPr>
      <w:r>
        <w:t>3.1.2.2 Nhóm danh mục và bảng giá</w:t>
      </w:r>
    </w:p>
    <w:p>
      <w:pPr>
        <w:spacing w:line="360" w:lineRule="auto" w:after="0"/>
        <w:ind w:firstLine="720"/>
        <w:jc w:val="both"/>
      </w:pPr>
      <w:r>
        <w:rPr>
          <w:rFonts w:ascii="Times New Roman" w:hAnsi="Times New Roman" w:eastAsia="Times New Roman"/>
          <w:sz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pPr>
        <w:keepNext/>
        <w:spacing w:before="60" w:after="0"/>
        <w:jc w:val="center"/>
      </w:pPr>
      <w:r>
        <w:drawing>
          <wp:inline xmlns:a="http://schemas.openxmlformats.org/drawingml/2006/main" xmlns:pic="http://schemas.openxmlformats.org/drawingml/2006/picture">
            <wp:extent cx="5623560" cy="4197348"/>
            <wp:docPr id="2021908892" name="ERD luận lý nhóm danh mục và bảng giá" descr="ERD luận lý nhóm danh mục và bảng giá"/>
            <wp:cNvGraphicFramePr>
              <a:graphicFrameLocks noChangeAspect="1"/>
            </wp:cNvGraphicFramePr>
            <a:graphic>
              <a:graphicData uri="http://schemas.openxmlformats.org/drawingml/2006/picture">
                <pic:pic>
                  <pic:nvPicPr>
                    <pic:cNvPr id="0" name="ERD luận lý nhóm danh mục và bảng giá" descr="ERD luận lý nhóm danh mục và bảng giá"/>
                    <pic:cNvPicPr/>
                  </pic:nvPicPr>
                  <pic:blipFill>
                    <a:blip r:embed="rId64">
                      <a:extLst>
                        <a:ext uri="{96DAC541-7B7A-43D3-8B79-37D633B846F1}">
                          <asvg:svgBlip xmlns:asvg="http://schemas.microsoft.com/office/drawing/2016/SVG/main" r:embed="rId68"/>
                        </a:ext>
                      </a:extLst>
                    </a:blip>
                    <a:stretch>
                      <a:fillRect/>
                    </a:stretch>
                  </pic:blipFill>
                  <pic:spPr>
                    <a:xfrm>
                      <a:off x="0" y="0"/>
                      <a:ext cx="5623560" cy="4197348"/>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3-3:</w:t>
      </w:r>
      <w:r>
        <w:rPr>
          <w:rFonts w:ascii="Times New Roman" w:hAnsi="Times New Roman" w:eastAsia="Times New Roman"/>
          <w:sz w:val="24"/>
        </w:rPr>
        <w:t xml:space="preserve"> ERD luận lý nhóm danh mục và bảng giá</w:t>
      </w:r>
    </w:p>
    <w:p>
      <w:pPr>
        <w:pStyle w:val="Heading4"/>
        <w:keepNext/>
        <w:pageBreakBefore/>
      </w:pPr>
      <w:r>
        <w:t>3.1.2.3 Nhóm đơn yêu cầu và nhật ký</w:t>
      </w:r>
    </w:p>
    <w:p>
      <w:pPr>
        <w:spacing w:line="360" w:lineRule="auto" w:after="0"/>
        <w:ind w:firstLine="720"/>
        <w:jc w:val="both"/>
      </w:pPr>
      <w:r>
        <w:rPr>
          <w:rFonts w:ascii="Times New Roman" w:hAnsi="Times New Roman" w:eastAsia="Times New Roman"/>
          <w:sz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pPr>
        <w:keepNext/>
        <w:spacing w:before="60" w:after="0"/>
        <w:jc w:val="center"/>
      </w:pPr>
      <w:r>
        <w:drawing>
          <wp:inline xmlns:a="http://schemas.openxmlformats.org/drawingml/2006/main" xmlns:pic="http://schemas.openxmlformats.org/drawingml/2006/picture">
            <wp:extent cx="5623560" cy="3008204"/>
            <wp:docPr id="2021908893" name="ERD luận lý nhóm đơn yêu cầu và nhật ký" descr="ERD luận lý nhóm đơn yêu cầu và nhật ký"/>
            <wp:cNvGraphicFramePr>
              <a:graphicFrameLocks noChangeAspect="1"/>
            </wp:cNvGraphicFramePr>
            <a:graphic>
              <a:graphicData uri="http://schemas.openxmlformats.org/drawingml/2006/picture">
                <pic:pic>
                  <pic:nvPicPr>
                    <pic:cNvPr id="0" name="ERD luận lý nhóm đơn yêu cầu và nhật ký" descr="ERD luận lý nhóm đơn yêu cầu và nhật ký"/>
                    <pic:cNvPicPr/>
                  </pic:nvPicPr>
                  <pic:blipFill>
                    <a:blip r:embed="rId65">
                      <a:extLst>
                        <a:ext uri="{96DAC541-7B7A-43D3-8B79-37D633B846F1}">
                          <asvg:svgBlip xmlns:asvg="http://schemas.microsoft.com/office/drawing/2016/SVG/main" r:embed="rId69"/>
                        </a:ext>
                      </a:extLst>
                    </a:blip>
                    <a:stretch>
                      <a:fillRect/>
                    </a:stretch>
                  </pic:blipFill>
                  <pic:spPr>
                    <a:xfrm>
                      <a:off x="0" y="0"/>
                      <a:ext cx="5623560" cy="3008204"/>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3-4:</w:t>
      </w:r>
      <w:r>
        <w:rPr>
          <w:rFonts w:ascii="Times New Roman" w:hAnsi="Times New Roman" w:eastAsia="Times New Roman"/>
          <w:sz w:val="24"/>
        </w:rPr>
        <w:t xml:space="preserve"> ERD luận lý nhóm đơn yêu cầu và nhật ký</w:t>
      </w:r>
    </w:p>
    <w:p>
      <w:pPr>
        <w:pStyle w:val="Heading3"/>
        <w:keepNext/>
        <w:pageBreakBefore/>
      </w:pPr>
      <w:r>
        <w:t>3.1.3 Mô hình dữ liệu vật lý</w:t>
      </w:r>
    </w:p>
    <w:p>
      <w:pPr>
        <w:spacing w:line="360" w:lineRule="auto" w:after="0"/>
        <w:ind w:firstLine="720"/>
        <w:jc w:val="both"/>
      </w:pPr>
      <w:r>
        <w:rPr>
          <w:rFonts w:ascii="Times New Roman" w:hAnsi="Times New Roman" w:eastAsia="Times New Roman"/>
          <w:sz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pPr>
        <w:keepNext/>
        <w:jc w:val="center"/>
      </w:pPr>
      <w:r>
        <w:rPr>
          <w:rFonts w:ascii="Times New Roman" w:hAnsi="Times New Roman" w:eastAsia="Times New Roman"/>
          <w:b/>
          <w:i/>
          <w:sz w:val="24"/>
        </w:rPr>
        <w:t>Bảng 3-1: Mô hình vật lý nhóm tổ chức và phân quyền</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P01_Page</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PageCode nvarchar(50) NOT NULL; PageName nvarchar(250); Type nvarchar(50)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P02_Group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GroupName nvarchar(50) NOT NULL; ParentGroupId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P03_Component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ComponentCode nvarchar(50) và ComponentName nvarchar(150), đều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P04_UserGroup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LEX02_CompanyDepartmentLocationId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UserId int tham chiếu view người dùng nhưng không có FK; các quan hệ cấu hình DeleteBehavior.Restrict.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P05_PageComponent-</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P01_PageId; P03_ComponentId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Bảng nối trang - component; hai quan hệ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P06_GroupPage-</w:t>
              <w:br/>
              <w:t>ComponentMapping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P02_GroupId + P05_PageComponentMappingId + MemberCompanyCode</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P05_PageComponentMappingId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MemberCompanyCode bigint; IsEnable và IsVisible kiểu bit; khóa chính ghép ba cột.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LEX02_Company-</w:t>
              <w:br/>
              <w:t>DepartmentLocation</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LEX02Type nvarchar(max) NOT NULL; ParentId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v_Users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UserId, tài khoản và họ tên; không do migration tạo.</w:t>
            </w:r>
          </w:p>
        </w:tc>
      </w:tr>
    </w:tbl>
    <w:p>
      <w:pPr>
        <w:spacing w:after="0"/>
      </w:pPr>
    </w:p>
    <w:p>
      <w:pPr>
        <w:keepNext/>
        <w:pageBreakBefore/>
        <w:jc w:val="center"/>
      </w:pPr>
      <w:r>
        <w:rPr>
          <w:rFonts w:ascii="Times New Roman" w:hAnsi="Times New Roman" w:eastAsia="Times New Roman"/>
          <w:b/>
          <w:i/>
          <w:sz w:val="24"/>
        </w:rPr>
        <w:t>Bảng 3-2: Mô hình vật lý nhóm danh mục và bảng giá</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L01_Class</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ClassCode nvarchar(max); ClassName và ClassModul nvarchar(200).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L02_ClassDetail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-&gt; L01_Class</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nullable; mã/giá trị chi tiết nvarchar(max) NOT NULL; Sort int.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L03_VPP-</w:t>
              <w:br/>
              <w:t>Category</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 và tên loại vật tư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L04_VPP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UOMId -&gt; L02; VPPCategoryId -&gt; L03</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Mã/tên vật tư nvarchar(max); hai FK bắt buộc và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L05_VPP-</w:t>
              <w:br/>
              <w:t>Supplier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Tên, tên ngắn và địa chỉ nhà cung cấp dùng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L06_VPPSupplier-</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L04_VPPId; L05_VPPSupplierId; L07_PriceListId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 bigint; IsDefault bit; filtered unique index theo PriceListId + VPPId khi IsDefault = 1 và IsDeleted = 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L07_PriceList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PriceListCode nvarchar(50); PriceListName nvarchar(200); IsDefault bit; filtered unique index chỉ cho một mặc định.</w:t>
            </w:r>
          </w:p>
        </w:tc>
      </w:tr>
    </w:tbl>
    <w:p>
      <w:pPr>
        <w:spacing w:after="0"/>
      </w:pPr>
    </w:p>
    <w:p>
      <w:pPr>
        <w:keepNext/>
        <w:pageBreakBefore/>
        <w:jc w:val="center"/>
      </w:pPr>
      <w:r>
        <w:rPr>
          <w:rFonts w:ascii="Times New Roman" w:hAnsi="Times New Roman" w:eastAsia="Times New Roman"/>
          <w:b/>
          <w:i/>
          <w:sz w:val="24"/>
        </w:rPr>
        <w:t>Bảng 3-3: Mô hình vật lý nhóm đơn yêu cầu và nhật ký</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VPP01_Request-</w:t>
              <w:br/>
              <w:t>Header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SettledByPriceListId -&gt; L07_PriceList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VPPCode nvarchar(64) unique; Y/M/Status int; IsAdditionalOrder bit; RowVersion rowversion; unique index một đơn thường/người/kỳ.</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VPP02_Request-</w:t>
              <w:br/>
              <w:t>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 VPPId -&gt; L04_VPP</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Qty int; CurrentSinglePrice bigint. Header dùng Restrict; quan hệ VPP dùng Cascade theo snapshot.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VPP03_Log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LogTitle nvarchar(255); LogJS nvarchar(max); LogDate datetime2 mặc định GETDATE(); Id mặc định NEWID().</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v_WFXCompany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thông tin công ty tích hợp; không do migration tạo.</w:t>
            </w:r>
          </w:p>
        </w:tc>
      </w:tr>
    </w:tbl>
    <w:p>
      <w:pPr>
        <w:spacing w:after="0"/>
      </w:pPr>
    </w:p>
    <w:p>
      <w:pPr>
        <w:spacing w:line="360" w:lineRule="auto" w:after="0"/>
        <w:ind w:firstLine="720"/>
        <w:jc w:val="both"/>
      </w:pPr>
      <w:r>
        <w:rPr>
          <w:rFonts w:ascii="Times New Roman" w:hAnsi="Times New Roman" w:eastAsia="Times New Roman"/>
          <w:sz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7537AD82" w14:textId="77777777" w:rsidR="006D6050" w:rsidRPr="00AF49EF" w:rsidRDefault="00801F46">
      <w:pPr>
        <w:pStyle w:val="Heading2"/>
        <w:pageBreakBefore/>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3-5</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3-6</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3-7</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3-8</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3-9</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3-10</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3-11</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3-12</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3-13</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3-14</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3-15</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3-16</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3-17</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3-18</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3-19</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3-20</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3-21</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3-22</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3-23</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3-24</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3-25</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3-26</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3-27</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3-28</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3-29</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3-30</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3-31</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3-32</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3-33</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3-34</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 Id="rId60" Type="http://schemas.openxmlformats.org/officeDocument/2006/relationships/image" Target="media/functional-decomposition.svg"/><Relationship Id="rId61" Type="http://schemas.openxmlformats.org/officeDocument/2006/relationships/image" Target="media/use-case-overview.svg"/><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data-conceptual.svg"/><Relationship Id="rId67" Type="http://schemas.openxmlformats.org/officeDocument/2006/relationships/image" Target="media/erd-authorization.svg"/><Relationship Id="rId68" Type="http://schemas.openxmlformats.org/officeDocument/2006/relationships/image" Target="media/erd-catalog-pricing.svg"/><Relationship Id="rId69" Type="http://schemas.openxmlformats.org/officeDocument/2006/relationships/image" Target="media/erd-request-log.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