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Pauta de Evaluación Sumativa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Heteroevaluación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318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6"/>
        <w:gridCol w:w="4235"/>
        <w:gridCol w:w="993"/>
        <w:gridCol w:w="5670"/>
        <w:tblGridChange w:id="0">
          <w:tblGrid>
            <w:gridCol w:w="2286"/>
            <w:gridCol w:w="4235"/>
            <w:gridCol w:w="993"/>
            <w:gridCol w:w="5670"/>
          </w:tblGrid>
        </w:tblGridChange>
      </w:tblGrid>
      <w:tr>
        <w:trPr>
          <w:trHeight w:val="397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Estudiante o Integrantes de un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-708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13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3"/>
        <w:gridCol w:w="1340"/>
        <w:gridCol w:w="1231"/>
        <w:gridCol w:w="9159"/>
        <w:tblGridChange w:id="0">
          <w:tblGrid>
            <w:gridCol w:w="1483"/>
            <w:gridCol w:w="1340"/>
            <w:gridCol w:w="1231"/>
            <w:gridCol w:w="9159"/>
          </w:tblGrid>
        </w:tblGridChange>
      </w:tblGrid>
      <w:tr>
        <w:trPr>
          <w:trHeight w:val="21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Logro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Puntaje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48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esperado para el indicador, se considera como el punto óptimo para cualificar como competente.</w:t>
            </w:r>
          </w:p>
        </w:tc>
      </w:tr>
      <w:tr>
        <w:trPr>
          <w:trHeight w:val="348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 dominio (AD)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rPr>
          <w:trHeight w:val="348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Aceptable (DA)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rPr>
          <w:trHeight w:val="348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en Proceso (DP)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observan varias dificultades o errores para el dominio del indicador.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por conseguir (DC)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observan un escaso, nulo o incorrecto dominio del indicador.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720" w:right="-708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 DE EVALUACIÓN.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-708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83.999999999998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7"/>
        <w:gridCol w:w="1855"/>
        <w:gridCol w:w="1680"/>
        <w:gridCol w:w="1855"/>
        <w:gridCol w:w="1855"/>
        <w:gridCol w:w="1731"/>
        <w:gridCol w:w="2141"/>
        <w:tblGridChange w:id="0">
          <w:tblGrid>
            <w:gridCol w:w="2067"/>
            <w:gridCol w:w="1855"/>
            <w:gridCol w:w="1680"/>
            <w:gridCol w:w="1855"/>
            <w:gridCol w:w="1855"/>
            <w:gridCol w:w="1731"/>
            <w:gridCol w:w="2141"/>
          </w:tblGrid>
        </w:tblGridChange>
      </w:tblGrid>
      <w:tr>
        <w:trPr>
          <w:trHeight w:val="170" w:hRule="atLeast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NIVELES Y PORCENTAJE DE LOGRO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Retroalimentación del docente</w:t>
            </w:r>
          </w:p>
        </w:tc>
      </w:tr>
      <w:tr>
        <w:trPr>
          <w:trHeight w:val="427" w:hRule="atLeast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80%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60%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DP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DC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Dimensión I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3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 los alcances de la integración, considerando las capas que serán afectadas por el proceso,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Calcula robustamente los alcances de la integración considerando las capas de negocio que serán afectadas por el proceso de acuerdo a las necesidades de la organización.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Calcula algunos alcances de la integración considerando gran parte de las capas de negocio que serán afectadas por el proceso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Calcula básicamente los alcances de la integración considerando las capas de negocio que serán afectadas por el proceso de acuerdo a las necesidades de la organización.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Calcula los alcances de la integración sin considerar las capas de negocio que serán afectadas por el proceso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calcula alcances de la integración.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3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 los roles y responsabilidades en el proceso de integración la iteración que requiere BPMN.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3 principales roles para desarrollar el proceso de integración junto a las responsabilidades e interacción con el BPMN.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2 roles para desarrollar el proceso de integración junto a las responsabilidades e interacción con el BPMN.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1 rol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desarrollar el proceso de integración junto a las responsabilidades e interacción con el BPMN.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3 principales roles para desarrollar el proceso de integración, pero no las responsabilidades e interacción con el BPMN. 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reconoce roles ni responsabilidades. 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Distingue los componentes o servicios de negocio reutilizables para gestionar la jerarquía, arquitectura y complejidad del producto,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las 5 componentes del modelo 4+1 para gestionar la jerarquía, arquitectura y complejidad del producto,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las 4 componentes del modelo 4+1 para gestionar la jerarquía, arquitectura y complejidad del producto,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las 3 o 2 componentes del modelo 4+1 para gestionar la jerarquía, arquitectura y complejidad del producto,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  1 componente del modelo 4+1 para gestionar la jerarquía, arquitectura y complejidad del producto,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Reconoce los componentes del modelo 4+1.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line="240" w:lineRule="auto"/>
              <w:ind w:left="180" w:hanging="193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Incorpora una solución para automatizar la especificación de una orquestación de servicios de aplicaciones,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Incorpora correcta y completamente una solución para automatizar la especificación de una orquestación de servicios de aplicaciones, de acuerdo a las necesidades de la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Incorpora completamente, pero con algunos errores una solución para automatizar la especificación de una orquestación de servicios de aplicaciones,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Incorpora medianamente una solución para automatizar la especificación de una orquestación de servicios de aplicaciones, de acuerdo a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Incorpora parcialmente una solución para automatizar la especificación de una orquestación de servicios de aplicaciones,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incorpora una solución para automatizar la especificación de una orquestación de servicios de aplicaciones.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Dimensión II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9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 los elementos más comunes de integración de sistemas para lograr cumplir los requerimientos de integración de una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3 elementos más comunes de integración de sistemas  y los relaciona con los requerimientos de integración de una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2 elementos más comunes de integración de sistemas  y los relaciona con los requerimientos de integración de una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1 elemento más comunes de integración de sistemas  y los relaciona con los requerimientos de integración de una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Reconoce los 3 elementos más comunes de integración de sistemas, pero no los relaciona con los requerimientos de integración de una organización.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reconoce elementos de integración.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estándares de la industria dedicados a la validación del proceso de integración.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 completamente estándares de la industria dedicados a la validación del proceso de integración.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 algunos estándares de la industria dedicados a la validación del proceso de integración.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 básicamente estándares de la industria dedicados a la validación del proceso de integración.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Analiza estándares de la industria 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dedicados a otros procesos.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analiza estándares de la industria dedicados a la validación del proceso de integración.  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5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Clasifica los estándares de la industria en lo referente a los procesos de integración de plataformas, reconociendo los más adecuados para satisfacer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Clasifica todos los estándares de la industria en lo referente a los procesos de integración de plataformas, reconociendo los más adecuados para satisfacer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Clasifica algunos los estándares de la industria en lo referente a los procesos de integración de plataformas, reconociendo los más adecuados para satisfacer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Clasifica un estándar de la industria en lo referente a los procesos de integración de plataformas, reconociendo los más adecuados para satisfacer las necesidades de la organización.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Clasifica los estándares de la industria en lo referente a los procesos de integración de plataformas, pero no reconoce los más adecuados para satisfacer las necesidades de la organización.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clasifica los estándares de la industria.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1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Construye los webservices basado en SOAP O REST o servicios de mensajería para establecer la comunicación, determinando quien será el productor y quien será el consumidor.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Construye correctamente los webservices basado en SOAP O REST o servicios de mensajería para establecer la comunicación, determinando quien será el productor y quien será el consumidor.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Construye con algunos errores los webservices basado en SOAP O REST o servicios de mensajería para establecer la comunicación, determinando quien será el productor y quien será el consumidor.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Construye con varios errores los webservices basado en SOAP O REST o servicios de mensajería para establecer la comunicación, determinando quien será el productor y quien será el consumidor.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Construye con errores los webservices basado en SOAP O REST o servicios de mensajería para establecer la comunicación, sin determinar quien será el productor y quien será el consumidor.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construye Webservices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Define procedimientos y criterios para el manejo de excepciones.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correctamente procedimientos y criterios para el manejo de excepciones.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medianamente los procedimientos y criterios para el manejo de excepciones.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parcialmente procedimientos y criterios para el manejo de excepciones.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procedimientos pero no  criterios para el manejo de excepciones.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define procedimientos ni  criterios para el manejo de excepciones.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Dimensión III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 las actividades asignadas de forma autónoma cumpliendo los plazos solicitados.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la totalidad de actividades asignadas de forma autónoma cumpliendo los plazos solicitados.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medianamente las actividades asignadas de forma autónoma cumpliendo los plazos solicitados.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parcialmente las actividades asignadas de forma autónoma cumpliendo los plazos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las actividades asignadas de forma autónoma fuera de los plazos solicitados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participa en el desarrollo de las actividades.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 activamente en las actividades compartiendo información sobre el trabajo asignado.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 activamente en todas las actividades compartiendo información sobre el trabajo asignado.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---------------------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 parcialmente   en las actividades compartiendo información sobre el trabajo asignado.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-----------------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participa activamente en las actividades compartiendo información sobre el trabajo asignado.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Dimensión III:  Resolución de Problemas 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Aborda problemas descomponiéndolos en partes manejables, de acuerdo a su nivel de complejidad.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Aborda problemas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descomponiéndolos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partes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manejables,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priorizando y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estableciendo la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relación que existe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entre ellos,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permitiendo tener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una visión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integradora.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Aborda problemas, realizando un análisis para su descomposición en partes manejables y abordables, pero sin establecer todas las relaciones entre estas.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Aborda algunos problemas descomponiéndolos parcialmente en partes manejables.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Aborda problemas descomponiéndolos con dificultad en partes manejables.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Aborda problemas de manera general, sin relacionarlos a su nivel de complejidad.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 preguntas que abarcan los distintos elementos del problema planteado, dimensionando su impacto con una visión global e integradora.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preguntas que abarcan los distintos elementos del problema planteado, reflexionando en el alcance, dimensionando su impacto con una visión global e integradora.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preguntas que abarcan los distintos elementos del problema planteado, dimensionando parcialmente su impacto, pero integrando estos elementos.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preguntas que abarcan los distintos elementos del problema planteado, dimensionando parcialmente su impacto, pero sin integrar estos elementos.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algunas preguntas que abarcan algunos de los elementos del problema planteado, sin permitirle dimensionar su impacto.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preguntas generales con respecto a los elementos del problema planteado, sin permitirle dimensionar su impacto.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9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 criterios técnicos en la selección de alternativas que aseguren la solución del problema.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 criterios técnicos en la selección de alternativas que aseguren la solución más adecuada del problema, considerando los pros y contras, que se puedan presentar.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 criterios técnicos en la selección de alternativas que aseguren la solución del problema, sin considerar los pros y contras.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 algunos criterios técnicos en la selección de alternativas que aseguren la solución del problema.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 con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dificultad criterios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técnicos en la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selección de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alternativas, que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aseguran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parcialmente la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solución 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Aplica criterios en la selección de alternativas, pero éstos no son técnicos o no aseguran la solución del problema.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8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1843"/>
        <w:gridCol w:w="1984"/>
        <w:gridCol w:w="1701"/>
        <w:gridCol w:w="3969"/>
        <w:gridCol w:w="1701"/>
        <w:tblGridChange w:id="0">
          <w:tblGrid>
            <w:gridCol w:w="1702"/>
            <w:gridCol w:w="1843"/>
            <w:gridCol w:w="1984"/>
            <w:gridCol w:w="1701"/>
            <w:gridCol w:w="3969"/>
            <w:gridCol w:w="1701"/>
          </w:tblGrid>
        </w:tblGridChange>
      </w:tblGrid>
      <w:tr>
        <w:trPr>
          <w:trHeight w:val="265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PUNTAJE TOTAL: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91 PUNTOS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PUNTAJE OBTENIDO: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30% Disciplina y 5 % de Empleabilidad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2240" w:w="15840" w:orient="landscape"/>
      <w:pgMar w:bottom="616" w:top="1276" w:left="1417" w:right="156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-521968</wp:posOffset>
          </wp:positionH>
          <wp:positionV relativeFrom="paragraph">
            <wp:posOffset>-923254</wp:posOffset>
          </wp:positionV>
          <wp:extent cx="7790180" cy="1784350"/>
          <wp:effectExtent b="0" l="0" r="0" t="0"/>
          <wp:wrapSquare wrapText="bothSides" distB="0" distT="0" distL="0" distR="0"/>
          <wp:docPr id="2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-425" w:firstLine="0"/>
      <w:jc w:val="righ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</w:t>
    </w: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Pauta de Evaluación/Retroalimentación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7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-425" w:firstLine="0"/>
      <w:jc w:val="righ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Subdirección de Diseño instruccional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8401050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5475" y="3780000"/>
                        <a:ext cx="84010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63500</wp:posOffset>
              </wp:positionV>
              <wp:extent cx="8401050" cy="12700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01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</w:t>
    </w: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Pauta de Evaluación/Retroalimentación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-165995</wp:posOffset>
          </wp:positionH>
          <wp:positionV relativeFrom="paragraph">
            <wp:posOffset>-167078</wp:posOffset>
          </wp:positionV>
          <wp:extent cx="1952625" cy="437561"/>
          <wp:effectExtent b="0" l="0" r="0" t="0"/>
          <wp:wrapSquare wrapText="bothSides" distB="0" distT="0" distL="114300" distR="114300"/>
          <wp:docPr descr="http://www.duoc.cl/normasgraficas/normasgraficas/marca-duoc/6logo-fondo-transparente/fondo-transparente.png" id="28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43756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Subdirección de Diseño instruccional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264663" y="3775238"/>
                        <a:ext cx="616267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203200</wp:posOffset>
              </wp:positionV>
              <wp:extent cx="6162675" cy="12700"/>
              <wp:effectExtent b="0" l="0" r="0" t="0"/>
              <wp:wrapNone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6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5B10"/>
    <w:pPr>
      <w:spacing w:after="200" w:line="276" w:lineRule="auto"/>
    </w:pPr>
    <w:rPr>
      <w:rFonts w:ascii="Arial Narrow" w:hAnsi="Arial Narrow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 w:val="1"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 w:val="1"/>
    <w:rsid w:val="00F35B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F35B10"/>
    <w:pPr>
      <w:spacing w:after="0" w:line="240" w:lineRule="auto"/>
    </w:pPr>
    <w:rPr>
      <w:rFonts w:ascii="Arial Narrow" w:hAnsi="Arial Narrow"/>
    </w:rPr>
  </w:style>
  <w:style w:type="character" w:styleId="PrrafodelistaCar" w:customStyle="1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71A7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71A7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B65A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B65A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B65A8"/>
    <w:rPr>
      <w:rFonts w:ascii="Arial Narrow" w:hAnsi="Arial Narrow"/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7845DE"/>
    <w:rPr>
      <w:color w:val="0000ff"/>
      <w:u w:val="single"/>
    </w:rPr>
  </w:style>
  <w:style w:type="paragraph" w:styleId="Default" w:customStyle="1">
    <w:name w:val="Default"/>
    <w:rsid w:val="00E07AF7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oZ7FNSXOz99ztXPmSrMeQTbJg==">AMUW2mUacNqtB42eZWcWROA7+VkV3/scNNQPRhhNbfSYhTvp8+0/AkSQyFyeCcOwxBngXwl0cT8mmhXiJQyXQi6WC7LqwcoY0AbxNSMu1X93RStj+oaUJxc=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2020-05-11T01:54:00Z</dcterms:created>
  <dc:creator>Manuela Jimenez A.</dc:creator>
</cp:coreProperties>
</file>