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79475" w14:textId="1A84ABAB" w:rsidR="00836886" w:rsidRDefault="00836886" w:rsidP="00836886">
      <w:r>
        <w:t xml:space="preserve">Cass. civ., Sez. lavoro, Ordinanza, 22/11/2017, n. 27799 </w:t>
      </w:r>
    </w:p>
    <w:p w14:paraId="145BA03D" w14:textId="0315BA63" w:rsidR="00CD5F31" w:rsidRDefault="00836886" w:rsidP="00836886">
      <w:r>
        <w:t>In materia di orario di lavoro nell'ambito dell'attività infermieristica, il cambio di consegne nel passaggio di turno, in quanto connesso, per le peculiarità del servizio sanitario, all'esigenza della presa in carico del paziente e ad assicurare a quest'ultimo la continuità terapeutica, è riferibile ai tempi di una diligente effettiva prestazione di lavoro, sicché va considerato, di per s</w:t>
      </w:r>
      <w:r>
        <w:t>e</w:t>
      </w:r>
      <w:r>
        <w:t xml:space="preserve"> stesso, meritevole di ricompensa economica, </w:t>
      </w:r>
      <w:r w:rsidRPr="00836886">
        <w:rPr>
          <w:highlight w:val="yellow"/>
        </w:rPr>
        <w:t xml:space="preserve">quale espressione della regola deontologica, avente dignità giuridica, </w:t>
      </w:r>
      <w:r w:rsidRPr="00836886">
        <w:t>della continuità assistenziale.</w:t>
      </w:r>
    </w:p>
    <w:p w14:paraId="15D01F43" w14:textId="77777777" w:rsidR="00836886" w:rsidRDefault="00836886" w:rsidP="00836886"/>
    <w:p w14:paraId="3C80D927" w14:textId="77777777" w:rsidR="00836886" w:rsidRDefault="00836886" w:rsidP="00836886">
      <w:r>
        <w:t>Cass. civ., Sez. III, Sentenza, 06/09/2022, n. 26209 (</w:t>
      </w:r>
      <w:proofErr w:type="spellStart"/>
      <w:r>
        <w:t>rv</w:t>
      </w:r>
      <w:proofErr w:type="spellEnd"/>
      <w:r>
        <w:t>. 665650-01)</w:t>
      </w:r>
    </w:p>
    <w:p w14:paraId="3E5FFA37" w14:textId="4C70CAEB" w:rsidR="00836886" w:rsidRDefault="00836886" w:rsidP="00836886">
      <w:r>
        <w:t>Se il paziente presta il consenso ad un intervento a rischio emorragico e al contempo manifesta un inequivoco dissenso all'esecuzione di trasfusioni di sangue in caso di avveramento di tale rischio</w:t>
      </w:r>
      <w:r w:rsidRPr="00836886">
        <w:rPr>
          <w:highlight w:val="yellow"/>
        </w:rPr>
        <w:t>, il medico può legittimamente rifiutare l'intervento autorizzato, perché il paziente non può esigere trattamenti sanitari contrari alla deontologia professionale o alle buone pratiche clinico-assistenziali; tuttavia, qualora il sanitario opti comunque per l'esecuzione dell'intervento, è tenuto a rispettare il dissenso opposto, diversamente integrandosi la lesione del diritto all'autodeterminazione del paziente.</w:t>
      </w:r>
    </w:p>
    <w:sectPr w:rsidR="0083688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08"/>
    <w:rsid w:val="00047901"/>
    <w:rsid w:val="001C5BFC"/>
    <w:rsid w:val="001E3208"/>
    <w:rsid w:val="00220E41"/>
    <w:rsid w:val="005607B8"/>
    <w:rsid w:val="00836886"/>
    <w:rsid w:val="00CD5F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164F"/>
  <w15:chartTrackingRefBased/>
  <w15:docId w15:val="{D374E250-A65C-464B-A223-45D99E4B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E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E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E32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E32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E32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E32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E32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E32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E32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E320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E320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E32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E32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E32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E32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E32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E32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E32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1E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E320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E320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E320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E32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E3208"/>
    <w:rPr>
      <w:i/>
      <w:iCs/>
      <w:color w:val="404040" w:themeColor="text1" w:themeTint="BF"/>
    </w:rPr>
  </w:style>
  <w:style w:type="paragraph" w:styleId="Paragrafoelenco">
    <w:name w:val="List Paragraph"/>
    <w:basedOn w:val="Normale"/>
    <w:uiPriority w:val="34"/>
    <w:qFormat/>
    <w:rsid w:val="001E3208"/>
    <w:pPr>
      <w:ind w:left="720"/>
      <w:contextualSpacing/>
    </w:pPr>
  </w:style>
  <w:style w:type="character" w:styleId="Enfasiintensa">
    <w:name w:val="Intense Emphasis"/>
    <w:basedOn w:val="Carpredefinitoparagrafo"/>
    <w:uiPriority w:val="21"/>
    <w:qFormat/>
    <w:rsid w:val="001E3208"/>
    <w:rPr>
      <w:i/>
      <w:iCs/>
      <w:color w:val="0F4761" w:themeColor="accent1" w:themeShade="BF"/>
    </w:rPr>
  </w:style>
  <w:style w:type="paragraph" w:styleId="Citazioneintensa">
    <w:name w:val="Intense Quote"/>
    <w:basedOn w:val="Normale"/>
    <w:next w:val="Normale"/>
    <w:link w:val="CitazioneintensaCarattere"/>
    <w:uiPriority w:val="30"/>
    <w:qFormat/>
    <w:rsid w:val="001E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E3208"/>
    <w:rPr>
      <w:i/>
      <w:iCs/>
      <w:color w:val="0F4761" w:themeColor="accent1" w:themeShade="BF"/>
    </w:rPr>
  </w:style>
  <w:style w:type="character" w:styleId="Riferimentointenso">
    <w:name w:val="Intense Reference"/>
    <w:basedOn w:val="Carpredefinitoparagrafo"/>
    <w:uiPriority w:val="32"/>
    <w:qFormat/>
    <w:rsid w:val="001E3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COPPOLA</dc:creator>
  <cp:keywords/>
  <dc:description/>
  <cp:lastModifiedBy>Cristina COPPOLA</cp:lastModifiedBy>
  <cp:revision>2</cp:revision>
  <dcterms:created xsi:type="dcterms:W3CDTF">2024-12-04T12:49:00Z</dcterms:created>
  <dcterms:modified xsi:type="dcterms:W3CDTF">2024-12-04T12:51:00Z</dcterms:modified>
</cp:coreProperties>
</file>