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10DD" w:rsidRDefault="00A2226C" w:rsidP="00A2226C">
      <w:pPr>
        <w:pStyle w:val="Bezodstpw"/>
      </w:pPr>
      <w:r>
        <w:t>Zad 1</w:t>
      </w:r>
    </w:p>
    <w:p w:rsidR="00A2226C" w:rsidRDefault="00A2226C" w:rsidP="00A2226C">
      <w:r>
        <w:t xml:space="preserve">Poprawki </w:t>
      </w:r>
      <w:proofErr w:type="spellStart"/>
      <w:r>
        <w:t>Bonferroniego</w:t>
      </w:r>
      <w:proofErr w:type="spellEnd"/>
      <w:r>
        <w:t xml:space="preserve"> służą do niwelowania błędu wyników fałszywie pozytywnych. Przez co tym samym zmniejsza się ilość wyników fałszywie pozytywnych, aby zwiększyć wiarygodność. W efekcie może to doprowadzić do wzrostu wyników fałszywie ujemnych. </w:t>
      </w:r>
    </w:p>
    <w:p w:rsidR="00A2226C" w:rsidRDefault="00A2226C" w:rsidP="00A2226C">
      <w:pPr>
        <w:pStyle w:val="Bezodstpw"/>
      </w:pPr>
      <w:r>
        <w:t>Zad 2</w:t>
      </w:r>
    </w:p>
    <w:p w:rsidR="00A2226C" w:rsidRDefault="00A2226C" w:rsidP="00A2226C">
      <w:r>
        <w:t xml:space="preserve">Podczas eksperymentu doszło do znacznej ekspresji tylko niektórych genów. Z tego też powodu zakłada się, że doszło do ogólnej normalizacji wszystkich próbek, aby móc je ze sobą porównać. </w:t>
      </w:r>
    </w:p>
    <w:p w:rsidR="0017221A" w:rsidRDefault="0017221A" w:rsidP="00A2226C">
      <w:r>
        <w:t xml:space="preserve">Uważam, że w tym konkretnym przypadku (ekspresja genów) wyznaczanie średniej dla próbek nie jest dobrym rozwiązaniem. ekspresja tych genów może odpowiadać za np. wyznaczanie markerów nowotworowych. Uśrednianie ich może zaślepić istotne zmiany w komórkach. </w:t>
      </w:r>
    </w:p>
    <w:p w:rsidR="0017221A" w:rsidRDefault="0017221A" w:rsidP="0017221A">
      <w:pPr>
        <w:pStyle w:val="Bezodstpw"/>
      </w:pPr>
      <w:r>
        <w:t>Zad 3</w:t>
      </w:r>
    </w:p>
    <w:p w:rsidR="0017221A" w:rsidRDefault="000B69DC" w:rsidP="0017221A">
      <w:r>
        <w:t xml:space="preserve">Względem czasu można wnioskować, że ekspresja genu 1 rośnie a genu 2 spada. </w:t>
      </w:r>
      <w:r w:rsidRPr="000B69DC">
        <w:t>Wyniki wykazały, że istnieje nieistotna, średnio dodatnia zależność pomiędzy X i Y (</w:t>
      </w:r>
      <w:proofErr w:type="gramStart"/>
      <w:r w:rsidRPr="000B69DC">
        <w:t>r(</w:t>
      </w:r>
      <w:proofErr w:type="gramEnd"/>
      <w:r w:rsidRPr="000B69DC">
        <w:t>10) = 0,481, p = 0,114).</w:t>
      </w:r>
    </w:p>
    <w:p w:rsidR="000B69DC" w:rsidRDefault="000B69DC" w:rsidP="000B69DC">
      <w:pPr>
        <w:ind w:firstLine="0"/>
      </w:pPr>
      <w:r>
        <w:rPr>
          <w:noProof/>
        </w:rPr>
        <w:drawing>
          <wp:inline distT="0" distB="0" distL="0" distR="0">
            <wp:extent cx="2658079" cy="1643605"/>
            <wp:effectExtent l="0" t="0" r="0" b="0"/>
            <wp:docPr id="1849604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04837" name="Obraz 18496048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8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1828165"/>
            <wp:effectExtent l="0" t="0" r="5080" b="635"/>
            <wp:docPr id="142871085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10852" name="Obraz 14287108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C" w:rsidRDefault="000B69DC" w:rsidP="000B69DC">
      <w:pPr>
        <w:pStyle w:val="Bezodstpw"/>
      </w:pPr>
    </w:p>
    <w:p w:rsidR="000B69DC" w:rsidRDefault="000B69DC" w:rsidP="000B69DC">
      <w:pPr>
        <w:pStyle w:val="Bezodstpw"/>
      </w:pPr>
      <w:r>
        <w:lastRenderedPageBreak/>
        <w:t>Zad 4</w:t>
      </w:r>
    </w:p>
    <w:p w:rsidR="000B69DC" w:rsidRDefault="000B69DC" w:rsidP="000B69DC">
      <w:r>
        <w:t xml:space="preserve">GATA3 jest połączony z </w:t>
      </w:r>
      <w:r w:rsidR="00BD11F1">
        <w:t>EGFR</w:t>
      </w:r>
    </w:p>
    <w:p w:rsidR="00BD11F1" w:rsidRDefault="00BD11F1" w:rsidP="000B69DC">
      <w:r>
        <w:t>XBP1 jest połączony z GATA3</w:t>
      </w:r>
    </w:p>
    <w:p w:rsidR="00BD11F1" w:rsidRDefault="00BD11F1" w:rsidP="000B69DC">
      <w:r>
        <w:t>Największe znaczenie ma interakcje genetyczne.</w:t>
      </w:r>
    </w:p>
    <w:p w:rsidR="00BD11F1" w:rsidRDefault="00BD11F1" w:rsidP="00BD11F1">
      <w:pPr>
        <w:pStyle w:val="Bezodstpw"/>
      </w:pPr>
      <w:r>
        <w:t>Zad 5</w:t>
      </w:r>
    </w:p>
    <w:p w:rsidR="00BD11F1" w:rsidRDefault="00BD11F1" w:rsidP="00BD11F1">
      <w:r>
        <w:t>Badanie dotyczy choroby Alzhaimera w różnych stadiach zaawansowania. Podczas badania podjęto się profilowania ekspresji hipokampów mózgu 22 pacjentów.</w:t>
      </w:r>
    </w:p>
    <w:p w:rsidR="00BD11F1" w:rsidRDefault="0041384A" w:rsidP="00BD11F1">
      <w:r>
        <w:t>Próbek było 31 i podzielono je na 4 grupy.</w:t>
      </w:r>
    </w:p>
    <w:p w:rsidR="0041384A" w:rsidRDefault="0041384A" w:rsidP="00BD11F1">
      <w:r>
        <w:t>grupy były podzielone ze względu na zaawansowanie choroby: kontrolna, początkowa, umiarkowana, ciężka.</w:t>
      </w:r>
    </w:p>
    <w:p w:rsidR="0041384A" w:rsidRDefault="0080752E" w:rsidP="00BD11F1">
      <w:pPr>
        <w:rPr>
          <w:b/>
          <w:bCs/>
        </w:rPr>
      </w:pPr>
      <w:r w:rsidRPr="0080752E">
        <w:rPr>
          <w:b/>
          <w:bCs/>
        </w:rPr>
        <w:t>SPARC</w:t>
      </w:r>
    </w:p>
    <w:p w:rsidR="0080752E" w:rsidRDefault="0080752E" w:rsidP="00BD11F1">
      <w:r w:rsidRPr="0080752E">
        <w:t>Gen ten koduje białko związane z macierzą kwasową bogate w cysteinę. Kodowane białko jest niezbędne do zwapnienia kolagenu w kości, ale bierze także udział w syntezie macierzy zewnątrzkomórkowej i promowaniu zmian w kształcie komórek.</w:t>
      </w:r>
      <w:r>
        <w:t xml:space="preserve"> Jego ekspresja zwiększa się w stadiach zaawansowanych. </w:t>
      </w:r>
    </w:p>
    <w:p w:rsidR="0080752E" w:rsidRPr="0080752E" w:rsidRDefault="0080752E" w:rsidP="00BD11F1">
      <w:pPr>
        <w:rPr>
          <w:b/>
          <w:bCs/>
        </w:rPr>
      </w:pPr>
      <w:r w:rsidRPr="0080752E">
        <w:rPr>
          <w:b/>
          <w:bCs/>
        </w:rPr>
        <w:t>VSNL1</w:t>
      </w:r>
    </w:p>
    <w:p w:rsidR="0080752E" w:rsidRDefault="0080752E" w:rsidP="00BD11F1">
      <w:r w:rsidRPr="0080752E">
        <w:t xml:space="preserve">Gen ten należy do podrodziny </w:t>
      </w:r>
      <w:proofErr w:type="spellStart"/>
      <w:r w:rsidRPr="0080752E">
        <w:t>wisininy</w:t>
      </w:r>
      <w:proofErr w:type="spellEnd"/>
      <w:r w:rsidRPr="0080752E">
        <w:t>/</w:t>
      </w:r>
      <w:proofErr w:type="spellStart"/>
      <w:r w:rsidRPr="0080752E">
        <w:t>regeneryny</w:t>
      </w:r>
      <w:proofErr w:type="spellEnd"/>
      <w:r w:rsidRPr="0080752E">
        <w:t xml:space="preserve"> neuronalnych białek sensorycznych wapnia. </w:t>
      </w:r>
      <w:r>
        <w:t>Tendencja ekspresji jest wysoka na początki a wraz ze stanem zaawansowania spada.</w:t>
      </w:r>
    </w:p>
    <w:p w:rsidR="0080752E" w:rsidRPr="0080752E" w:rsidRDefault="0080752E" w:rsidP="00BD11F1">
      <w:pPr>
        <w:rPr>
          <w:b/>
          <w:bCs/>
        </w:rPr>
      </w:pPr>
      <w:r w:rsidRPr="0080752E">
        <w:rPr>
          <w:b/>
          <w:bCs/>
        </w:rPr>
        <w:t>COL5A2</w:t>
      </w:r>
    </w:p>
    <w:p w:rsidR="0080752E" w:rsidRDefault="0080752E" w:rsidP="00BD11F1">
      <w:r w:rsidRPr="0080752E">
        <w:t>Gen ten koduje łańcuch alfa jednego z kolagenów włóknistych występujących w niewielkiej liczbie.</w:t>
      </w:r>
      <w:r>
        <w:t xml:space="preserve"> Tendencja ekspresji podobna do VSNL1</w:t>
      </w:r>
      <w:r w:rsidR="002F3427">
        <w:t>.</w:t>
      </w:r>
    </w:p>
    <w:p w:rsidR="002F3427" w:rsidRDefault="002F3427" w:rsidP="00BD11F1"/>
    <w:p w:rsidR="002F3427" w:rsidRDefault="002F3427" w:rsidP="00BD11F1">
      <w:proofErr w:type="spellStart"/>
      <w:r w:rsidRPr="002F3427">
        <w:t>Househeeping</w:t>
      </w:r>
      <w:proofErr w:type="spellEnd"/>
      <w:r w:rsidRPr="002F3427">
        <w:t xml:space="preserve"> </w:t>
      </w:r>
      <w:proofErr w:type="spellStart"/>
      <w:r w:rsidRPr="002F3427">
        <w:t>genes</w:t>
      </w:r>
      <w:proofErr w:type="spellEnd"/>
      <w:r w:rsidRPr="002F3427">
        <w:t xml:space="preserve"> to geny metabolizmu podstawowego, bez </w:t>
      </w:r>
      <w:r>
        <w:t xml:space="preserve">których komórka nie jest w stanie funkcjonować, są aktywne we wszystkich typach komórek. </w:t>
      </w:r>
      <w:r w:rsidRPr="002F3427">
        <w:t xml:space="preserve">Te geny są często stosowane jako odniesienie w badaniach ekspresji genów, ponieważ ich ekspresja jest stabilna i występuje we wszystkich komórkach </w:t>
      </w:r>
      <w:r w:rsidRPr="002F3427">
        <w:lastRenderedPageBreak/>
        <w:t>w podobnym stopniu.</w:t>
      </w:r>
      <w:r>
        <w:t xml:space="preserve"> Co ma na celu normalizacje ekspresji innych genów w eksperymentach, ich ekspresja powinna być względnie stała. </w:t>
      </w:r>
    </w:p>
    <w:p w:rsidR="002F3427" w:rsidRDefault="002F3427" w:rsidP="00BD11F1">
      <w:pPr>
        <w:rPr>
          <w:b/>
          <w:bCs/>
        </w:rPr>
      </w:pPr>
      <w:r w:rsidRPr="002F3427">
        <w:rPr>
          <w:b/>
          <w:bCs/>
        </w:rPr>
        <w:t>GAPDH</w:t>
      </w:r>
    </w:p>
    <w:p w:rsidR="002F3427" w:rsidRDefault="002F3427" w:rsidP="002F3427">
      <w:pPr>
        <w:ind w:left="0" w:firstLine="0"/>
      </w:pPr>
      <w:r>
        <w:rPr>
          <w:noProof/>
        </w:rPr>
        <w:drawing>
          <wp:inline distT="0" distB="0" distL="0" distR="0">
            <wp:extent cx="5760720" cy="2217420"/>
            <wp:effectExtent l="0" t="0" r="5080" b="5080"/>
            <wp:docPr id="46442701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27018" name="Obraz 4644270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27" w:rsidRPr="00CF78CE" w:rsidRDefault="00CF78CE" w:rsidP="00CF78CE">
      <w:pPr>
        <w:rPr>
          <w:b/>
          <w:bCs/>
        </w:rPr>
      </w:pPr>
      <w:r w:rsidRPr="00CF78CE">
        <w:rPr>
          <w:b/>
          <w:bCs/>
        </w:rPr>
        <w:t>ACTB</w:t>
      </w:r>
    </w:p>
    <w:p w:rsidR="00CF78CE" w:rsidRDefault="00CF78CE" w:rsidP="00CF78CE">
      <w:pPr>
        <w:ind w:left="0" w:firstLine="0"/>
      </w:pPr>
      <w:r>
        <w:rPr>
          <w:noProof/>
        </w:rPr>
        <w:drawing>
          <wp:inline distT="0" distB="0" distL="0" distR="0">
            <wp:extent cx="5760720" cy="2318385"/>
            <wp:effectExtent l="0" t="0" r="5080" b="5715"/>
            <wp:docPr id="47966199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1999" name="Obraz 4796619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CE" w:rsidRPr="00CF78CE" w:rsidRDefault="00CF78CE" w:rsidP="00CF78CE">
      <w:pPr>
        <w:rPr>
          <w:b/>
          <w:bCs/>
        </w:rPr>
      </w:pPr>
      <w:r w:rsidRPr="00CF78CE">
        <w:rPr>
          <w:b/>
          <w:bCs/>
        </w:rPr>
        <w:t>RPLP0</w:t>
      </w:r>
    </w:p>
    <w:p w:rsidR="00CF78CE" w:rsidRDefault="00CF78CE" w:rsidP="00CF78CE">
      <w:pPr>
        <w:ind w:left="0" w:firstLine="0"/>
      </w:pPr>
      <w:r>
        <w:rPr>
          <w:noProof/>
        </w:rPr>
        <w:drawing>
          <wp:inline distT="0" distB="0" distL="0" distR="0">
            <wp:extent cx="5760720" cy="2308225"/>
            <wp:effectExtent l="0" t="0" r="5080" b="3175"/>
            <wp:docPr id="157541271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2718" name="Obraz 1575412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CE" w:rsidRDefault="00CF78CE" w:rsidP="00CF78CE">
      <w:r>
        <w:lastRenderedPageBreak/>
        <w:t>Najważniejszą funkcją podanych genów jest funkcja predykcyjna między GJA1 a GAPDH, dodatkowo można brać pod uwagę interakcje genetyczne między większą ilością genów z tej grupy.</w:t>
      </w:r>
    </w:p>
    <w:p w:rsidR="00CF78CE" w:rsidRDefault="00CF78CE" w:rsidP="00CF78CE">
      <w:pPr>
        <w:pStyle w:val="Bezodstpw"/>
      </w:pPr>
      <w:r>
        <w:t>Zad 6</w:t>
      </w:r>
    </w:p>
    <w:p w:rsidR="00CF78CE" w:rsidRDefault="00B973C1" w:rsidP="00CF78CE">
      <w:r>
        <w:t xml:space="preserve">Według mnie macierz przedstawia proces powstawania </w:t>
      </w:r>
      <w:proofErr w:type="spellStart"/>
      <w:r>
        <w:t>pirogronianu</w:t>
      </w:r>
      <w:proofErr w:type="spellEnd"/>
      <w:r>
        <w:t xml:space="preserve"> – charakterystyczne jest w nich zwiększenie ekspresji na końcu, co może oznaczać powstanie jakiegoś produktu (</w:t>
      </w:r>
      <w:proofErr w:type="spellStart"/>
      <w:r>
        <w:t>pirogronian</w:t>
      </w:r>
      <w:proofErr w:type="spellEnd"/>
      <w:r>
        <w:t>).</w:t>
      </w:r>
    </w:p>
    <w:p w:rsidR="00B973C1" w:rsidRDefault="00B973C1" w:rsidP="00CF78CE">
      <w:r>
        <w:t xml:space="preserve">W wykresie PCA możemy zauważyć potwierdzenie procesu zachodzącego w macierzach. Ewidentnie widoczne jest jak poszczególne geny wpływają na zachodzące procesy. </w:t>
      </w:r>
    </w:p>
    <w:p w:rsidR="00B973C1" w:rsidRPr="002F3427" w:rsidRDefault="00B973C1" w:rsidP="00CF78CE">
      <w:r>
        <w:t xml:space="preserve">Mapy </w:t>
      </w:r>
      <w:proofErr w:type="spellStart"/>
      <w:r>
        <w:t>Kochena</w:t>
      </w:r>
      <w:proofErr w:type="spellEnd"/>
      <w:r>
        <w:t xml:space="preserve"> po części potwierdzają nam poprzednie analizy – szczególnie mapa: 1, 2, 3, 6, 7. Natomiast mapa 4 oraz 5 nie są już tak oczywiste. Powód tego zjawiska może być różny ja uważam, że może mieć to związek z genami, które działają na granicy obu tych procesów – powstanie </w:t>
      </w:r>
      <w:proofErr w:type="spellStart"/>
      <w:r>
        <w:t>pirogronoianu</w:t>
      </w:r>
      <w:proofErr w:type="spellEnd"/>
      <w:r>
        <w:t xml:space="preserve"> a po nim alkoholu. </w:t>
      </w:r>
      <w:r w:rsidR="00FA4FD4">
        <w:t>Opcjonalnie mogą być to geny, których ekspresja zachodzi dłużej.</w:t>
      </w:r>
    </w:p>
    <w:sectPr w:rsidR="00B973C1" w:rsidRPr="002F34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4DE"/>
    <w:rsid w:val="000B69DC"/>
    <w:rsid w:val="0017221A"/>
    <w:rsid w:val="001B10DD"/>
    <w:rsid w:val="00280923"/>
    <w:rsid w:val="002F3427"/>
    <w:rsid w:val="0041384A"/>
    <w:rsid w:val="00600DEF"/>
    <w:rsid w:val="00735EFF"/>
    <w:rsid w:val="0080752E"/>
    <w:rsid w:val="009F25F3"/>
    <w:rsid w:val="00A2226C"/>
    <w:rsid w:val="00AA2220"/>
    <w:rsid w:val="00AA37E6"/>
    <w:rsid w:val="00B54E90"/>
    <w:rsid w:val="00B973C1"/>
    <w:rsid w:val="00BD11F1"/>
    <w:rsid w:val="00CF78CE"/>
    <w:rsid w:val="00D254DE"/>
    <w:rsid w:val="00D63628"/>
    <w:rsid w:val="00F8635B"/>
    <w:rsid w:val="00FA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7170A2"/>
  <w15:chartTrackingRefBased/>
  <w15:docId w15:val="{89A7E1C9-A73D-234F-9382-66A29AC06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00DEF"/>
    <w:pPr>
      <w:spacing w:before="120" w:after="120" w:line="360" w:lineRule="auto"/>
      <w:ind w:left="170" w:firstLine="709"/>
    </w:pPr>
    <w:rPr>
      <w:rFonts w:ascii="Helvetica" w:hAnsi="Helvetica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00DEF"/>
    <w:pPr>
      <w:keepNext/>
      <w:keepLines/>
      <w:pBdr>
        <w:bottom w:val="single" w:sz="18" w:space="1" w:color="833C0B" w:themeColor="accent2" w:themeShade="80"/>
      </w:pBdr>
      <w:spacing w:before="240"/>
      <w:outlineLvl w:val="0"/>
    </w:pPr>
    <w:rPr>
      <w:rFonts w:ascii="Didot" w:eastAsiaTheme="majorEastAsia" w:hAnsi="Didot" w:cstheme="majorBidi"/>
      <w:color w:val="833C0B" w:themeColor="accent2" w:themeShade="80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00DEF"/>
    <w:rPr>
      <w:rFonts w:ascii="Didot" w:eastAsiaTheme="majorEastAsia" w:hAnsi="Didot" w:cstheme="majorBidi"/>
      <w:color w:val="833C0B" w:themeColor="accent2" w:themeShade="80"/>
      <w:sz w:val="32"/>
      <w:szCs w:val="32"/>
    </w:rPr>
  </w:style>
  <w:style w:type="paragraph" w:styleId="Bezodstpw">
    <w:name w:val="No Spacing"/>
    <w:uiPriority w:val="1"/>
    <w:qFormat/>
    <w:rsid w:val="00600DEF"/>
    <w:rPr>
      <w:rFonts w:ascii="Helvetica" w:hAnsi="Helvetica"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kolajturczyniak/Library/Group%20Containers/UBF8T346G9.Office/User%20Content.localized/Templates.localized/Notes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Notes.dotx</Template>
  <TotalTime>54</TotalTime>
  <Pages>4</Pages>
  <Words>470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Mikołaj Turczyniak</cp:lastModifiedBy>
  <cp:revision>3</cp:revision>
  <dcterms:created xsi:type="dcterms:W3CDTF">2023-11-16T14:26:00Z</dcterms:created>
  <dcterms:modified xsi:type="dcterms:W3CDTF">2023-11-21T13:29:00Z</dcterms:modified>
</cp:coreProperties>
</file>