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Understanding and Reducing Customer Churn: A Data-Driven Retention Strategy</w:t>
      </w:r>
    </w:p>
    <w:p>
      <w:pPr>
        <w:jc w:val="center"/>
      </w:pPr>
      <w:r>
        <w:t>Final Stage 1 — Data Analytics Competition</w:t>
      </w:r>
    </w:p>
    <w:p>
      <w:pPr>
        <w:jc w:val="center"/>
      </w:pPr>
    </w:p>
    <w:p>
      <w:pPr>
        <w:jc w:val="center"/>
      </w:pPr>
      <w:r>
        <w:t>Team: DataWizards</w:t>
      </w:r>
    </w:p>
    <w:p>
      <w:pPr>
        <w:jc w:val="center"/>
      </w:pPr>
      <w:r>
        <w:rPr>
          <w:b/>
          <w:highlight w:val="yellow"/>
        </w:rPr>
        <w:t>[EDIT: Member 1 — Member 2]</w:t>
      </w:r>
    </w:p>
    <w:p>
      <w:pPr>
        <w:jc w:val="center"/>
      </w:pPr>
      <w:r>
        <w:rPr>
          <w:b/>
          <w:highlight w:val="yellow"/>
        </w:rPr>
        <w:t>[EDIT: University]</w:t>
      </w:r>
    </w:p>
    <w:p>
      <w:pPr>
        <w:sectPr>
          <w:pgSz w:w="11906" w:h="16838"/>
          <w:pgMar w:top="2268" w:right="1701" w:bottom="2268" w:left="1701" w:header="720" w:footer="720" w:gutter="0"/>
          <w:cols w:space="720"/>
          <w:docGrid w:linePitch="360"/>
        </w:sectPr>
      </w:pPr>
    </w:p>
    <w:p>
      <w:pPr>
        <w:pStyle w:val="Heading1"/>
      </w:pPr>
      <w:r>
        <w:t>Executive Summary</w:t>
      </w:r>
    </w:p>
    <w:p>
      <w:r>
        <w:t>Customer churn is a direct threat to the premium income and profitability of PT Asuransi Sejahtera. Using data on 8,000 customers (overall churn rate 20.6%), we combined statistical driver analysis, survival analysis, interpretable regression and gradient-boosted machine learning to explain why and when customers leave and whom to prioritise. Churn is most strongly and consistently associated with payment method, auto renew and premium change pct. Churn risk is highest in tenure interval [18, 24) months. Our final model reaches an out-of-fold ROC-AUC of 0.749 (95% CI 0.735–0.761); targeting the 20% highest-risk customers captures 45% of all churners. Expected annual premium at risk is 9.83B IDR (20.5% of the premium base). We recommend: (1) Shift manual payers to automatic payment; (2) Make renewal effortless (default auto-renewal); (3) Smarter renewal pricing. A campaign simulation suggests that targeting the top 50% of customers by expected loss yields a net benefit of 792.88M IDR (ROI 1.3x) under our stated assumptions.</w:t>
      </w:r>
    </w:p>
    <w:p>
      <w:r>
        <w:rPr>
          <w:b/>
          <w:highlight w:val="yellow"/>
        </w:rPr>
        <w:t>[EDIT: tambahkan 1 kalimat konteks spesifik dari soal (produk, pasar, tujuan manajemen) dan rapikan ringkasan ini maks. ½ halaman.]</w:t>
      </w:r>
    </w:p>
    <w:p>
      <w:pPr>
        <w:pStyle w:val="Heading1"/>
      </w:pPr>
      <w:r>
        <w:t>1. Introduction and Business Problem</w:t>
      </w:r>
    </w:p>
    <w:p>
      <w:r>
        <w:t xml:space="preserve">In insurance, retaining an existing policyholder is considerably cheaper than acquiring a new one: acquisition costs (commissions, marketing, underwriting) are recovered over several years of premiums, so early lapses and non-renewals directly erode profitability and persistency. </w:t>
      </w:r>
      <w:r>
        <w:rPr>
          <w:b/>
          <w:highlight w:val="yellow"/>
        </w:rPr>
        <w:t>[EDIT: konteks PT Asuransi Sejahtera dari soal — lini produk, situasi churn saat ini, kenapa manajemen peduli.]</w:t>
      </w:r>
    </w:p>
    <w:p>
      <w:r>
        <w:t>This study answers three questions: (i) Which customer, policy and service factors drive churn? (ii) When during the customer lifecycle is churn risk highest? (iii) Which customers should be prioritised, and with which interventions, to maximise retained value?</w:t>
      </w:r>
    </w:p>
    <w:p>
      <w:pPr>
        <w:pStyle w:val="Heading1"/>
      </w:pPr>
      <w:r>
        <w:t>2. Data and Methodology</w:t>
      </w:r>
    </w:p>
    <w:p>
      <w:pPr>
        <w:pStyle w:val="Heading2"/>
      </w:pPr>
      <w:r>
        <w:t>2.1 Data</w:t>
      </w:r>
    </w:p>
    <w:p>
      <w:r>
        <w:t xml:space="preserve">The dataset contains 8,000 customers (plus 2,000 customers to be scored) and 27 original variables covering </w:t>
      </w:r>
      <w:r>
        <w:rPr>
          <w:b/>
          <w:highlight w:val="yellow"/>
        </w:rPr>
        <w:t>[EDIT: demographics, policy characteristics, premium &amp; payment behaviour, claims and service interactions]</w:t>
      </w:r>
      <w:r>
        <w:t>. The target is churn (churn = Yes); the overall churn rate is 20.6%.</w:t>
      </w:r>
    </w:p>
    <w:p>
      <w:pPr>
        <w:pStyle w:val="Heading2"/>
      </w:pPr>
      <w:r>
        <w:t>2.2 Data preparation</w:t>
      </w:r>
    </w:p>
    <w:p>
      <w:r>
        <w:t>Data preparation included automatic type correction (e.g. numbers stored as text and date parsing), harmonisation of inconsistent category labels, removal of 15 duplicate records and treatment of impossible values. We engineered 18 domain features, including tenure (years), tenure band, new customer (&lt;12 months), age band, premium-to-income ratio, sum insured to premium ratio. Variables recorded only after churn (cancellation reason) were excluded from modelling to prevent target leakage.</w:t>
      </w:r>
    </w:p>
    <w:p>
      <w:pPr>
        <w:pStyle w:val="Heading2"/>
      </w:pPr>
      <w:r>
        <w:t>2.3 Analytical framework</w:t>
      </w:r>
    </w:p>
    <w:p>
      <w:r>
        <w:t>Our framework has four layers (Figure 1): (1) univariate driver analysis with χ² and Mann-Whitney tests, effect sizes (Cramér's V, rank-biserial r), Information Value and Benjamini-Hochberg correction; (2) survival analysis (Kaplan-Meier, log-rank tests and Cox proportional hazards) to capture when churn occurs; (3) a multivariate logistic regression for interpretable odds ratios; and (4) predictive machine learning (catboost, hgb, lgbm, logreg) evaluated with stratified 3-fold cross-validation and combined via ensemble selection. Model behaviour was explained with SHAP values and partial dependence, and translated into business value with lift analysis, customer lifetime value, a risk–value matrix, a retention-campaign ROI simulation and what-if scenarios.</w:t>
      </w:r>
    </w:p>
    <w:p>
      <w:r>
        <w:rPr>
          <w:b/>
          <w:highlight w:val="yellow"/>
        </w:rPr>
        <w:t>[EDIT: sisipkan diagram alur (Figure 1) — Data → Cleaning &amp; Feature Engineering → Driver analysis → Survival → Interpretable model → ML &amp; explainability → Business simulation → Recommendations. Bisa dibuat di PowerPoint/Word SmartArt.]</w:t>
      </w:r>
    </w:p>
    <w:p>
      <w:pPr>
        <w:pStyle w:val="Heading2"/>
      </w:pPr>
      <w:r>
        <w:t>2.4 Validation</w:t>
      </w:r>
    </w:p>
    <w:p>
      <w:r>
        <w:t>All performance figures are out-of-fold estimates. Target-dependent encodings were fitted inside each training fold. Sanity checks confirmed the absence of leakage (ROC-AUC with shuffled labels ≈ 0.5) and similar train/test distributions (adversarial validation AUC = 0.48). Uncertainty is reported with bootstrap 95% confidence intervals.</w:t>
      </w:r>
    </w:p>
    <w:p>
      <w:pPr>
        <w:pStyle w:val="Heading1"/>
      </w:pPr>
      <w:r>
        <w:t>3. Findings</w:t>
      </w:r>
    </w:p>
    <w:p>
      <w:pPr>
        <w:pStyle w:val="Heading2"/>
      </w:pPr>
      <w:r>
        <w:t>3.1 Churn overview</w:t>
      </w:r>
    </w:p>
    <w:p>
      <w:r>
        <w:t xml:space="preserve">20.6% of customers churned, i.e. a </w:t>
      </w:r>
      <w:r>
        <w:rPr>
          <w:b/>
          <w:highlight w:val="yellow"/>
        </w:rPr>
        <w:t>[EDIT: moderate/severe]</w:t>
      </w:r>
      <w:r>
        <w:t xml:space="preserve"> class imbalance; we therefore evaluate models with ROC-AUC and precision–recall rather than accuracy.</w:t>
      </w:r>
    </w:p>
    <w:p>
      <w:pPr>
        <w:pStyle w:val="Heading2"/>
      </w:pPr>
      <w:r>
        <w:t>3.2 Key churn drivers</w:t>
      </w:r>
    </w:p>
    <w:p>
      <w:r>
        <w:t>premium change pct: churned customers have a median of 6.20 vs 3.50 for retained customers (higher → more churn; rank-biserial r = 0.22, small effect, IV = 0.16). Highest-risk bin 12.9–29.5 churns at 31.7% (1.5x the average).</w:t>
      </w:r>
    </w:p>
    <w:p>
      <w:r>
        <w:t>tenure months: churned customers have a median of 19.00 vs 24.00 for retained customers (higher → less churn; rank-biserial r = -0.19, small effect, IV = 0.13). Highest-risk bin 0.999–6 churns at 28.2% (1.4x the average).</w:t>
      </w:r>
    </w:p>
    <w:p>
      <w:r>
        <w:t>claims per year of tenure: churned customers have a median of 0.24 vs 0.00 for retained customers (higher → more churn; rank-biserial r = 0.16, small effect, IV = 0.11). Highest-risk bin 1.39–16 churns at 32.5% (1.6x the average).</w:t>
      </w:r>
    </w:p>
    <w:p>
      <w:r>
        <w:t>payment method: customers in 'Cash' churn at 26.2% (1.3x the overall rate of 20.6%) versus 13.8% for 'Auto-debit' (χ² p &lt;0.001, Cramér's V = 0.13, IV = 0.10).</w:t>
      </w:r>
    </w:p>
    <w:p>
      <w:r>
        <w:t>number of complaints 12m: churned customers have a median of 0.00 vs 0.00 for retained customers (higher → more churn; rank-biserial r = 0.13, small effect, IV = 0.09). Highest-risk bin ≥2 churns at 39.3% (1.9x the average).</w:t>
      </w:r>
    </w:p>
    <w:p>
      <w:pPr>
        <w:jc w:val="center"/>
      </w:pPr>
      <w:r>
        <w:drawing>
          <wp:inline xmlns:a="http://schemas.openxmlformats.org/drawingml/2006/main" xmlns:pic="http://schemas.openxmlformats.org/drawingml/2006/picture">
            <wp:extent cx="5040000" cy="2498461"/>
            <wp:docPr id="1" name="Picture 1"/>
            <wp:cNvGraphicFramePr>
              <a:graphicFrameLocks noChangeAspect="1"/>
            </wp:cNvGraphicFramePr>
            <a:graphic>
              <a:graphicData uri="http://schemas.openxmlformats.org/drawingml/2006/picture">
                <pic:pic>
                  <pic:nvPicPr>
                    <pic:cNvPr id="0" name="fig05_driver_churn_rate_1.png"/>
                    <pic:cNvPicPr/>
                  </pic:nvPicPr>
                  <pic:blipFill>
                    <a:blip r:embed="rId9"/>
                    <a:stretch>
                      <a:fillRect/>
                    </a:stretch>
                  </pic:blipFill>
                  <pic:spPr>
                    <a:xfrm>
                      <a:off x="0" y="0"/>
                      <a:ext cx="5040000" cy="2498461"/>
                    </a:xfrm>
                    <a:prstGeom prst="rect"/>
                  </pic:spPr>
                </pic:pic>
              </a:graphicData>
            </a:graphic>
          </wp:inline>
        </w:drawing>
      </w:r>
    </w:p>
    <w:p>
      <w:pPr>
        <w:pStyle w:val="Caption"/>
        <w:jc w:val="center"/>
      </w:pPr>
      <w:r>
        <w:t>Figure 1. Churn rate by the strongest drivers (bars: churn rate with 95% CI; dashed line: overall churn rate).</w:t>
      </w:r>
    </w:p>
    <w:p>
      <w:pPr>
        <w:pStyle w:val="Caption"/>
      </w:pPr>
      <w:r>
        <w:t>Table 1. Driver evidence matrix (univariate, multivariate, survival and SHAP evidence).</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b/>
                <w:sz w:val="18"/>
              </w:rPr>
              <w:t>Driver</w:t>
            </w:r>
          </w:p>
        </w:tc>
        <w:tc>
          <w:tcPr>
            <w:tcW w:type="dxa" w:w="1063"/>
          </w:tcPr>
          <w:p>
            <w:r/>
            <w:r>
              <w:rPr>
                <w:b/>
                <w:sz w:val="18"/>
              </w:rPr>
              <w:t>High-risk group</w:t>
            </w:r>
          </w:p>
        </w:tc>
        <w:tc>
          <w:tcPr>
            <w:tcW w:type="dxa" w:w="1063"/>
          </w:tcPr>
          <w:p>
            <w:r/>
            <w:r>
              <w:rPr>
                <w:b/>
                <w:sz w:val="18"/>
              </w:rPr>
              <w:t>Churn % (group)</w:t>
            </w:r>
          </w:p>
        </w:tc>
        <w:tc>
          <w:tcPr>
            <w:tcW w:type="dxa" w:w="1063"/>
          </w:tcPr>
          <w:p>
            <w:r/>
            <w:r>
              <w:rPr>
                <w:b/>
                <w:sz w:val="18"/>
              </w:rPr>
              <w:t>Lift</w:t>
            </w:r>
          </w:p>
        </w:tc>
        <w:tc>
          <w:tcPr>
            <w:tcW w:type="dxa" w:w="1063"/>
          </w:tcPr>
          <w:p>
            <w:r/>
            <w:r>
              <w:rPr>
                <w:b/>
                <w:sz w:val="18"/>
              </w:rPr>
              <w:t>IV</w:t>
            </w:r>
          </w:p>
        </w:tc>
        <w:tc>
          <w:tcPr>
            <w:tcW w:type="dxa" w:w="1063"/>
          </w:tcPr>
          <w:p>
            <w:r/>
            <w:r>
              <w:rPr>
                <w:b/>
                <w:sz w:val="18"/>
              </w:rPr>
              <w:t>OR</w:t>
            </w:r>
          </w:p>
        </w:tc>
        <w:tc>
          <w:tcPr>
            <w:tcW w:type="dxa" w:w="1063"/>
          </w:tcPr>
          <w:p>
            <w:r/>
            <w:r>
              <w:rPr>
                <w:b/>
                <w:sz w:val="18"/>
              </w:rPr>
              <w:t>HR</w:t>
            </w:r>
          </w:p>
        </w:tc>
        <w:tc>
          <w:tcPr>
            <w:tcW w:type="dxa" w:w="1063"/>
          </w:tcPr>
          <w:p>
            <w:r/>
            <w:r>
              <w:rPr>
                <w:b/>
                <w:sz w:val="18"/>
              </w:rPr>
              <w:t>SHAP rank</w:t>
            </w:r>
          </w:p>
        </w:tc>
      </w:tr>
      <w:tr>
        <w:tc>
          <w:tcPr>
            <w:tcW w:type="dxa" w:w="1063"/>
          </w:tcPr>
          <w:p>
            <w:r/>
            <w:r>
              <w:rPr>
                <w:sz w:val="18"/>
              </w:rPr>
              <w:t>payment method</w:t>
            </w:r>
          </w:p>
        </w:tc>
        <w:tc>
          <w:tcPr>
            <w:tcW w:type="dxa" w:w="1063"/>
          </w:tcPr>
          <w:p>
            <w:r/>
            <w:r>
              <w:rPr>
                <w:sz w:val="18"/>
              </w:rPr>
              <w:t>Cash</w:t>
            </w:r>
          </w:p>
        </w:tc>
        <w:tc>
          <w:tcPr>
            <w:tcW w:type="dxa" w:w="1063"/>
          </w:tcPr>
          <w:p>
            <w:r/>
            <w:r>
              <w:rPr>
                <w:sz w:val="18"/>
              </w:rPr>
              <w:t>26.20</w:t>
            </w:r>
          </w:p>
        </w:tc>
        <w:tc>
          <w:tcPr>
            <w:tcW w:type="dxa" w:w="1063"/>
          </w:tcPr>
          <w:p>
            <w:r/>
            <w:r>
              <w:rPr>
                <w:sz w:val="18"/>
              </w:rPr>
              <w:t>1.27</w:t>
            </w:r>
          </w:p>
        </w:tc>
        <w:tc>
          <w:tcPr>
            <w:tcW w:type="dxa" w:w="1063"/>
          </w:tcPr>
          <w:p>
            <w:r/>
            <w:r>
              <w:rPr>
                <w:sz w:val="18"/>
              </w:rPr>
              <w:t>0.10</w:t>
            </w:r>
          </w:p>
        </w:tc>
        <w:tc>
          <w:tcPr>
            <w:tcW w:type="dxa" w:w="1063"/>
          </w:tcPr>
          <w:p>
            <w:r/>
            <w:r>
              <w:rPr>
                <w:sz w:val="18"/>
              </w:rPr>
              <w:t>2.12</w:t>
            </w:r>
          </w:p>
        </w:tc>
        <w:tc>
          <w:tcPr>
            <w:tcW w:type="dxa" w:w="1063"/>
          </w:tcPr>
          <w:p>
            <w:r/>
            <w:r>
              <w:rPr>
                <w:sz w:val="18"/>
              </w:rPr>
              <w:t>1.75</w:t>
            </w:r>
          </w:p>
        </w:tc>
        <w:tc>
          <w:tcPr>
            <w:tcW w:type="dxa" w:w="1063"/>
          </w:tcPr>
          <w:p>
            <w:r/>
            <w:r>
              <w:rPr>
                <w:sz w:val="18"/>
              </w:rPr>
              <w:t>1.00</w:t>
            </w:r>
          </w:p>
        </w:tc>
      </w:tr>
      <w:tr>
        <w:tc>
          <w:tcPr>
            <w:tcW w:type="dxa" w:w="1063"/>
          </w:tcPr>
          <w:p>
            <w:r/>
            <w:r>
              <w:rPr>
                <w:sz w:val="18"/>
              </w:rPr>
              <w:t>auto renew</w:t>
            </w:r>
          </w:p>
        </w:tc>
        <w:tc>
          <w:tcPr>
            <w:tcW w:type="dxa" w:w="1063"/>
          </w:tcPr>
          <w:p>
            <w:r/>
            <w:r>
              <w:rPr>
                <w:sz w:val="18"/>
              </w:rPr>
              <w:t>0</w:t>
            </w:r>
          </w:p>
        </w:tc>
        <w:tc>
          <w:tcPr>
            <w:tcW w:type="dxa" w:w="1063"/>
          </w:tcPr>
          <w:p>
            <w:r/>
            <w:r>
              <w:rPr>
                <w:sz w:val="18"/>
              </w:rPr>
              <w:t>26.00</w:t>
            </w:r>
          </w:p>
        </w:tc>
        <w:tc>
          <w:tcPr>
            <w:tcW w:type="dxa" w:w="1063"/>
          </w:tcPr>
          <w:p>
            <w:r/>
            <w:r>
              <w:rPr>
                <w:sz w:val="18"/>
              </w:rPr>
              <w:t>1.26</w:t>
            </w:r>
          </w:p>
        </w:tc>
        <w:tc>
          <w:tcPr>
            <w:tcW w:type="dxa" w:w="1063"/>
          </w:tcPr>
          <w:p>
            <w:r/>
            <w:r>
              <w:rPr>
                <w:sz w:val="18"/>
              </w:rPr>
              <w:t>0.09</w:t>
            </w:r>
          </w:p>
        </w:tc>
        <w:tc>
          <w:tcPr>
            <w:tcW w:type="dxa" w:w="1063"/>
          </w:tcPr>
          <w:p>
            <w:r/>
            <w:r>
              <w:rPr>
                <w:sz w:val="18"/>
              </w:rPr>
              <w:t>0.51</w:t>
            </w:r>
          </w:p>
        </w:tc>
        <w:tc>
          <w:tcPr>
            <w:tcW w:type="dxa" w:w="1063"/>
          </w:tcPr>
          <w:p>
            <w:r/>
            <w:r>
              <w:rPr>
                <w:sz w:val="18"/>
              </w:rPr>
              <w:t>0.63</w:t>
            </w:r>
          </w:p>
        </w:tc>
        <w:tc>
          <w:tcPr>
            <w:tcW w:type="dxa" w:w="1063"/>
          </w:tcPr>
          <w:p>
            <w:r/>
            <w:r>
              <w:rPr>
                <w:sz w:val="18"/>
              </w:rPr>
              <w:t>2.00</w:t>
            </w:r>
          </w:p>
        </w:tc>
      </w:tr>
      <w:tr>
        <w:tc>
          <w:tcPr>
            <w:tcW w:type="dxa" w:w="1063"/>
          </w:tcPr>
          <w:p>
            <w:r/>
            <w:r>
              <w:rPr>
                <w:sz w:val="18"/>
              </w:rPr>
              <w:t>premium change pct</w:t>
            </w:r>
          </w:p>
        </w:tc>
        <w:tc>
          <w:tcPr>
            <w:tcW w:type="dxa" w:w="1063"/>
          </w:tcPr>
          <w:p>
            <w:r/>
            <w:r>
              <w:rPr>
                <w:sz w:val="18"/>
              </w:rPr>
              <w:t>12.9–29.5</w:t>
            </w:r>
          </w:p>
        </w:tc>
        <w:tc>
          <w:tcPr>
            <w:tcW w:type="dxa" w:w="1063"/>
          </w:tcPr>
          <w:p>
            <w:r/>
            <w:r>
              <w:rPr>
                <w:sz w:val="18"/>
              </w:rPr>
              <w:t>31.70</w:t>
            </w:r>
          </w:p>
        </w:tc>
        <w:tc>
          <w:tcPr>
            <w:tcW w:type="dxa" w:w="1063"/>
          </w:tcPr>
          <w:p>
            <w:r/>
            <w:r>
              <w:rPr>
                <w:sz w:val="18"/>
              </w:rPr>
              <w:t>1.54</w:t>
            </w:r>
          </w:p>
        </w:tc>
        <w:tc>
          <w:tcPr>
            <w:tcW w:type="dxa" w:w="1063"/>
          </w:tcPr>
          <w:p>
            <w:r/>
            <w:r>
              <w:rPr>
                <w:sz w:val="18"/>
              </w:rPr>
              <w:t>0.16</w:t>
            </w:r>
          </w:p>
        </w:tc>
        <w:tc>
          <w:tcPr>
            <w:tcW w:type="dxa" w:w="1063"/>
          </w:tcPr>
          <w:p>
            <w:r/>
            <w:r>
              <w:rPr>
                <w:sz w:val="18"/>
              </w:rPr>
              <w:t>1.57</w:t>
            </w:r>
          </w:p>
        </w:tc>
        <w:tc>
          <w:tcPr>
            <w:tcW w:type="dxa" w:w="1063"/>
          </w:tcPr>
          <w:p>
            <w:r/>
            <w:r>
              <w:rPr>
                <w:sz w:val="18"/>
              </w:rPr>
              <w:t>1.31</w:t>
            </w:r>
          </w:p>
        </w:tc>
        <w:tc>
          <w:tcPr>
            <w:tcW w:type="dxa" w:w="1063"/>
          </w:tcPr>
          <w:p>
            <w:r/>
            <w:r>
              <w:rPr>
                <w:sz w:val="18"/>
              </w:rPr>
              <w:t>3.00</w:t>
            </w:r>
          </w:p>
        </w:tc>
      </w:tr>
      <w:tr>
        <w:tc>
          <w:tcPr>
            <w:tcW w:type="dxa" w:w="1063"/>
          </w:tcPr>
          <w:p>
            <w:r/>
            <w:r>
              <w:rPr>
                <w:sz w:val="18"/>
              </w:rPr>
              <w:t>number of products</w:t>
            </w:r>
          </w:p>
        </w:tc>
        <w:tc>
          <w:tcPr>
            <w:tcW w:type="dxa" w:w="1063"/>
          </w:tcPr>
          <w:p>
            <w:r/>
            <w:r>
              <w:rPr>
                <w:sz w:val="18"/>
              </w:rPr>
              <w:t>1</w:t>
            </w:r>
          </w:p>
        </w:tc>
        <w:tc>
          <w:tcPr>
            <w:tcW w:type="dxa" w:w="1063"/>
          </w:tcPr>
          <w:p>
            <w:r/>
            <w:r>
              <w:rPr>
                <w:sz w:val="18"/>
              </w:rPr>
              <w:t>23.70</w:t>
            </w:r>
          </w:p>
        </w:tc>
        <w:tc>
          <w:tcPr>
            <w:tcW w:type="dxa" w:w="1063"/>
          </w:tcPr>
          <w:p>
            <w:r/>
            <w:r>
              <w:rPr>
                <w:sz w:val="18"/>
              </w:rPr>
              <w:t>1.15</w:t>
            </w:r>
          </w:p>
        </w:tc>
        <w:tc>
          <w:tcPr>
            <w:tcW w:type="dxa" w:w="1063"/>
          </w:tcPr>
          <w:p>
            <w:r/>
            <w:r>
              <w:rPr>
                <w:sz w:val="18"/>
              </w:rPr>
              <w:t>0.06</w:t>
            </w:r>
          </w:p>
        </w:tc>
        <w:tc>
          <w:tcPr>
            <w:tcW w:type="dxa" w:w="1063"/>
          </w:tcPr>
          <w:p>
            <w:r/>
            <w:r>
              <w:rPr>
                <w:sz w:val="18"/>
              </w:rPr>
              <w:t>0.73</w:t>
            </w:r>
          </w:p>
        </w:tc>
        <w:tc>
          <w:tcPr>
            <w:tcW w:type="dxa" w:w="1063"/>
          </w:tcPr>
          <w:p>
            <w:r/>
            <w:r>
              <w:rPr>
                <w:sz w:val="18"/>
              </w:rPr>
              <w:t>0.82</w:t>
            </w:r>
          </w:p>
        </w:tc>
        <w:tc>
          <w:tcPr>
            <w:tcW w:type="dxa" w:w="1063"/>
          </w:tcPr>
          <w:p>
            <w:r/>
            <w:r>
              <w:rPr>
                <w:sz w:val="18"/>
              </w:rPr>
              <w:t>4.00</w:t>
            </w:r>
          </w:p>
        </w:tc>
      </w:tr>
      <w:tr>
        <w:tc>
          <w:tcPr>
            <w:tcW w:type="dxa" w:w="1063"/>
          </w:tcPr>
          <w:p>
            <w:r/>
            <w:r>
              <w:rPr>
                <w:sz w:val="18"/>
              </w:rPr>
              <w:t>late payments 12m</w:t>
            </w:r>
          </w:p>
        </w:tc>
        <w:tc>
          <w:tcPr>
            <w:tcW w:type="dxa" w:w="1063"/>
          </w:tcPr>
          <w:p>
            <w:r/>
            <w:r>
              <w:rPr>
                <w:sz w:val="18"/>
              </w:rPr>
              <w:t>≥3</w:t>
            </w:r>
          </w:p>
        </w:tc>
        <w:tc>
          <w:tcPr>
            <w:tcW w:type="dxa" w:w="1063"/>
          </w:tcPr>
          <w:p>
            <w:r/>
            <w:r>
              <w:rPr>
                <w:sz w:val="18"/>
              </w:rPr>
              <w:t>43.60</w:t>
            </w:r>
          </w:p>
        </w:tc>
        <w:tc>
          <w:tcPr>
            <w:tcW w:type="dxa" w:w="1063"/>
          </w:tcPr>
          <w:p>
            <w:r/>
            <w:r>
              <w:rPr>
                <w:sz w:val="18"/>
              </w:rPr>
              <w:t>2.12</w:t>
            </w:r>
          </w:p>
        </w:tc>
        <w:tc>
          <w:tcPr>
            <w:tcW w:type="dxa" w:w="1063"/>
          </w:tcPr>
          <w:p>
            <w:r/>
            <w:r>
              <w:rPr>
                <w:sz w:val="18"/>
              </w:rPr>
              <w:t>0.09</w:t>
            </w:r>
          </w:p>
        </w:tc>
        <w:tc>
          <w:tcPr>
            <w:tcW w:type="dxa" w:w="1063"/>
          </w:tcPr>
          <w:p>
            <w:r/>
            <w:r>
              <w:rPr>
                <w:sz w:val="18"/>
              </w:rPr>
              <w:t>1.36</w:t>
            </w:r>
          </w:p>
        </w:tc>
        <w:tc>
          <w:tcPr>
            <w:tcW w:type="dxa" w:w="1063"/>
          </w:tcPr>
          <w:p>
            <w:r/>
            <w:r>
              <w:rPr>
                <w:sz w:val="18"/>
              </w:rPr>
              <w:t>1.23</w:t>
            </w:r>
          </w:p>
        </w:tc>
        <w:tc>
          <w:tcPr>
            <w:tcW w:type="dxa" w:w="1063"/>
          </w:tcPr>
          <w:p>
            <w:r/>
            <w:r>
              <w:rPr>
                <w:sz w:val="18"/>
              </w:rPr>
              <w:t>6.00</w:t>
            </w:r>
          </w:p>
        </w:tc>
      </w:tr>
      <w:tr>
        <w:tc>
          <w:tcPr>
            <w:tcW w:type="dxa" w:w="1063"/>
          </w:tcPr>
          <w:p>
            <w:r/>
            <w:r>
              <w:rPr>
                <w:sz w:val="18"/>
              </w:rPr>
              <w:t>number of complaints 12m</w:t>
            </w:r>
          </w:p>
        </w:tc>
        <w:tc>
          <w:tcPr>
            <w:tcW w:type="dxa" w:w="1063"/>
          </w:tcPr>
          <w:p>
            <w:r/>
            <w:r>
              <w:rPr>
                <w:sz w:val="18"/>
              </w:rPr>
              <w:t>≥2</w:t>
            </w:r>
          </w:p>
        </w:tc>
        <w:tc>
          <w:tcPr>
            <w:tcW w:type="dxa" w:w="1063"/>
          </w:tcPr>
          <w:p>
            <w:r/>
            <w:r>
              <w:rPr>
                <w:sz w:val="18"/>
              </w:rPr>
              <w:t>39.30</w:t>
            </w:r>
          </w:p>
        </w:tc>
        <w:tc>
          <w:tcPr>
            <w:tcW w:type="dxa" w:w="1063"/>
          </w:tcPr>
          <w:p>
            <w:r/>
            <w:r>
              <w:rPr>
                <w:sz w:val="18"/>
              </w:rPr>
              <w:t>1.91</w:t>
            </w:r>
          </w:p>
        </w:tc>
        <w:tc>
          <w:tcPr>
            <w:tcW w:type="dxa" w:w="1063"/>
          </w:tcPr>
          <w:p>
            <w:r/>
            <w:r>
              <w:rPr>
                <w:sz w:val="18"/>
              </w:rPr>
              <w:t>0.09</w:t>
            </w:r>
          </w:p>
        </w:tc>
        <w:tc>
          <w:tcPr>
            <w:tcW w:type="dxa" w:w="1063"/>
          </w:tcPr>
          <w:p>
            <w:r/>
            <w:r>
              <w:rPr>
                <w:sz w:val="18"/>
              </w:rPr>
              <w:t>1.30</w:t>
            </w:r>
          </w:p>
        </w:tc>
        <w:tc>
          <w:tcPr>
            <w:tcW w:type="dxa" w:w="1063"/>
          </w:tcPr>
          <w:p>
            <w:r/>
            <w:r>
              <w:rPr>
                <w:sz w:val="18"/>
              </w:rPr>
              <w:t>1.20</w:t>
            </w:r>
          </w:p>
        </w:tc>
        <w:tc>
          <w:tcPr>
            <w:tcW w:type="dxa" w:w="1063"/>
          </w:tcPr>
          <w:p>
            <w:r/>
            <w:r>
              <w:rPr>
                <w:sz w:val="18"/>
              </w:rPr>
              <w:t>7.00</w:t>
            </w:r>
          </w:p>
        </w:tc>
      </w:tr>
      <w:tr>
        <w:tc>
          <w:tcPr>
            <w:tcW w:type="dxa" w:w="1063"/>
          </w:tcPr>
          <w:p>
            <w:r/>
            <w:r>
              <w:rPr>
                <w:sz w:val="18"/>
              </w:rPr>
              <w:t>claims per year of tenure</w:t>
            </w:r>
          </w:p>
        </w:tc>
        <w:tc>
          <w:tcPr>
            <w:tcW w:type="dxa" w:w="1063"/>
          </w:tcPr>
          <w:p>
            <w:r/>
            <w:r>
              <w:rPr>
                <w:sz w:val="18"/>
              </w:rPr>
              <w:t>1.39–16</w:t>
            </w:r>
          </w:p>
        </w:tc>
        <w:tc>
          <w:tcPr>
            <w:tcW w:type="dxa" w:w="1063"/>
          </w:tcPr>
          <w:p>
            <w:r/>
            <w:r>
              <w:rPr>
                <w:sz w:val="18"/>
              </w:rPr>
              <w:t>32.50</w:t>
            </w:r>
          </w:p>
        </w:tc>
        <w:tc>
          <w:tcPr>
            <w:tcW w:type="dxa" w:w="1063"/>
          </w:tcPr>
          <w:p>
            <w:r/>
            <w:r>
              <w:rPr>
                <w:sz w:val="18"/>
              </w:rPr>
              <w:t>1.58</w:t>
            </w:r>
          </w:p>
        </w:tc>
        <w:tc>
          <w:tcPr>
            <w:tcW w:type="dxa" w:w="1063"/>
          </w:tcPr>
          <w:p>
            <w:r/>
            <w:r>
              <w:rPr>
                <w:sz w:val="18"/>
              </w:rPr>
              <w:t>0.11</w:t>
            </w:r>
          </w:p>
        </w:tc>
        <w:tc>
          <w:tcPr>
            <w:tcW w:type="dxa" w:w="1063"/>
          </w:tcPr>
          <w:p>
            <w:r/>
            <w:r>
              <w:rPr>
                <w:sz w:val="18"/>
              </w:rPr>
              <w:t>1.08</w:t>
            </w:r>
          </w:p>
        </w:tc>
        <w:tc>
          <w:tcPr>
            <w:tcW w:type="dxa" w:w="1063"/>
          </w:tcPr>
          <w:p>
            <w:r/>
            <w:r>
              <w:rPr>
                <w:sz w:val="18"/>
              </w:rPr>
            </w:r>
          </w:p>
        </w:tc>
        <w:tc>
          <w:tcPr>
            <w:tcW w:type="dxa" w:w="1063"/>
          </w:tcPr>
          <w:p>
            <w:r/>
            <w:r>
              <w:rPr>
                <w:sz w:val="18"/>
              </w:rPr>
              <w:t>8.00</w:t>
            </w:r>
          </w:p>
        </w:tc>
      </w:tr>
      <w:tr>
        <w:tc>
          <w:tcPr>
            <w:tcW w:type="dxa" w:w="1063"/>
          </w:tcPr>
          <w:p>
            <w:r/>
            <w:r>
              <w:rPr>
                <w:sz w:val="18"/>
              </w:rPr>
              <w:t>claim rejection rate</w:t>
            </w:r>
          </w:p>
        </w:tc>
        <w:tc>
          <w:tcPr>
            <w:tcW w:type="dxa" w:w="1063"/>
          </w:tcPr>
          <w:p>
            <w:r/>
            <w:r>
              <w:rPr>
                <w:sz w:val="18"/>
              </w:rPr>
              <w:t>0.5</w:t>
            </w:r>
          </w:p>
        </w:tc>
        <w:tc>
          <w:tcPr>
            <w:tcW w:type="dxa" w:w="1063"/>
          </w:tcPr>
          <w:p>
            <w:r/>
            <w:r>
              <w:rPr>
                <w:sz w:val="18"/>
              </w:rPr>
              <w:t>34.40</w:t>
            </w:r>
          </w:p>
        </w:tc>
        <w:tc>
          <w:tcPr>
            <w:tcW w:type="dxa" w:w="1063"/>
          </w:tcPr>
          <w:p>
            <w:r/>
            <w:r>
              <w:rPr>
                <w:sz w:val="18"/>
              </w:rPr>
              <w:t>1.67</w:t>
            </w:r>
          </w:p>
        </w:tc>
        <w:tc>
          <w:tcPr>
            <w:tcW w:type="dxa" w:w="1063"/>
          </w:tcPr>
          <w:p>
            <w:r/>
            <w:r>
              <w:rPr>
                <w:sz w:val="18"/>
              </w:rPr>
              <w:t>0.08</w:t>
            </w:r>
          </w:p>
        </w:tc>
        <w:tc>
          <w:tcPr>
            <w:tcW w:type="dxa" w:w="1063"/>
          </w:tcPr>
          <w:p>
            <w:r/>
            <w:r>
              <w:rPr>
                <w:sz w:val="18"/>
              </w:rPr>
              <w:t>1.14</w:t>
            </w:r>
          </w:p>
        </w:tc>
        <w:tc>
          <w:tcPr>
            <w:tcW w:type="dxa" w:w="1063"/>
          </w:tcPr>
          <w:p>
            <w:r/>
            <w:r>
              <w:rPr>
                <w:sz w:val="18"/>
              </w:rPr>
              <w:t>1.05</w:t>
            </w:r>
          </w:p>
        </w:tc>
        <w:tc>
          <w:tcPr>
            <w:tcW w:type="dxa" w:w="1063"/>
          </w:tcPr>
          <w:p>
            <w:r/>
            <w:r>
              <w:rPr>
                <w:sz w:val="18"/>
              </w:rPr>
              <w:t>18.00</w:t>
            </w:r>
          </w:p>
        </w:tc>
      </w:tr>
    </w:tbl>
    <w:p/>
    <w:p>
      <w:r>
        <w:rPr>
          <w:b/>
          <w:highlight w:val="yellow"/>
        </w:rPr>
        <w:t>[EDIT: jelaskan 2–3 driver utama dengan bahasa bisnis — kenapa masuk akal di industri asuransi (lihat PLAYBOOK §D2).]</w:t>
      </w:r>
    </w:p>
    <w:p>
      <w:pPr>
        <w:pStyle w:val="Heading3"/>
      </w:pPr>
      <w:r>
        <w:t>Multivariate evidence</w:t>
      </w:r>
    </w:p>
    <w:p>
      <w:r>
        <w:t>Holding other factors constant, payment method = Credit Card (vs 'Auto-debit') changes the odds of churn by +114% (OR = 2.14, 95% CI 1.83–2.51, p &lt;0.001; average marginal effect +10.7 pp).</w:t>
      </w:r>
    </w:p>
    <w:p>
      <w:r>
        <w:t>Holding other factors constant, auto renew (binary (0→1)) changes the odds of churn by -49% (OR = 0.51, 95% CI 0.45–0.57, p &lt;0.001; average marginal effect -9.6 pp).</w:t>
      </w:r>
    </w:p>
    <w:p>
      <w:r>
        <w:t>Holding other factors constant, claims status nunique (binary (0→1)) changes the odds of churn by +77% (OR = 1.77, 95% CI 1.32–2.38, p &lt;0.001; average marginal effect +8.0 pp).</w:t>
      </w:r>
    </w:p>
    <w:p>
      <w:r>
        <w:t>Holding other factors constant, tenure months (per 1 SD (= 22.8)) changes the odds of churn by -37% (OR = 0.63, 95% CI 0.59–0.68, p &lt;0.001; average marginal effect -6.5 pp).</w:t>
      </w:r>
    </w:p>
    <w:p>
      <w:pPr>
        <w:pStyle w:val="Heading2"/>
      </w:pPr>
      <w:r>
        <w:t>3.3 When do customers churn?</w:t>
      </w:r>
    </w:p>
    <w:p>
      <w:r>
        <w:t>Estimated probability of retaining a customer beyond 6 months: 96.7% (Kaplan-Meier).</w:t>
      </w:r>
    </w:p>
    <w:p>
      <w:r>
        <w:t>Estimated probability of retaining a customer beyond 12 months: 92.7% (Kaplan-Meier).</w:t>
      </w:r>
    </w:p>
    <w:p>
      <w:r>
        <w:t>Estimated probability of retaining a customer beyond 24 months: 83.7% (Kaplan-Meier).</w:t>
      </w:r>
    </w:p>
    <w:p>
      <w:r>
        <w:t>Churn hazard is highest in tenure interval [18, 24) months: about 0.95% of active customers churn per month in this period (vs 0.71% on average).</w:t>
      </w:r>
    </w:p>
    <w:p>
      <w:pPr>
        <w:jc w:val="center"/>
      </w:pPr>
      <w:r>
        <w:drawing>
          <wp:inline xmlns:a="http://schemas.openxmlformats.org/drawingml/2006/main" xmlns:pic="http://schemas.openxmlformats.org/drawingml/2006/picture">
            <wp:extent cx="5040000" cy="2539214"/>
            <wp:docPr id="2" name="Picture 2"/>
            <wp:cNvGraphicFramePr>
              <a:graphicFrameLocks noChangeAspect="1"/>
            </wp:cNvGraphicFramePr>
            <a:graphic>
              <a:graphicData uri="http://schemas.openxmlformats.org/drawingml/2006/picture">
                <pic:pic>
                  <pic:nvPicPr>
                    <pic:cNvPr id="0" name="fig17_km_by_group.png"/>
                    <pic:cNvPicPr/>
                  </pic:nvPicPr>
                  <pic:blipFill>
                    <a:blip r:embed="rId10"/>
                    <a:stretch>
                      <a:fillRect/>
                    </a:stretch>
                  </pic:blipFill>
                  <pic:spPr>
                    <a:xfrm>
                      <a:off x="0" y="0"/>
                      <a:ext cx="5040000" cy="2539214"/>
                    </a:xfrm>
                    <a:prstGeom prst="rect"/>
                  </pic:spPr>
                </pic:pic>
              </a:graphicData>
            </a:graphic>
          </wp:inline>
        </w:drawing>
      </w:r>
    </w:p>
    <w:p>
      <w:pPr>
        <w:pStyle w:val="Caption"/>
        <w:jc w:val="center"/>
      </w:pPr>
      <w:r>
        <w:t>Figure 2. Kaplan-Meier survival curves by key customer groups (log-rank p-values in titles).</w:t>
      </w:r>
    </w:p>
    <w:p>
      <w:r>
        <w:rPr>
          <w:b/>
          <w:highlight w:val="yellow"/>
        </w:rPr>
        <w:t>[EDIT: interpretasi — kapan momen kritis (onboarding? renewal pertama?) dan implikasinya untuk timing intervensi.]</w:t>
      </w:r>
    </w:p>
    <w:p>
      <w:pPr>
        <w:pStyle w:val="Heading2"/>
      </w:pPr>
      <w:r>
        <w:t>3.4 High-risk segments</w:t>
      </w:r>
    </w:p>
    <w:p>
      <w:r>
        <w:t>High-risk segment: IF claims per year of tenure &gt; 0.44 AND payment method ≠ Auto-debit AND number of complaints 12m &gt; 0.50 AND auto renew = 0 THEN churn rate = 57.9% (2.8x average; 221 customers, 2.8% of base, capturing 7.8% of all churners).</w:t>
      </w:r>
    </w:p>
    <w:p>
      <w:r>
        <w:t>High-risk segment: IF claims per year of tenure &gt; 0.44 AND payment method ≠ Auto-debit AND number of complaints 12m &gt; 0.50 AND auto renew = 1 THEN churn rate = 37.8% (1.8x average; 286 customers, 3.6% of base, capturing 6.5% of all churners).</w:t>
      </w:r>
    </w:p>
    <w:p>
      <w:r>
        <w:t>High-risk segment: IF claims per year of tenure &gt; 0.44 AND payment method ≠ Auto-debit AND number of complaints 12m ≤ 0.50 AND auto renew = 0 THEN churn rate = 37.3% (1.8x average; 453 customers, 5.7% of base, capturing 10.2% of all churners).</w:t>
      </w:r>
    </w:p>
    <w:p>
      <w:pPr>
        <w:pStyle w:val="Caption"/>
      </w:pPr>
      <w:r>
        <w:t>Table 2. Highest-risk and most loyal segments identified by a shallow decision tree.</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
              <w:rPr>
                <w:b/>
                <w:sz w:val="18"/>
              </w:rPr>
              <w:t>Segment (decision-tree rule)</w:t>
            </w:r>
          </w:p>
        </w:tc>
        <w:tc>
          <w:tcPr>
            <w:tcW w:type="dxa" w:w="2126"/>
          </w:tcPr>
          <w:p>
            <w:r/>
            <w:r>
              <w:rPr>
                <w:b/>
                <w:sz w:val="18"/>
              </w:rPr>
              <w:t>Customers</w:t>
            </w:r>
          </w:p>
        </w:tc>
        <w:tc>
          <w:tcPr>
            <w:tcW w:type="dxa" w:w="2126"/>
          </w:tcPr>
          <w:p>
            <w:r/>
            <w:r>
              <w:rPr>
                <w:b/>
                <w:sz w:val="18"/>
              </w:rPr>
              <w:t>Churn %</w:t>
            </w:r>
          </w:p>
        </w:tc>
        <w:tc>
          <w:tcPr>
            <w:tcW w:type="dxa" w:w="2126"/>
          </w:tcPr>
          <w:p>
            <w:r/>
            <w:r>
              <w:rPr>
                <w:b/>
                <w:sz w:val="18"/>
              </w:rPr>
              <w:t>Lift</w:t>
            </w:r>
          </w:p>
        </w:tc>
      </w:tr>
      <w:tr>
        <w:tc>
          <w:tcPr>
            <w:tcW w:type="dxa" w:w="2126"/>
          </w:tcPr>
          <w:p>
            <w:r/>
            <w:r>
              <w:rPr>
                <w:sz w:val="18"/>
              </w:rPr>
              <w:t>claims per year of tenure &gt; 0.44 AND payment method ≠ Auto-debit AND number of complaints 12m &gt; 0.50 AND auto renew = 0</w:t>
            </w:r>
          </w:p>
        </w:tc>
        <w:tc>
          <w:tcPr>
            <w:tcW w:type="dxa" w:w="2126"/>
          </w:tcPr>
          <w:p>
            <w:r/>
            <w:r>
              <w:rPr>
                <w:sz w:val="18"/>
              </w:rPr>
              <w:t>221</w:t>
            </w:r>
          </w:p>
        </w:tc>
        <w:tc>
          <w:tcPr>
            <w:tcW w:type="dxa" w:w="2126"/>
          </w:tcPr>
          <w:p>
            <w:r/>
            <w:r>
              <w:rPr>
                <w:sz w:val="18"/>
              </w:rPr>
              <w:t>57.90</w:t>
            </w:r>
          </w:p>
        </w:tc>
        <w:tc>
          <w:tcPr>
            <w:tcW w:type="dxa" w:w="2126"/>
          </w:tcPr>
          <w:p>
            <w:r/>
            <w:r>
              <w:rPr>
                <w:sz w:val="18"/>
              </w:rPr>
              <w:t>2.81</w:t>
            </w:r>
          </w:p>
        </w:tc>
      </w:tr>
      <w:tr>
        <w:tc>
          <w:tcPr>
            <w:tcW w:type="dxa" w:w="2126"/>
          </w:tcPr>
          <w:p>
            <w:r/>
            <w:r>
              <w:rPr>
                <w:sz w:val="18"/>
              </w:rPr>
              <w:t>claims per year of tenure &gt; 0.44 AND payment method ≠ Auto-debit AND number of complaints 12m &gt; 0.50 AND auto renew = 1</w:t>
            </w:r>
          </w:p>
        </w:tc>
        <w:tc>
          <w:tcPr>
            <w:tcW w:type="dxa" w:w="2126"/>
          </w:tcPr>
          <w:p>
            <w:r/>
            <w:r>
              <w:rPr>
                <w:sz w:val="18"/>
              </w:rPr>
              <w:t>286</w:t>
            </w:r>
          </w:p>
        </w:tc>
        <w:tc>
          <w:tcPr>
            <w:tcW w:type="dxa" w:w="2126"/>
          </w:tcPr>
          <w:p>
            <w:r/>
            <w:r>
              <w:rPr>
                <w:sz w:val="18"/>
              </w:rPr>
              <w:t>37.80</w:t>
            </w:r>
          </w:p>
        </w:tc>
        <w:tc>
          <w:tcPr>
            <w:tcW w:type="dxa" w:w="2126"/>
          </w:tcPr>
          <w:p>
            <w:r/>
            <w:r>
              <w:rPr>
                <w:sz w:val="18"/>
              </w:rPr>
              <w:t>1.83</w:t>
            </w:r>
          </w:p>
        </w:tc>
      </w:tr>
      <w:tr>
        <w:tc>
          <w:tcPr>
            <w:tcW w:type="dxa" w:w="2126"/>
          </w:tcPr>
          <w:p>
            <w:r/>
            <w:r>
              <w:rPr>
                <w:sz w:val="18"/>
              </w:rPr>
              <w:t>claims per year of tenure &gt; 0.44 AND payment method ≠ Auto-debit AND number of complaints 12m ≤ 0.50 AND auto renew = 0</w:t>
            </w:r>
          </w:p>
        </w:tc>
        <w:tc>
          <w:tcPr>
            <w:tcW w:type="dxa" w:w="2126"/>
          </w:tcPr>
          <w:p>
            <w:r/>
            <w:r>
              <w:rPr>
                <w:sz w:val="18"/>
              </w:rPr>
              <w:t>453</w:t>
            </w:r>
          </w:p>
        </w:tc>
        <w:tc>
          <w:tcPr>
            <w:tcW w:type="dxa" w:w="2126"/>
          </w:tcPr>
          <w:p>
            <w:r/>
            <w:r>
              <w:rPr>
                <w:sz w:val="18"/>
              </w:rPr>
              <w:t>37.30</w:t>
            </w:r>
          </w:p>
        </w:tc>
        <w:tc>
          <w:tcPr>
            <w:tcW w:type="dxa" w:w="2126"/>
          </w:tcPr>
          <w:p>
            <w:r/>
            <w:r>
              <w:rPr>
                <w:sz w:val="18"/>
              </w:rPr>
              <w:t>1.81</w:t>
            </w:r>
          </w:p>
        </w:tc>
      </w:tr>
      <w:tr>
        <w:tc>
          <w:tcPr>
            <w:tcW w:type="dxa" w:w="2126"/>
          </w:tcPr>
          <w:p>
            <w:r/>
            <w:r>
              <w:rPr>
                <w:sz w:val="18"/>
              </w:rPr>
              <w:t>claims per year of tenure ≤ 0.44 AND premium change pct ≤ 5.25 AND tenure months &gt; 61.50 AND number of products &gt; 1.50</w:t>
            </w:r>
          </w:p>
        </w:tc>
        <w:tc>
          <w:tcPr>
            <w:tcW w:type="dxa" w:w="2126"/>
          </w:tcPr>
          <w:p>
            <w:r/>
            <w:r>
              <w:rPr>
                <w:sz w:val="18"/>
              </w:rPr>
              <w:t>210</w:t>
            </w:r>
          </w:p>
        </w:tc>
        <w:tc>
          <w:tcPr>
            <w:tcW w:type="dxa" w:w="2126"/>
          </w:tcPr>
          <w:p>
            <w:r/>
            <w:r>
              <w:rPr>
                <w:sz w:val="18"/>
              </w:rPr>
              <w:t>1.40</w:t>
            </w:r>
          </w:p>
        </w:tc>
        <w:tc>
          <w:tcPr>
            <w:tcW w:type="dxa" w:w="2126"/>
          </w:tcPr>
          <w:p>
            <w:r/>
            <w:r>
              <w:rPr>
                <w:sz w:val="18"/>
              </w:rPr>
              <w:t>0.07</w:t>
            </w:r>
          </w:p>
        </w:tc>
      </w:tr>
    </w:tbl>
    <w:p/>
    <w:p>
      <w:pPr>
        <w:pStyle w:val="Heading2"/>
      </w:pPr>
      <w:r>
        <w:t>3.5 Predictive model</w:t>
      </w:r>
    </w:p>
    <w:p>
      <w:r>
        <w:t>The final model (hill_climb) achieves a cross-validated roc_auc of 0.7488 (ROC-AUC 0.7488) versus 0.50 for a random baseline.</w:t>
      </w:r>
    </w:p>
    <w:p>
      <w:r>
        <w:t>At the selected threshold (0.24) the model identifies 60.9% of churners (recall) with a precision of 39.3%, i.e. 1.9x better targeting than random selection.</w:t>
      </w:r>
    </w:p>
    <w:p>
      <w:r>
        <w:t>Final model ROC-AUC = 0.749 (95% bootstrap CI 0.735–0.761).</w:t>
      </w:r>
    </w:p>
    <w:p>
      <w:r>
        <w:t>The final model is not significantly different from the interpretable logistic regression (Δroc_auc = +0.0025, 95% CI -0.0000 to +0.0057).</w:t>
      </w:r>
    </w:p>
    <w:p>
      <w:pPr>
        <w:pStyle w:val="Caption"/>
      </w:pPr>
      <w:r>
        <w:t>Table 3. Cross-validated model comparison.</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Model</w:t>
            </w:r>
          </w:p>
        </w:tc>
        <w:tc>
          <w:tcPr>
            <w:tcW w:type="dxa" w:w="1701"/>
          </w:tcPr>
          <w:p>
            <w:r/>
            <w:r>
              <w:rPr>
                <w:b/>
                <w:sz w:val="18"/>
              </w:rPr>
              <w:t>OOF roc_auc</w:t>
            </w:r>
          </w:p>
        </w:tc>
        <w:tc>
          <w:tcPr>
            <w:tcW w:type="dxa" w:w="1701"/>
          </w:tcPr>
          <w:p>
            <w:r/>
            <w:r>
              <w:rPr>
                <w:b/>
                <w:sz w:val="18"/>
              </w:rPr>
              <w:t>CV std</w:t>
            </w:r>
          </w:p>
        </w:tc>
        <w:tc>
          <w:tcPr>
            <w:tcW w:type="dxa" w:w="1701"/>
          </w:tcPr>
          <w:p>
            <w:r/>
            <w:r>
              <w:rPr>
                <w:b/>
                <w:sz w:val="18"/>
              </w:rPr>
              <w:t>ROC-AUC</w:t>
            </w:r>
          </w:p>
        </w:tc>
        <w:tc>
          <w:tcPr>
            <w:tcW w:type="dxa" w:w="1701"/>
          </w:tcPr>
          <w:p>
            <w:r/>
            <w:r>
              <w:rPr>
                <w:b/>
                <w:sz w:val="18"/>
              </w:rPr>
              <w:t>PR-AUC</w:t>
            </w:r>
          </w:p>
        </w:tc>
      </w:tr>
      <w:tr>
        <w:tc>
          <w:tcPr>
            <w:tcW w:type="dxa" w:w="1701"/>
          </w:tcPr>
          <w:p>
            <w:r/>
            <w:r>
              <w:rPr>
                <w:sz w:val="18"/>
              </w:rPr>
              <w:t>logreg</w:t>
            </w:r>
          </w:p>
        </w:tc>
        <w:tc>
          <w:tcPr>
            <w:tcW w:type="dxa" w:w="1701"/>
          </w:tcPr>
          <w:p>
            <w:r/>
            <w:r>
              <w:rPr>
                <w:sz w:val="18"/>
              </w:rPr>
              <w:t>0.75</w:t>
            </w:r>
          </w:p>
        </w:tc>
        <w:tc>
          <w:tcPr>
            <w:tcW w:type="dxa" w:w="1701"/>
          </w:tcPr>
          <w:p>
            <w:r/>
            <w:r>
              <w:rPr>
                <w:sz w:val="18"/>
              </w:rPr>
              <w:t>0.01</w:t>
            </w:r>
          </w:p>
        </w:tc>
        <w:tc>
          <w:tcPr>
            <w:tcW w:type="dxa" w:w="1701"/>
          </w:tcPr>
          <w:p>
            <w:r/>
            <w:r>
              <w:rPr>
                <w:sz w:val="18"/>
              </w:rPr>
              <w:t>0.75</w:t>
            </w:r>
          </w:p>
        </w:tc>
        <w:tc>
          <w:tcPr>
            <w:tcW w:type="dxa" w:w="1701"/>
          </w:tcPr>
          <w:p>
            <w:r/>
            <w:r>
              <w:rPr>
                <w:sz w:val="18"/>
              </w:rPr>
              <w:t>0.45</w:t>
            </w:r>
          </w:p>
        </w:tc>
      </w:tr>
      <w:tr>
        <w:tc>
          <w:tcPr>
            <w:tcW w:type="dxa" w:w="1701"/>
          </w:tcPr>
          <w:p>
            <w:r/>
            <w:r>
              <w:rPr>
                <w:sz w:val="18"/>
              </w:rPr>
              <w:t>catboost_fs</w:t>
            </w:r>
          </w:p>
        </w:tc>
        <w:tc>
          <w:tcPr>
            <w:tcW w:type="dxa" w:w="1701"/>
          </w:tcPr>
          <w:p>
            <w:r/>
            <w:r>
              <w:rPr>
                <w:sz w:val="18"/>
              </w:rPr>
              <w:t>0.74</w:t>
            </w:r>
          </w:p>
        </w:tc>
        <w:tc>
          <w:tcPr>
            <w:tcW w:type="dxa" w:w="1701"/>
          </w:tcPr>
          <w:p>
            <w:r/>
            <w:r>
              <w:rPr>
                <w:sz w:val="18"/>
              </w:rPr>
              <w:t>0.00</w:t>
            </w:r>
          </w:p>
        </w:tc>
        <w:tc>
          <w:tcPr>
            <w:tcW w:type="dxa" w:w="1701"/>
          </w:tcPr>
          <w:p>
            <w:r/>
            <w:r>
              <w:rPr>
                <w:sz w:val="18"/>
              </w:rPr>
              <w:t>0.74</w:t>
            </w:r>
          </w:p>
        </w:tc>
        <w:tc>
          <w:tcPr>
            <w:tcW w:type="dxa" w:w="1701"/>
          </w:tcPr>
          <w:p>
            <w:r/>
            <w:r>
              <w:rPr>
                <w:sz w:val="18"/>
              </w:rPr>
              <w:t>0.44</w:t>
            </w:r>
          </w:p>
        </w:tc>
      </w:tr>
      <w:tr>
        <w:tc>
          <w:tcPr>
            <w:tcW w:type="dxa" w:w="1701"/>
          </w:tcPr>
          <w:p>
            <w:r/>
            <w:r>
              <w:rPr>
                <w:sz w:val="18"/>
              </w:rPr>
              <w:t>catboost</w:t>
            </w:r>
          </w:p>
        </w:tc>
        <w:tc>
          <w:tcPr>
            <w:tcW w:type="dxa" w:w="1701"/>
          </w:tcPr>
          <w:p>
            <w:r/>
            <w:r>
              <w:rPr>
                <w:sz w:val="18"/>
              </w:rPr>
              <w:t>0.74</w:t>
            </w:r>
          </w:p>
        </w:tc>
        <w:tc>
          <w:tcPr>
            <w:tcW w:type="dxa" w:w="1701"/>
          </w:tcPr>
          <w:p>
            <w:r/>
            <w:r>
              <w:rPr>
                <w:sz w:val="18"/>
              </w:rPr>
              <w:t>0.00</w:t>
            </w:r>
          </w:p>
        </w:tc>
        <w:tc>
          <w:tcPr>
            <w:tcW w:type="dxa" w:w="1701"/>
          </w:tcPr>
          <w:p>
            <w:r/>
            <w:r>
              <w:rPr>
                <w:sz w:val="18"/>
              </w:rPr>
              <w:t>0.74</w:t>
            </w:r>
          </w:p>
        </w:tc>
        <w:tc>
          <w:tcPr>
            <w:tcW w:type="dxa" w:w="1701"/>
          </w:tcPr>
          <w:p>
            <w:r/>
            <w:r>
              <w:rPr>
                <w:sz w:val="18"/>
              </w:rPr>
              <w:t>0.43</w:t>
            </w:r>
          </w:p>
        </w:tc>
      </w:tr>
      <w:tr>
        <w:tc>
          <w:tcPr>
            <w:tcW w:type="dxa" w:w="1701"/>
          </w:tcPr>
          <w:p>
            <w:r/>
            <w:r>
              <w:rPr>
                <w:sz w:val="18"/>
              </w:rPr>
              <w:t>lgbm</w:t>
            </w:r>
          </w:p>
        </w:tc>
        <w:tc>
          <w:tcPr>
            <w:tcW w:type="dxa" w:w="1701"/>
          </w:tcPr>
          <w:p>
            <w:r/>
            <w:r>
              <w:rPr>
                <w:sz w:val="18"/>
              </w:rPr>
              <w:t>0.73</w:t>
            </w:r>
          </w:p>
        </w:tc>
        <w:tc>
          <w:tcPr>
            <w:tcW w:type="dxa" w:w="1701"/>
          </w:tcPr>
          <w:p>
            <w:r/>
            <w:r>
              <w:rPr>
                <w:sz w:val="18"/>
              </w:rPr>
              <w:t>0.00</w:t>
            </w:r>
          </w:p>
        </w:tc>
        <w:tc>
          <w:tcPr>
            <w:tcW w:type="dxa" w:w="1701"/>
          </w:tcPr>
          <w:p>
            <w:r/>
            <w:r>
              <w:rPr>
                <w:sz w:val="18"/>
              </w:rPr>
              <w:t>0.73</w:t>
            </w:r>
          </w:p>
        </w:tc>
        <w:tc>
          <w:tcPr>
            <w:tcW w:type="dxa" w:w="1701"/>
          </w:tcPr>
          <w:p>
            <w:r/>
            <w:r>
              <w:rPr>
                <w:sz w:val="18"/>
              </w:rPr>
              <w:t>0.43</w:t>
            </w:r>
          </w:p>
        </w:tc>
      </w:tr>
      <w:tr>
        <w:tc>
          <w:tcPr>
            <w:tcW w:type="dxa" w:w="1701"/>
          </w:tcPr>
          <w:p>
            <w:r/>
            <w:r>
              <w:rPr>
                <w:sz w:val="18"/>
              </w:rPr>
              <w:t>hgb</w:t>
            </w:r>
          </w:p>
        </w:tc>
        <w:tc>
          <w:tcPr>
            <w:tcW w:type="dxa" w:w="1701"/>
          </w:tcPr>
          <w:p>
            <w:r/>
            <w:r>
              <w:rPr>
                <w:sz w:val="18"/>
              </w:rPr>
              <w:t>0.72</w:t>
            </w:r>
          </w:p>
        </w:tc>
        <w:tc>
          <w:tcPr>
            <w:tcW w:type="dxa" w:w="1701"/>
          </w:tcPr>
          <w:p>
            <w:r/>
            <w:r>
              <w:rPr>
                <w:sz w:val="18"/>
              </w:rPr>
              <w:t>0.01</w:t>
            </w:r>
          </w:p>
        </w:tc>
        <w:tc>
          <w:tcPr>
            <w:tcW w:type="dxa" w:w="1701"/>
          </w:tcPr>
          <w:p>
            <w:r/>
            <w:r>
              <w:rPr>
                <w:sz w:val="18"/>
              </w:rPr>
              <w:t>0.72</w:t>
            </w:r>
          </w:p>
        </w:tc>
        <w:tc>
          <w:tcPr>
            <w:tcW w:type="dxa" w:w="1701"/>
          </w:tcPr>
          <w:p>
            <w:r/>
            <w:r>
              <w:rPr>
                <w:sz w:val="18"/>
              </w:rPr>
              <w:t>0.41</w:t>
            </w:r>
          </w:p>
        </w:tc>
      </w:tr>
    </w:tbl>
    <w:p/>
    <w:p>
      <w:pPr>
        <w:jc w:val="center"/>
      </w:pPr>
      <w:r>
        <w:drawing>
          <wp:inline xmlns:a="http://schemas.openxmlformats.org/drawingml/2006/main" xmlns:pic="http://schemas.openxmlformats.org/drawingml/2006/picture">
            <wp:extent cx="5040000" cy="2079855"/>
            <wp:docPr id="3" name="Picture 3"/>
            <wp:cNvGraphicFramePr>
              <a:graphicFrameLocks noChangeAspect="1"/>
            </wp:cNvGraphicFramePr>
            <a:graphic>
              <a:graphicData uri="http://schemas.openxmlformats.org/drawingml/2006/picture">
                <pic:pic>
                  <pic:nvPicPr>
                    <pic:cNvPr id="0" name="fig39_gains_and_lift.png"/>
                    <pic:cNvPicPr/>
                  </pic:nvPicPr>
                  <pic:blipFill>
                    <a:blip r:embed="rId11"/>
                    <a:stretch>
                      <a:fillRect/>
                    </a:stretch>
                  </pic:blipFill>
                  <pic:spPr>
                    <a:xfrm>
                      <a:off x="0" y="0"/>
                      <a:ext cx="5040000" cy="2079855"/>
                    </a:xfrm>
                    <a:prstGeom prst="rect"/>
                  </pic:spPr>
                </pic:pic>
              </a:graphicData>
            </a:graphic>
          </wp:inline>
        </w:drawing>
      </w:r>
    </w:p>
    <w:p>
      <w:pPr>
        <w:pStyle w:val="Caption"/>
        <w:jc w:val="center"/>
      </w:pPr>
      <w:r>
        <w:t>Figure 3. Cumulative gains and lift by risk decile: the model concentrates churners in the highest-risk deciles.</w:t>
      </w:r>
    </w:p>
    <w:p>
      <w:pPr>
        <w:pStyle w:val="Heading2"/>
      </w:pPr>
      <w:r>
        <w:t>3.6 Explaining churn risk</w:t>
      </w:r>
    </w:p>
    <w:p>
      <w:pPr>
        <w:jc w:val="center"/>
      </w:pPr>
      <w:r>
        <w:drawing>
          <wp:inline xmlns:a="http://schemas.openxmlformats.org/drawingml/2006/main" xmlns:pic="http://schemas.openxmlformats.org/drawingml/2006/picture">
            <wp:extent cx="4320000" cy="3513962"/>
            <wp:docPr id="4" name="Picture 4"/>
            <wp:cNvGraphicFramePr>
              <a:graphicFrameLocks noChangeAspect="1"/>
            </wp:cNvGraphicFramePr>
            <a:graphic>
              <a:graphicData uri="http://schemas.openxmlformats.org/drawingml/2006/picture">
                <pic:pic>
                  <pic:nvPicPr>
                    <pic:cNvPr id="0" name="fig32_shap_beeswarm.png"/>
                    <pic:cNvPicPr/>
                  </pic:nvPicPr>
                  <pic:blipFill>
                    <a:blip r:embed="rId12"/>
                    <a:stretch>
                      <a:fillRect/>
                    </a:stretch>
                  </pic:blipFill>
                  <pic:spPr>
                    <a:xfrm>
                      <a:off x="0" y="0"/>
                      <a:ext cx="4320000" cy="3513962"/>
                    </a:xfrm>
                    <a:prstGeom prst="rect"/>
                  </pic:spPr>
                </pic:pic>
              </a:graphicData>
            </a:graphic>
          </wp:inline>
        </w:drawing>
      </w:r>
    </w:p>
    <w:p>
      <w:pPr>
        <w:pStyle w:val="Caption"/>
        <w:jc w:val="center"/>
      </w:pPr>
      <w:r>
        <w:t>Figure 4. SHAP summary: each dot is a customer; positive values increase churn risk (colour = feature value).</w:t>
      </w:r>
    </w:p>
    <w:p>
      <w:r>
        <w:t>Partial dependence: moving premium change pct from -7.40 to 15.50 changes average predicted churn from 15.7% to 24.8%.</w:t>
      </w:r>
    </w:p>
    <w:p>
      <w:r>
        <w:t>Partial dependence: moving number of products from 1.00 to 3.00 changes average predicted churn from 21.1% to 14.0%.</w:t>
      </w:r>
    </w:p>
    <w:p>
      <w:r>
        <w:t>Partial dependence: moving late payments 12m from 0.00 to 2.00 changes average predicted churn from 17.6% to 26.0%.</w:t>
      </w:r>
    </w:p>
    <w:p>
      <w:r>
        <w:rPr>
          <w:b/>
          <w:highlight w:val="yellow"/>
        </w:rPr>
        <w:t>[EDIT: hubungkan SHAP dengan temuan statistik — driver mana yang konsisten di semua metode (robust).]</w:t>
      </w:r>
    </w:p>
    <w:p>
      <w:pPr>
        <w:pStyle w:val="Heading1"/>
      </w:pPr>
      <w:r>
        <w:t>4. Business Impact and Recommendations</w:t>
      </w:r>
    </w:p>
    <w:p>
      <w:pPr>
        <w:pStyle w:val="Heading2"/>
      </w:pPr>
      <w:r>
        <w:t>4.1 Value at risk and prioritisation</w:t>
      </w:r>
    </w:p>
    <w:p>
      <w:r>
        <w:t>Targeting the top 20% highest-risk customers captures 44.5% of all churners (2.2x lift over random targeting); the top decile churns at 53.0% vs 4.0% in the bottom decile. KS = 0.37.</w:t>
      </w:r>
    </w:p>
    <w:p>
      <w:r>
        <w:t>The High-risk tier (20% of customers, p ≥ 0.31) has an actual churn rate of 45.9% and contains 44.5% of all churners.</w:t>
      </w:r>
    </w:p>
    <w:p>
      <w:r>
        <w:t>Expected annual premium at risk from churn is 9.83B IDR (20.5% of the annual premium base); the High-risk tier alone accounts for 41.8% of it.</w:t>
      </w:r>
    </w:p>
    <w:p>
      <w:r>
        <w:t>'Priority Save' customers (high risk &amp; above-median value) are 9.6% of the base but hold 28.3% of the value at risk — the first target for personalised retention.</w:t>
      </w:r>
    </w:p>
    <w:p>
      <w:pPr>
        <w:jc w:val="center"/>
      </w:pPr>
      <w:r>
        <w:drawing>
          <wp:inline xmlns:a="http://schemas.openxmlformats.org/drawingml/2006/main" xmlns:pic="http://schemas.openxmlformats.org/drawingml/2006/picture">
            <wp:extent cx="5040000" cy="3679267"/>
            <wp:docPr id="5" name="Picture 5"/>
            <wp:cNvGraphicFramePr>
              <a:graphicFrameLocks noChangeAspect="1"/>
            </wp:cNvGraphicFramePr>
            <a:graphic>
              <a:graphicData uri="http://schemas.openxmlformats.org/drawingml/2006/picture">
                <pic:pic>
                  <pic:nvPicPr>
                    <pic:cNvPr id="0" name="fig40_risk_value_matrix.png"/>
                    <pic:cNvPicPr/>
                  </pic:nvPicPr>
                  <pic:blipFill>
                    <a:blip r:embed="rId13"/>
                    <a:stretch>
                      <a:fillRect/>
                    </a:stretch>
                  </pic:blipFill>
                  <pic:spPr>
                    <a:xfrm>
                      <a:off x="0" y="0"/>
                      <a:ext cx="5040000" cy="3679267"/>
                    </a:xfrm>
                    <a:prstGeom prst="rect"/>
                  </pic:spPr>
                </pic:pic>
              </a:graphicData>
            </a:graphic>
          </wp:inline>
        </w:drawing>
      </w:r>
    </w:p>
    <w:p>
      <w:pPr>
        <w:pStyle w:val="Caption"/>
        <w:jc w:val="center"/>
      </w:pPr>
      <w:r>
        <w:t>Figure 5. Risk × value matrix: 'Priority Save' customers combine high churn risk with above-median value.</w:t>
      </w:r>
    </w:p>
    <w:p>
      <w:pPr>
        <w:pStyle w:val="Heading2"/>
      </w:pPr>
      <w:r>
        <w:t>4.2 Retention campaign simulation</w:t>
      </w:r>
    </w:p>
    <w:p>
      <w:r>
        <w:t>Simulated retention campaign (assumed success rate 30%, cost 150.00K IDR per contact): targeting the top 50% ranked by 'Model: expected loss (p × value)' maximises net profit at 792.88M (ROI 1.3x), versus 207.55M for random targeting of the same size.</w:t>
      </w:r>
    </w:p>
    <w:p>
      <w:pPr>
        <w:jc w:val="center"/>
      </w:pPr>
      <w:r>
        <w:drawing>
          <wp:inline xmlns:a="http://schemas.openxmlformats.org/drawingml/2006/main" xmlns:pic="http://schemas.openxmlformats.org/drawingml/2006/picture">
            <wp:extent cx="5040000" cy="2961392"/>
            <wp:docPr id="6" name="Picture 6"/>
            <wp:cNvGraphicFramePr>
              <a:graphicFrameLocks noChangeAspect="1"/>
            </wp:cNvGraphicFramePr>
            <a:graphic>
              <a:graphicData uri="http://schemas.openxmlformats.org/drawingml/2006/picture">
                <pic:pic>
                  <pic:nvPicPr>
                    <pic:cNvPr id="0" name="fig41_campaign_profit_curve.png"/>
                    <pic:cNvPicPr/>
                  </pic:nvPicPr>
                  <pic:blipFill>
                    <a:blip r:embed="rId14"/>
                    <a:stretch>
                      <a:fillRect/>
                    </a:stretch>
                  </pic:blipFill>
                  <pic:spPr>
                    <a:xfrm>
                      <a:off x="0" y="0"/>
                      <a:ext cx="5040000" cy="2961392"/>
                    </a:xfrm>
                    <a:prstGeom prst="rect"/>
                  </pic:spPr>
                </pic:pic>
              </a:graphicData>
            </a:graphic>
          </wp:inline>
        </w:drawing>
      </w:r>
    </w:p>
    <w:p>
      <w:pPr>
        <w:pStyle w:val="Caption"/>
        <w:jc w:val="center"/>
      </w:pPr>
      <w:r>
        <w:t>Figure 6. Net profit of a retention campaign by share of customers targeted (model vs random targeting).</w:t>
      </w:r>
    </w:p>
    <w:p>
      <w:r>
        <w:rPr>
          <w:b/>
          <w:highlight w:val="yellow"/>
        </w:rPr>
        <w:t>[EDIT: sebutkan asumsi bisnis — margin 20%, cost per contact 150.00K IDR, success rate 30% — dan sumbernya (soal / asumsi wajar); rujuk tabel sensitivity di Appendix.]</w:t>
      </w:r>
    </w:p>
    <w:p>
      <w:pPr>
        <w:pStyle w:val="Heading2"/>
      </w:pPr>
      <w:r>
        <w:t>4.3 What-if scenarios</w:t>
      </w:r>
    </w:p>
    <w:p>
      <w:r>
        <w:t>What-if: 'Move all 'payment method' customers to 'Auto-debit'' affects 66% of customers and lowers their predicted churn from 22.8% to 14.9%; at 30% adoption this avoids ≈16 churners per 1,000 customers (model-based, associational).</w:t>
      </w:r>
    </w:p>
    <w:p>
      <w:r>
        <w:t>What-if: 'Set auto renew = 1 for everyone' affects 44% of customers and lowers their predicted churn from 24.0% to 17.0%; at 30% adoption this avoids ≈9 churners per 1,000 customers (model-based, associational).</w:t>
      </w:r>
    </w:p>
    <w:p>
      <w:r>
        <w:t>What-if: 'Cap premium change pct at median (4)' affects 48% of customers and lowers their predicted churn from 23.9% to 19.9%; at 30% adoption this avoids ≈6 churners per 1,000 customers (model-based, associational).</w:t>
      </w:r>
    </w:p>
    <w:p>
      <w:pPr>
        <w:jc w:val="center"/>
      </w:pPr>
      <w:r>
        <w:drawing>
          <wp:inline xmlns:a="http://schemas.openxmlformats.org/drawingml/2006/main" xmlns:pic="http://schemas.openxmlformats.org/drawingml/2006/picture">
            <wp:extent cx="5040000" cy="1550080"/>
            <wp:docPr id="7" name="Picture 7"/>
            <wp:cNvGraphicFramePr>
              <a:graphicFrameLocks noChangeAspect="1"/>
            </wp:cNvGraphicFramePr>
            <a:graphic>
              <a:graphicData uri="http://schemas.openxmlformats.org/drawingml/2006/picture">
                <pic:pic>
                  <pic:nvPicPr>
                    <pic:cNvPr id="0" name="fig42_what_if_scenarios.png"/>
                    <pic:cNvPicPr/>
                  </pic:nvPicPr>
                  <pic:blipFill>
                    <a:blip r:embed="rId15"/>
                    <a:stretch>
                      <a:fillRect/>
                    </a:stretch>
                  </pic:blipFill>
                  <pic:spPr>
                    <a:xfrm>
                      <a:off x="0" y="0"/>
                      <a:ext cx="5040000" cy="1550080"/>
                    </a:xfrm>
                    <a:prstGeom prst="rect"/>
                  </pic:spPr>
                </pic:pic>
              </a:graphicData>
            </a:graphic>
          </wp:inline>
        </w:drawing>
      </w:r>
    </w:p>
    <w:p>
      <w:pPr>
        <w:pStyle w:val="Caption"/>
        <w:jc w:val="center"/>
      </w:pPr>
      <w:r>
        <w:t>Figure 7. Model-based simulation of interventions (associational, to be validated by pilots).</w:t>
      </w:r>
    </w:p>
    <w:p>
      <w:pPr>
        <w:pStyle w:val="Heading2"/>
      </w:pPr>
      <w:r>
        <w:t>4.4 Churn personas</w:t>
      </w:r>
    </w:p>
    <w:p>
      <w:r>
        <w:t>Persona P1 (55% of at-risk customers, actual churn 35.8%): risk driven mainly by auto renew (+0.25); payment method (+0.07); premium change pct (+0.06).</w:t>
      </w:r>
    </w:p>
    <w:p>
      <w:r>
        <w:t>Persona P2 (45% of at-risk customers, actual churn 30.0%): risk driven mainly by payment method (+0.11); premium change pct (+0.09); late payments 12m (+0.04).</w:t>
      </w:r>
    </w:p>
    <w:p>
      <w:r>
        <w:rPr>
          <w:b/>
          <w:highlight w:val="yellow"/>
        </w:rPr>
        <w:t>[EDIT: beri nama tiap persona (misal 'Price-shocked renewers', 'Service-frustrated claimants') + 1 intervensi khusus per persona.]</w:t>
      </w:r>
    </w:p>
    <w:p>
      <w:pPr>
        <w:pStyle w:val="Heading2"/>
      </w:pPr>
      <w:r>
        <w:t>4.5 Recommendations</w:t>
      </w:r>
    </w:p>
    <w:p>
      <w:pPr>
        <w:pStyle w:val="Caption"/>
      </w:pPr>
      <w:r>
        <w:t>Table 4. Evidence-based retention recommendations.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w:t>
            </w:r>
          </w:p>
        </w:tc>
        <w:tc>
          <w:tcPr>
            <w:tcW w:type="dxa" w:w="1701"/>
          </w:tcPr>
          <w:p>
            <w:r/>
            <w:r>
              <w:rPr>
                <w:b/>
                <w:sz w:val="18"/>
              </w:rPr>
              <w:t>Recommendation</w:t>
            </w:r>
          </w:p>
        </w:tc>
        <w:tc>
          <w:tcPr>
            <w:tcW w:type="dxa" w:w="1701"/>
          </w:tcPr>
          <w:p>
            <w:r/>
            <w:r>
              <w:rPr>
                <w:b/>
                <w:sz w:val="18"/>
              </w:rPr>
              <w:t>Evidence</w:t>
            </w:r>
          </w:p>
        </w:tc>
        <w:tc>
          <w:tcPr>
            <w:tcW w:type="dxa" w:w="1701"/>
          </w:tcPr>
          <w:p>
            <w:r/>
            <w:r>
              <w:rPr>
                <w:b/>
                <w:sz w:val="18"/>
              </w:rPr>
              <w:t>Expected impact</w:t>
            </w:r>
          </w:p>
        </w:tc>
        <w:tc>
          <w:tcPr>
            <w:tcW w:type="dxa" w:w="1701"/>
          </w:tcPr>
          <w:p>
            <w:r/>
            <w:r>
              <w:rPr>
                <w:b/>
                <w:sz w:val="18"/>
              </w:rPr>
              <w:t>KPI</w:t>
            </w:r>
          </w:p>
        </w:tc>
      </w:tr>
      <w:tr>
        <w:tc>
          <w:tcPr>
            <w:tcW w:type="dxa" w:w="1701"/>
          </w:tcPr>
          <w:p>
            <w:r/>
            <w:r>
              <w:rPr>
                <w:sz w:val="18"/>
              </w:rPr>
              <w:t>1</w:t>
            </w:r>
          </w:p>
        </w:tc>
        <w:tc>
          <w:tcPr>
            <w:tcW w:type="dxa" w:w="1701"/>
          </w:tcPr>
          <w:p>
            <w:r/>
            <w:r>
              <w:rPr>
                <w:sz w:val="18"/>
              </w:rPr>
              <w:t>Shift manual payers to automatic payment</w:t>
            </w:r>
          </w:p>
        </w:tc>
        <w:tc>
          <w:tcPr>
            <w:tcW w:type="dxa" w:w="1701"/>
          </w:tcPr>
          <w:p>
            <w:r/>
            <w:r>
              <w:rPr>
                <w:sz w:val="18"/>
              </w:rPr>
              <w:t>'Cash' churns at 26.2% (1.3x avg); IV 0.10; OR 2.12; HR 1.75; SHAP rank #1</w:t>
            </w:r>
          </w:p>
        </w:tc>
        <w:tc>
          <w:tcPr>
            <w:tcW w:type="dxa" w:w="1701"/>
          </w:tcPr>
          <w:p>
            <w:r/>
            <w:r>
              <w:rPr>
                <w:sz w:val="18"/>
              </w:rPr>
              <w:t>-5.21 pp churn at full adoption (≈16 churners avoided /1,000 at 30% adoption)</w:t>
            </w:r>
          </w:p>
        </w:tc>
        <w:tc>
          <w:tcPr>
            <w:tcW w:type="dxa" w:w="1701"/>
          </w:tcPr>
          <w:p>
            <w:r/>
            <w:r>
              <w:rPr>
                <w:sz w:val="18"/>
              </w:rPr>
              <w:t>% of policies on auto-pay; lapse rate of converted vs control</w:t>
            </w:r>
          </w:p>
        </w:tc>
      </w:tr>
      <w:tr>
        <w:tc>
          <w:tcPr>
            <w:tcW w:type="dxa" w:w="1701"/>
          </w:tcPr>
          <w:p>
            <w:r/>
            <w:r>
              <w:rPr>
                <w:sz w:val="18"/>
              </w:rPr>
              <w:t>2</w:t>
            </w:r>
          </w:p>
        </w:tc>
        <w:tc>
          <w:tcPr>
            <w:tcW w:type="dxa" w:w="1701"/>
          </w:tcPr>
          <w:p>
            <w:r/>
            <w:r>
              <w:rPr>
                <w:sz w:val="18"/>
              </w:rPr>
              <w:t>Make renewal effortless (default auto-renewal)</w:t>
            </w:r>
          </w:p>
        </w:tc>
        <w:tc>
          <w:tcPr>
            <w:tcW w:type="dxa" w:w="1701"/>
          </w:tcPr>
          <w:p>
            <w:r/>
            <w:r>
              <w:rPr>
                <w:sz w:val="18"/>
              </w:rPr>
              <w:t>'0' churns at 26.0% (1.3x avg); IV 0.09; OR 0.51; HR 0.63; SHAP rank #2</w:t>
            </w:r>
          </w:p>
        </w:tc>
        <w:tc>
          <w:tcPr>
            <w:tcW w:type="dxa" w:w="1701"/>
          </w:tcPr>
          <w:p>
            <w:r/>
            <w:r>
              <w:rPr>
                <w:sz w:val="18"/>
              </w:rPr>
              <w:t>-3.06 pp churn at full adoption (≈9 churners avoided /1,000 at 30% adoption)</w:t>
            </w:r>
          </w:p>
        </w:tc>
        <w:tc>
          <w:tcPr>
            <w:tcW w:type="dxa" w:w="1701"/>
          </w:tcPr>
          <w:p>
            <w:r/>
            <w:r>
              <w:rPr>
                <w:sz w:val="18"/>
              </w:rPr>
              <w:t>Auto-renew adoption; renewal rate</w:t>
            </w:r>
          </w:p>
        </w:tc>
      </w:tr>
      <w:tr>
        <w:tc>
          <w:tcPr>
            <w:tcW w:type="dxa" w:w="1701"/>
          </w:tcPr>
          <w:p>
            <w:r/>
            <w:r>
              <w:rPr>
                <w:sz w:val="18"/>
              </w:rPr>
              <w:t>3</w:t>
            </w:r>
          </w:p>
        </w:tc>
        <w:tc>
          <w:tcPr>
            <w:tcW w:type="dxa" w:w="1701"/>
          </w:tcPr>
          <w:p>
            <w:r/>
            <w:r>
              <w:rPr>
                <w:sz w:val="18"/>
              </w:rPr>
              <w:t>Smarter renewal pricing</w:t>
            </w:r>
          </w:p>
        </w:tc>
        <w:tc>
          <w:tcPr>
            <w:tcW w:type="dxa" w:w="1701"/>
          </w:tcPr>
          <w:p>
            <w:r/>
            <w:r>
              <w:rPr>
                <w:sz w:val="18"/>
              </w:rPr>
              <w:t>'12.9–29.5' churns at 31.7% (1.5x avg); IV 0.16; OR 1.57; HR 1.31; SHAP rank #3</w:t>
            </w:r>
          </w:p>
        </w:tc>
        <w:tc>
          <w:tcPr>
            <w:tcW w:type="dxa" w:w="1701"/>
          </w:tcPr>
          <w:p>
            <w:r/>
            <w:r>
              <w:rPr>
                <w:sz w:val="18"/>
              </w:rPr>
              <w:t>-1.95 pp churn at full adoption (≈6 churners avoided /1,000 at 30% adoption)</w:t>
            </w:r>
          </w:p>
        </w:tc>
        <w:tc>
          <w:tcPr>
            <w:tcW w:type="dxa" w:w="1701"/>
          </w:tcPr>
          <w:p>
            <w:r/>
            <w:r>
              <w:rPr>
                <w:sz w:val="18"/>
              </w:rPr>
              <w:t>Churn rate among customers with increases; price elasticity</w:t>
            </w:r>
          </w:p>
        </w:tc>
      </w:tr>
      <w:tr>
        <w:tc>
          <w:tcPr>
            <w:tcW w:type="dxa" w:w="1701"/>
          </w:tcPr>
          <w:p>
            <w:r/>
            <w:r>
              <w:rPr>
                <w:sz w:val="18"/>
              </w:rPr>
              <w:t>4</w:t>
            </w:r>
          </w:p>
        </w:tc>
        <w:tc>
          <w:tcPr>
            <w:tcW w:type="dxa" w:w="1701"/>
          </w:tcPr>
          <w:p>
            <w:r/>
            <w:r>
              <w:rPr>
                <w:sz w:val="18"/>
              </w:rPr>
              <w:t>Bundling &amp; cross-sell to raise switching costs</w:t>
            </w:r>
          </w:p>
        </w:tc>
        <w:tc>
          <w:tcPr>
            <w:tcW w:type="dxa" w:w="1701"/>
          </w:tcPr>
          <w:p>
            <w:r/>
            <w:r>
              <w:rPr>
                <w:sz w:val="18"/>
              </w:rPr>
              <w:t>'1' churns at 23.7% (1.2x avg); IV 0.06; OR 0.73; HR 0.82; SHAP rank #4</w:t>
            </w:r>
          </w:p>
        </w:tc>
        <w:tc>
          <w:tcPr>
            <w:tcW w:type="dxa" w:w="1701"/>
          </w:tcPr>
          <w:p>
            <w:r/>
            <w:r>
              <w:rPr>
                <w:sz w:val="18"/>
              </w:rPr>
            </w:r>
          </w:p>
        </w:tc>
        <w:tc>
          <w:tcPr>
            <w:tcW w:type="dxa" w:w="1701"/>
          </w:tcPr>
          <w:p>
            <w:r/>
            <w:r>
              <w:rPr>
                <w:sz w:val="18"/>
              </w:rPr>
              <w:t>Products per customer; churn of bundled vs single</w:t>
            </w:r>
          </w:p>
        </w:tc>
      </w:tr>
      <w:tr>
        <w:tc>
          <w:tcPr>
            <w:tcW w:type="dxa" w:w="1701"/>
          </w:tcPr>
          <w:p>
            <w:r/>
            <w:r>
              <w:rPr>
                <w:sz w:val="18"/>
              </w:rPr>
              <w:t>5</w:t>
            </w:r>
          </w:p>
        </w:tc>
        <w:tc>
          <w:tcPr>
            <w:tcW w:type="dxa" w:w="1701"/>
          </w:tcPr>
          <w:p>
            <w:r/>
            <w:r>
              <w:rPr>
                <w:sz w:val="18"/>
              </w:rPr>
              <w:t>Early-warning on payment difficulty</w:t>
            </w:r>
          </w:p>
        </w:tc>
        <w:tc>
          <w:tcPr>
            <w:tcW w:type="dxa" w:w="1701"/>
          </w:tcPr>
          <w:p>
            <w:r/>
            <w:r>
              <w:rPr>
                <w:sz w:val="18"/>
              </w:rPr>
              <w:t>'≥3' churns at 43.6% (2.1x avg); IV 0.09; OR 1.36; HR 1.23; SHAP rank #6</w:t>
            </w:r>
          </w:p>
        </w:tc>
        <w:tc>
          <w:tcPr>
            <w:tcW w:type="dxa" w:w="1701"/>
          </w:tcPr>
          <w:p>
            <w:r/>
            <w:r>
              <w:rPr>
                <w:sz w:val="18"/>
              </w:rPr>
              <w:t>-1.85 pp churn at full adoption (≈6 churners avoided /1,000 at 30% adoption)</w:t>
            </w:r>
          </w:p>
        </w:tc>
        <w:tc>
          <w:tcPr>
            <w:tcW w:type="dxa" w:w="1701"/>
          </w:tcPr>
          <w:p>
            <w:r/>
            <w:r>
              <w:rPr>
                <w:sz w:val="18"/>
              </w:rPr>
              <w:t>Cure rate of late payers; lapse after first missed payment</w:t>
            </w:r>
          </w:p>
        </w:tc>
      </w:tr>
      <w:tr>
        <w:tc>
          <w:tcPr>
            <w:tcW w:type="dxa" w:w="1701"/>
          </w:tcPr>
          <w:p>
            <w:r/>
            <w:r>
              <w:rPr>
                <w:sz w:val="18"/>
              </w:rPr>
              <w:t>6</w:t>
            </w:r>
          </w:p>
        </w:tc>
        <w:tc>
          <w:tcPr>
            <w:tcW w:type="dxa" w:w="1701"/>
          </w:tcPr>
          <w:p>
            <w:r/>
            <w:r>
              <w:rPr>
                <w:sz w:val="18"/>
              </w:rPr>
              <w:t>Complaint recovery programme</w:t>
            </w:r>
          </w:p>
        </w:tc>
        <w:tc>
          <w:tcPr>
            <w:tcW w:type="dxa" w:w="1701"/>
          </w:tcPr>
          <w:p>
            <w:r/>
            <w:r>
              <w:rPr>
                <w:sz w:val="18"/>
              </w:rPr>
              <w:t>'≥2' churns at 39.3% (1.9x avg); IV 0.09; OR 1.30; HR 1.20; SHAP rank #7</w:t>
            </w:r>
          </w:p>
        </w:tc>
        <w:tc>
          <w:tcPr>
            <w:tcW w:type="dxa" w:w="1701"/>
          </w:tcPr>
          <w:p>
            <w:r/>
            <w:r>
              <w:rPr>
                <w:sz w:val="18"/>
              </w:rPr>
              <w:t>-1.47 pp churn at full adoption (≈4 churners avoided /1,000 at 30% adoption)</w:t>
            </w:r>
          </w:p>
        </w:tc>
        <w:tc>
          <w:tcPr>
            <w:tcW w:type="dxa" w:w="1701"/>
          </w:tcPr>
          <w:p>
            <w:r/>
            <w:r>
              <w:rPr>
                <w:sz w:val="18"/>
              </w:rPr>
              <w:t>Complaint resolution time; churn rate of complainants</w:t>
            </w:r>
          </w:p>
        </w:tc>
      </w:tr>
      <w:tr>
        <w:tc>
          <w:tcPr>
            <w:tcW w:type="dxa" w:w="1701"/>
          </w:tcPr>
          <w:p>
            <w:r/>
            <w:r>
              <w:rPr>
                <w:sz w:val="18"/>
              </w:rPr>
              <w:t>7</w:t>
            </w:r>
          </w:p>
        </w:tc>
        <w:tc>
          <w:tcPr>
            <w:tcW w:type="dxa" w:w="1701"/>
          </w:tcPr>
          <w:p>
            <w:r/>
            <w:r>
              <w:rPr>
                <w:sz w:val="18"/>
              </w:rPr>
              <w:t>Improve the claims experience</w:t>
            </w:r>
          </w:p>
        </w:tc>
        <w:tc>
          <w:tcPr>
            <w:tcW w:type="dxa" w:w="1701"/>
          </w:tcPr>
          <w:p>
            <w:r/>
            <w:r>
              <w:rPr>
                <w:sz w:val="18"/>
              </w:rPr>
              <w:t>'0.5' churns at 34.4% (1.7x avg); IV 0.08; OR 1.14; HR 1.05; SHAP rank #18</w:t>
            </w:r>
          </w:p>
        </w:tc>
        <w:tc>
          <w:tcPr>
            <w:tcW w:type="dxa" w:w="1701"/>
          </w:tcPr>
          <w:p>
            <w:r/>
            <w:r>
              <w:rPr>
                <w:sz w:val="18"/>
              </w:rPr>
            </w:r>
          </w:p>
        </w:tc>
        <w:tc>
          <w:tcPr>
            <w:tcW w:type="dxa" w:w="1701"/>
          </w:tcPr>
          <w:p>
            <w:r/>
            <w:r>
              <w:rPr>
                <w:sz w:val="18"/>
              </w:rPr>
              <w:t>Claim settlement days; post-claim churn rate; claim NPS</w:t>
            </w:r>
          </w:p>
        </w:tc>
      </w:tr>
      <w:tr>
        <w:tc>
          <w:tcPr>
            <w:tcW w:type="dxa" w:w="1701"/>
          </w:tcPr>
          <w:p>
            <w:r/>
            <w:r>
              <w:rPr>
                <w:sz w:val="18"/>
              </w:rPr>
              <w:t>8</w:t>
            </w:r>
          </w:p>
        </w:tc>
        <w:tc>
          <w:tcPr>
            <w:tcW w:type="dxa" w:w="1701"/>
          </w:tcPr>
          <w:p>
            <w:r/>
            <w:r>
              <w:rPr>
                <w:sz w:val="18"/>
              </w:rPr>
              <w:t>Deploy a churn early-warning system</w:t>
            </w:r>
          </w:p>
        </w:tc>
        <w:tc>
          <w:tcPr>
            <w:tcW w:type="dxa" w:w="1701"/>
          </w:tcPr>
          <w:p>
            <w:r/>
            <w:r>
              <w:rPr>
                <w:sz w:val="18"/>
              </w:rPr>
              <w:t>Model ROC-AUC 0.749; top-20% captures 45% of churners</w:t>
            </w:r>
          </w:p>
        </w:tc>
        <w:tc>
          <w:tcPr>
            <w:tcW w:type="dxa" w:w="1701"/>
          </w:tcPr>
          <w:p>
            <w:r/>
            <w:r>
              <w:rPr>
                <w:sz w:val="18"/>
              </w:rPr>
              <w:t>optimal campaign: target top 50% → net 792.88M</w:t>
            </w:r>
          </w:p>
        </w:tc>
        <w:tc>
          <w:tcPr>
            <w:tcW w:type="dxa" w:w="1701"/>
          </w:tcPr>
          <w:p>
            <w:r/>
            <w:r>
              <w:rPr>
                <w:sz w:val="18"/>
              </w:rPr>
              <w:t>Precision/recall of alerts; retained revenue vs control group</w:t>
            </w:r>
          </w:p>
        </w:tc>
      </w:tr>
      <w:tr>
        <w:tc>
          <w:tcPr>
            <w:tcW w:type="dxa" w:w="1701"/>
          </w:tcPr>
          <w:p>
            <w:r/>
            <w:r>
              <w:rPr>
                <w:sz w:val="18"/>
              </w:rPr>
              <w:t>9</w:t>
            </w:r>
          </w:p>
        </w:tc>
        <w:tc>
          <w:tcPr>
            <w:tcW w:type="dxa" w:w="1701"/>
          </w:tcPr>
          <w:p>
            <w:r/>
            <w:r>
              <w:rPr>
                <w:sz w:val="18"/>
              </w:rPr>
              <w:t>Validate with controlled pilots (A/B tests)</w:t>
            </w:r>
          </w:p>
        </w:tc>
        <w:tc>
          <w:tcPr>
            <w:tcW w:type="dxa" w:w="1701"/>
          </w:tcPr>
          <w:p>
            <w:r/>
            <w:r>
              <w:rPr>
                <w:sz w:val="18"/>
              </w:rPr>
              <w:t>What-if results are associational</w:t>
            </w:r>
          </w:p>
        </w:tc>
        <w:tc>
          <w:tcPr>
            <w:tcW w:type="dxa" w:w="1701"/>
          </w:tcPr>
          <w:p>
            <w:r/>
            <w:r>
              <w:rPr>
                <w:sz w:val="18"/>
              </w:rPr>
            </w:r>
          </w:p>
        </w:tc>
        <w:tc>
          <w:tcPr>
            <w:tcW w:type="dxa" w:w="1701"/>
          </w:tcPr>
          <w:p>
            <w:r/>
            <w:r>
              <w:rPr>
                <w:sz w:val="18"/>
              </w:rPr>
              <w:t>Uplift in retention rate (treated − control)</w:t>
            </w:r>
          </w:p>
        </w:tc>
      </w:tr>
    </w:tbl>
    <w:p/>
    <w:p>
      <w:r>
        <w:t>1. Shift manual payers to automatic payment. Offer a small incentive (e.g. premium discount/cashback) and one-click enrolment for auto-debit/recurring card payment; send pre-due reminders to remaining manual payers.</w:t>
      </w:r>
    </w:p>
    <w:p>
      <w:r>
        <w:t>2. Make renewal effortless (default auto-renewal). Default new and renewing policies to auto-renewal with clear opt-out; 30/14/7-day renewal reminders with a one-click renew link.</w:t>
      </w:r>
    </w:p>
    <w:p>
      <w:r>
        <w:t>3. Smarter renewal pricing. Cap or phase in premium increases for at-risk loyal customers, explain the value behind increases, and offer coverage/deductible adjustments instead of lapse.</w:t>
      </w:r>
    </w:p>
    <w:p>
      <w:r>
        <w:t>4. Bundling &amp; cross-sell to raise switching costs. Offer multi-policy discounts and relevant riders to single-product customers with good risk profiles.</w:t>
      </w:r>
    </w:p>
    <w:p>
      <w:r>
        <w:t>5. Early-warning on payment difficulty. Treat the first late payment as a churn signal: friendly reminders, flexible instalments or payment-date change, and grace-period outreach before lapse.</w:t>
      </w:r>
    </w:p>
    <w:p>
      <w:r>
        <w:rPr>
          <w:b/>
          <w:highlight w:val="yellow"/>
        </w:rPr>
        <w:t>[EDIT: tambahkan roadmap — Quick wins (0–3 bulan), Medium (3–6 bulan), Long term (6–12 bulan) — dan rencana pengukuran (A/B test dengan control group).]</w:t>
      </w:r>
    </w:p>
    <w:p>
      <w:pPr>
        <w:pStyle w:val="Heading1"/>
      </w:pPr>
      <w:r>
        <w:t>5. Conclusion and Limitations</w:t>
      </w:r>
    </w:p>
    <w:p>
      <w:r>
        <w:t xml:space="preserve">Churn at PT Asuransi Sejahtera is driven primarily by payment method, auto renew, premium change pct, and is concentrated in identifiable segments and lifecycle stages. A validated predictive model (ROC-AUC of 0.749 (95% CI 0.735–0.761)) enables proactive, value-based retention targeting. </w:t>
      </w:r>
      <w:r>
        <w:rPr>
          <w:b/>
          <w:highlight w:val="yellow"/>
        </w:rPr>
        <w:t>[EDIT: 1–2 kalimat jawaban langsung untuk 3 pertanyaan riset.]</w:t>
      </w:r>
    </w:p>
    <w:p>
      <w:r>
        <w:t xml:space="preserve">Limitations: (i) the data are a single snapshot, so relationships are associational rather than causal; (ii) the ROI simulation relies on assumed costs and success rates (see sensitivity analysis); (iii) potentially important factors such as competitor offers and life events are not observed. Future work should validate interventions through randomised pilots and enrich the data with </w:t>
      </w:r>
      <w:r>
        <w:rPr>
          <w:b/>
          <w:highlight w:val="yellow"/>
        </w:rPr>
        <w:t>[EDIT: interaction logs / stated reasons for leaving]</w:t>
      </w:r>
      <w:r>
        <w:t>.</w:t>
      </w:r>
    </w:p>
    <w:p>
      <w:pPr>
        <w:pStyle w:val="Heading1"/>
      </w:pPr>
      <w:r>
        <w:t>References</w:t>
      </w:r>
    </w:p>
    <w:p>
      <w:r>
        <w:t>Akiba, T., Sano, S., Yanase, T., Ohta, T., &amp; Koyama, M. (2019). Optuna: A next-generation hyperparameter optimization framework. Proceedings of the 25th ACM SIGKDD Conference, 2623–2631.</w:t>
      </w:r>
    </w:p>
    <w:p>
      <w:r>
        <w:t>Benjamini, Y., &amp; Hochberg, Y. (1995). Controlling the false discovery rate. Journal of the Royal Statistical Society: Series B, 57(1), 289–300.</w:t>
      </w:r>
    </w:p>
    <w:p>
      <w:r>
        <w:t>Caruana, R., Niculescu-Mizil, A., Crew, G., &amp; Ksikes, A. (2004). Ensemble selection from libraries of models. Proceedings of ICML 2004.</w:t>
      </w:r>
    </w:p>
    <w:p>
      <w:r>
        <w:t>Cox, D. R. (1972). Regression models and life-tables. Journal of the Royal Statistical Society: Series B, 34(2), 187–220.</w:t>
      </w:r>
    </w:p>
    <w:p>
      <w:r>
        <w:t>Kaplan, E. L., &amp; Meier, P. (1958). Nonparametric estimation from incomplete observations. Journal of the American Statistical Association, 53(282), 457–481.</w:t>
      </w:r>
    </w:p>
    <w:p>
      <w:r>
        <w:t>Ke, G., et al. (2017). LightGBM: A highly efficient gradient boosting decision tree. Advances in Neural Information Processing Systems, 30.</w:t>
      </w:r>
    </w:p>
    <w:p>
      <w:r>
        <w:t>Lundberg, S. M., &amp; Lee, S.-I. (2017). A unified approach to interpreting model predictions. Advances in Neural Information Processing Systems, 30.</w:t>
      </w:r>
    </w:p>
    <w:p>
      <w:r>
        <w:t>Prokhorenkova, L., Gusev, G., Vorobev, A., Dorogush, A. V., &amp; Gulin, A. (2018). CatBoost: Unbiased boosting with categorical features. Advances in Neural Information Processing Systems, 31.</w:t>
      </w:r>
    </w:p>
    <w:p>
      <w:r>
        <w:t>Verbeke, W., Dejaeger, K., Martens, D., Hur, J., &amp; Baesens, B. (2012). New insights into churn prediction in the telecommunication sector: A profit driven data mining approach. European Journal of Operational Research, 218(1), 211–229.</w:t>
      </w:r>
    </w:p>
    <w:p>
      <w:pPr>
        <w:sectPr>
          <w:pgSz w:w="11906" w:h="16838"/>
          <w:pgMar w:top="2268" w:right="1701" w:bottom="2268" w:left="1701" w:header="720" w:footer="720" w:gutter="0"/>
          <w:cols w:space="720"/>
          <w:docGrid w:linePitch="360"/>
        </w:sectPr>
      </w:pPr>
    </w:p>
    <w:p>
      <w:pPr>
        <w:pStyle w:val="Heading1"/>
      </w:pPr>
      <w:r>
        <w:t>Appendix (not counted in the page limit)</w:t>
      </w:r>
    </w:p>
    <w:p>
      <w:pPr>
        <w:jc w:val="center"/>
      </w:pPr>
      <w:r>
        <w:drawing>
          <wp:inline xmlns:a="http://schemas.openxmlformats.org/drawingml/2006/main" xmlns:pic="http://schemas.openxmlformats.org/drawingml/2006/picture">
            <wp:extent cx="4680000" cy="2772138"/>
            <wp:docPr id="8" name="Picture 8"/>
            <wp:cNvGraphicFramePr>
              <a:graphicFrameLocks noChangeAspect="1"/>
            </wp:cNvGraphicFramePr>
            <a:graphic>
              <a:graphicData uri="http://schemas.openxmlformats.org/drawingml/2006/picture">
                <pic:pic>
                  <pic:nvPicPr>
                    <pic:cNvPr id="0" name="fig44_executive_summary.png"/>
                    <pic:cNvPicPr/>
                  </pic:nvPicPr>
                  <pic:blipFill>
                    <a:blip r:embed="rId16"/>
                    <a:stretch>
                      <a:fillRect/>
                    </a:stretch>
                  </pic:blipFill>
                  <pic:spPr>
                    <a:xfrm>
                      <a:off x="0" y="0"/>
                      <a:ext cx="4680000" cy="2772138"/>
                    </a:xfrm>
                    <a:prstGeom prst="rect"/>
                  </pic:spPr>
                </pic:pic>
              </a:graphicData>
            </a:graphic>
          </wp:inline>
        </w:drawing>
      </w:r>
    </w:p>
    <w:p>
      <w:pPr>
        <w:pStyle w:val="Caption"/>
        <w:jc w:val="center"/>
      </w:pPr>
      <w:r>
        <w:t>Figure 8. Executive summary dashboard.</w:t>
      </w:r>
    </w:p>
    <w:p>
      <w:pPr>
        <w:jc w:val="center"/>
      </w:pPr>
      <w:r>
        <w:drawing>
          <wp:inline xmlns:a="http://schemas.openxmlformats.org/drawingml/2006/main" xmlns:pic="http://schemas.openxmlformats.org/drawingml/2006/picture">
            <wp:extent cx="4680000" cy="2116839"/>
            <wp:docPr id="9" name="Picture 9"/>
            <wp:cNvGraphicFramePr>
              <a:graphicFrameLocks noChangeAspect="1"/>
            </wp:cNvGraphicFramePr>
            <a:graphic>
              <a:graphicData uri="http://schemas.openxmlformats.org/drawingml/2006/picture">
                <pic:pic>
                  <pic:nvPicPr>
                    <pic:cNvPr id="0" name="fig24_roc_pr_curves.png"/>
                    <pic:cNvPicPr/>
                  </pic:nvPicPr>
                  <pic:blipFill>
                    <a:blip r:embed="rId17"/>
                    <a:stretch>
                      <a:fillRect/>
                    </a:stretch>
                  </pic:blipFill>
                  <pic:spPr>
                    <a:xfrm>
                      <a:off x="0" y="0"/>
                      <a:ext cx="4680000" cy="2116839"/>
                    </a:xfrm>
                    <a:prstGeom prst="rect"/>
                  </pic:spPr>
                </pic:pic>
              </a:graphicData>
            </a:graphic>
          </wp:inline>
        </w:drawing>
      </w:r>
    </w:p>
    <w:p>
      <w:pPr>
        <w:pStyle w:val="Caption"/>
        <w:jc w:val="center"/>
      </w:pPr>
      <w:r>
        <w:t>Figure 9. ROC and precision–recall curves (out-of-fold).</w:t>
      </w:r>
    </w:p>
    <w:p>
      <w:pPr>
        <w:jc w:val="center"/>
      </w:pPr>
      <w:r>
        <w:drawing>
          <wp:inline xmlns:a="http://schemas.openxmlformats.org/drawingml/2006/main" xmlns:pic="http://schemas.openxmlformats.org/drawingml/2006/picture">
            <wp:extent cx="4680000" cy="2116400"/>
            <wp:docPr id="10" name="Picture 10"/>
            <wp:cNvGraphicFramePr>
              <a:graphicFrameLocks noChangeAspect="1"/>
            </wp:cNvGraphicFramePr>
            <a:graphic>
              <a:graphicData uri="http://schemas.openxmlformats.org/drawingml/2006/picture">
                <pic:pic>
                  <pic:nvPicPr>
                    <pic:cNvPr id="0" name="fig25_confusion_matrices.png"/>
                    <pic:cNvPicPr/>
                  </pic:nvPicPr>
                  <pic:blipFill>
                    <a:blip r:embed="rId18"/>
                    <a:stretch>
                      <a:fillRect/>
                    </a:stretch>
                  </pic:blipFill>
                  <pic:spPr>
                    <a:xfrm>
                      <a:off x="0" y="0"/>
                      <a:ext cx="4680000" cy="2116400"/>
                    </a:xfrm>
                    <a:prstGeom prst="rect"/>
                  </pic:spPr>
                </pic:pic>
              </a:graphicData>
            </a:graphic>
          </wp:inline>
        </w:drawing>
      </w:r>
    </w:p>
    <w:p>
      <w:pPr>
        <w:pStyle w:val="Caption"/>
        <w:jc w:val="center"/>
      </w:pPr>
      <w:r>
        <w:t>Figure 10. Confusion matrices at 0.5 and at the optimised threshold.</w:t>
      </w:r>
    </w:p>
    <w:p>
      <w:pPr>
        <w:jc w:val="center"/>
      </w:pPr>
      <w:r>
        <w:drawing>
          <wp:inline xmlns:a="http://schemas.openxmlformats.org/drawingml/2006/main" xmlns:pic="http://schemas.openxmlformats.org/drawingml/2006/picture">
            <wp:extent cx="4680000" cy="3146469"/>
            <wp:docPr id="11" name="Picture 11"/>
            <wp:cNvGraphicFramePr>
              <a:graphicFrameLocks noChangeAspect="1"/>
            </wp:cNvGraphicFramePr>
            <a:graphic>
              <a:graphicData uri="http://schemas.openxmlformats.org/drawingml/2006/picture">
                <pic:pic>
                  <pic:nvPicPr>
                    <pic:cNvPr id="0" name="fig08_information_value_ranking.png"/>
                    <pic:cNvPicPr/>
                  </pic:nvPicPr>
                  <pic:blipFill>
                    <a:blip r:embed="rId19"/>
                    <a:stretch>
                      <a:fillRect/>
                    </a:stretch>
                  </pic:blipFill>
                  <pic:spPr>
                    <a:xfrm>
                      <a:off x="0" y="0"/>
                      <a:ext cx="4680000" cy="3146469"/>
                    </a:xfrm>
                    <a:prstGeom prst="rect"/>
                  </pic:spPr>
                </pic:pic>
              </a:graphicData>
            </a:graphic>
          </wp:inline>
        </w:drawing>
      </w:r>
    </w:p>
    <w:p>
      <w:pPr>
        <w:pStyle w:val="Caption"/>
        <w:jc w:val="center"/>
      </w:pPr>
      <w:r>
        <w:t>Figure 11. Information Value of each feature.</w:t>
      </w:r>
    </w:p>
    <w:p>
      <w:pPr>
        <w:jc w:val="center"/>
      </w:pPr>
      <w:r>
        <w:drawing>
          <wp:inline xmlns:a="http://schemas.openxmlformats.org/drawingml/2006/main" xmlns:pic="http://schemas.openxmlformats.org/drawingml/2006/picture">
            <wp:extent cx="4680000" cy="2858594"/>
            <wp:docPr id="12" name="Picture 12"/>
            <wp:cNvGraphicFramePr>
              <a:graphicFrameLocks noChangeAspect="1"/>
            </wp:cNvGraphicFramePr>
            <a:graphic>
              <a:graphicData uri="http://schemas.openxmlformats.org/drawingml/2006/picture">
                <pic:pic>
                  <pic:nvPicPr>
                    <pic:cNvPr id="0" name="fig19_logit_odds_ratios.png"/>
                    <pic:cNvPicPr/>
                  </pic:nvPicPr>
                  <pic:blipFill>
                    <a:blip r:embed="rId20"/>
                    <a:stretch>
                      <a:fillRect/>
                    </a:stretch>
                  </pic:blipFill>
                  <pic:spPr>
                    <a:xfrm>
                      <a:off x="0" y="0"/>
                      <a:ext cx="4680000" cy="2858594"/>
                    </a:xfrm>
                    <a:prstGeom prst="rect"/>
                  </pic:spPr>
                </pic:pic>
              </a:graphicData>
            </a:graphic>
          </wp:inline>
        </w:drawing>
      </w:r>
    </w:p>
    <w:p>
      <w:pPr>
        <w:pStyle w:val="Caption"/>
        <w:jc w:val="center"/>
      </w:pPr>
      <w:r>
        <w:t>Figure 12. Logistic regression odds ratios (95% CI).</w:t>
      </w:r>
    </w:p>
    <w:p>
      <w:pPr>
        <w:jc w:val="center"/>
      </w:pPr>
      <w:r>
        <w:drawing>
          <wp:inline xmlns:a="http://schemas.openxmlformats.org/drawingml/2006/main" xmlns:pic="http://schemas.openxmlformats.org/drawingml/2006/picture">
            <wp:extent cx="4680000" cy="2560087"/>
            <wp:docPr id="13" name="Picture 13"/>
            <wp:cNvGraphicFramePr>
              <a:graphicFrameLocks noChangeAspect="1"/>
            </wp:cNvGraphicFramePr>
            <a:graphic>
              <a:graphicData uri="http://schemas.openxmlformats.org/drawingml/2006/picture">
                <pic:pic>
                  <pic:nvPicPr>
                    <pic:cNvPr id="0" name="fig18_cox_hazard_ratios.png"/>
                    <pic:cNvPicPr/>
                  </pic:nvPicPr>
                  <pic:blipFill>
                    <a:blip r:embed="rId21"/>
                    <a:stretch>
                      <a:fillRect/>
                    </a:stretch>
                  </pic:blipFill>
                  <pic:spPr>
                    <a:xfrm>
                      <a:off x="0" y="0"/>
                      <a:ext cx="4680000" cy="2560087"/>
                    </a:xfrm>
                    <a:prstGeom prst="rect"/>
                  </pic:spPr>
                </pic:pic>
              </a:graphicData>
            </a:graphic>
          </wp:inline>
        </w:drawing>
      </w:r>
    </w:p>
    <w:p>
      <w:pPr>
        <w:pStyle w:val="Caption"/>
        <w:jc w:val="center"/>
      </w:pPr>
      <w:r>
        <w:t>Figure 13. Cox proportional hazards: hazard ratios (95% CI).</w:t>
      </w:r>
    </w:p>
    <w:p>
      <w:pPr>
        <w:jc w:val="center"/>
      </w:pPr>
      <w:r>
        <w:drawing>
          <wp:inline xmlns:a="http://schemas.openxmlformats.org/drawingml/2006/main" xmlns:pic="http://schemas.openxmlformats.org/drawingml/2006/picture">
            <wp:extent cx="4680000" cy="2662347"/>
            <wp:docPr id="14" name="Picture 14"/>
            <wp:cNvGraphicFramePr>
              <a:graphicFrameLocks noChangeAspect="1"/>
            </wp:cNvGraphicFramePr>
            <a:graphic>
              <a:graphicData uri="http://schemas.openxmlformats.org/drawingml/2006/picture">
                <pic:pic>
                  <pic:nvPicPr>
                    <pic:cNvPr id="0" name="fig16_hazard_by_tenure.png"/>
                    <pic:cNvPicPr/>
                  </pic:nvPicPr>
                  <pic:blipFill>
                    <a:blip r:embed="rId22"/>
                    <a:stretch>
                      <a:fillRect/>
                    </a:stretch>
                  </pic:blipFill>
                  <pic:spPr>
                    <a:xfrm>
                      <a:off x="0" y="0"/>
                      <a:ext cx="4680000" cy="2662347"/>
                    </a:xfrm>
                    <a:prstGeom prst="rect"/>
                  </pic:spPr>
                </pic:pic>
              </a:graphicData>
            </a:graphic>
          </wp:inline>
        </w:drawing>
      </w:r>
    </w:p>
    <w:p>
      <w:pPr>
        <w:pStyle w:val="Caption"/>
        <w:jc w:val="center"/>
      </w:pPr>
      <w:r>
        <w:t>Figure 14. Churn hazard by tenure interval.</w:t>
      </w:r>
    </w:p>
    <w:p>
      <w:pPr>
        <w:jc w:val="center"/>
      </w:pPr>
      <w:r>
        <w:drawing>
          <wp:inline xmlns:a="http://schemas.openxmlformats.org/drawingml/2006/main" xmlns:pic="http://schemas.openxmlformats.org/drawingml/2006/picture">
            <wp:extent cx="4680000" cy="2912685"/>
            <wp:docPr id="15" name="Picture 15"/>
            <wp:cNvGraphicFramePr>
              <a:graphicFrameLocks noChangeAspect="1"/>
            </wp:cNvGraphicFramePr>
            <a:graphic>
              <a:graphicData uri="http://schemas.openxmlformats.org/drawingml/2006/picture">
                <pic:pic>
                  <pic:nvPicPr>
                    <pic:cNvPr id="0" name="fig15_km_overall.png"/>
                    <pic:cNvPicPr/>
                  </pic:nvPicPr>
                  <pic:blipFill>
                    <a:blip r:embed="rId23"/>
                    <a:stretch>
                      <a:fillRect/>
                    </a:stretch>
                  </pic:blipFill>
                  <pic:spPr>
                    <a:xfrm>
                      <a:off x="0" y="0"/>
                      <a:ext cx="4680000" cy="2912685"/>
                    </a:xfrm>
                    <a:prstGeom prst="rect"/>
                  </pic:spPr>
                </pic:pic>
              </a:graphicData>
            </a:graphic>
          </wp:inline>
        </w:drawing>
      </w:r>
    </w:p>
    <w:p>
      <w:pPr>
        <w:pStyle w:val="Caption"/>
        <w:jc w:val="center"/>
      </w:pPr>
      <w:r>
        <w:t>Figure 15. Overall Kaplan-Meier curve.</w:t>
      </w:r>
    </w:p>
    <w:p>
      <w:pPr>
        <w:jc w:val="center"/>
      </w:pPr>
      <w:r>
        <w:drawing>
          <wp:inline xmlns:a="http://schemas.openxmlformats.org/drawingml/2006/main" xmlns:pic="http://schemas.openxmlformats.org/drawingml/2006/picture">
            <wp:extent cx="4680000" cy="3361821"/>
            <wp:docPr id="16" name="Picture 16"/>
            <wp:cNvGraphicFramePr>
              <a:graphicFrameLocks noChangeAspect="1"/>
            </wp:cNvGraphicFramePr>
            <a:graphic>
              <a:graphicData uri="http://schemas.openxmlformats.org/drawingml/2006/picture">
                <pic:pic>
                  <pic:nvPicPr>
                    <pic:cNvPr id="0" name="fig13_interaction_heatmaps.png"/>
                    <pic:cNvPicPr/>
                  </pic:nvPicPr>
                  <pic:blipFill>
                    <a:blip r:embed="rId24"/>
                    <a:stretch>
                      <a:fillRect/>
                    </a:stretch>
                  </pic:blipFill>
                  <pic:spPr>
                    <a:xfrm>
                      <a:off x="0" y="0"/>
                      <a:ext cx="4680000" cy="3361821"/>
                    </a:xfrm>
                    <a:prstGeom prst="rect"/>
                  </pic:spPr>
                </pic:pic>
              </a:graphicData>
            </a:graphic>
          </wp:inline>
        </w:drawing>
      </w:r>
    </w:p>
    <w:p>
      <w:pPr>
        <w:pStyle w:val="Caption"/>
        <w:jc w:val="center"/>
      </w:pPr>
      <w:r>
        <w:t>Figure 16. Two-way churn-rate heatmaps.</w:t>
      </w:r>
    </w:p>
    <w:p>
      <w:pPr>
        <w:jc w:val="center"/>
      </w:pPr>
      <w:r>
        <w:drawing>
          <wp:inline xmlns:a="http://schemas.openxmlformats.org/drawingml/2006/main" xmlns:pic="http://schemas.openxmlformats.org/drawingml/2006/picture">
            <wp:extent cx="4680000" cy="1990912"/>
            <wp:docPr id="17" name="Picture 17"/>
            <wp:cNvGraphicFramePr>
              <a:graphicFrameLocks noChangeAspect="1"/>
            </wp:cNvGraphicFramePr>
            <a:graphic>
              <a:graphicData uri="http://schemas.openxmlformats.org/drawingml/2006/picture">
                <pic:pic>
                  <pic:nvPicPr>
                    <pic:cNvPr id="0" name="fig14_segment_tree.png"/>
                    <pic:cNvPicPr/>
                  </pic:nvPicPr>
                  <pic:blipFill>
                    <a:blip r:embed="rId25"/>
                    <a:stretch>
                      <a:fillRect/>
                    </a:stretch>
                  </pic:blipFill>
                  <pic:spPr>
                    <a:xfrm>
                      <a:off x="0" y="0"/>
                      <a:ext cx="4680000" cy="1990912"/>
                    </a:xfrm>
                    <a:prstGeom prst="rect"/>
                  </pic:spPr>
                </pic:pic>
              </a:graphicData>
            </a:graphic>
          </wp:inline>
        </w:drawing>
      </w:r>
    </w:p>
    <w:p>
      <w:pPr>
        <w:pStyle w:val="Caption"/>
        <w:jc w:val="center"/>
      </w:pPr>
      <w:r>
        <w:t>Figure 17. Churn segmentation tree.</w:t>
      </w:r>
    </w:p>
    <w:p>
      <w:pPr>
        <w:jc w:val="center"/>
      </w:pPr>
      <w:r>
        <w:drawing>
          <wp:inline xmlns:a="http://schemas.openxmlformats.org/drawingml/2006/main" xmlns:pic="http://schemas.openxmlformats.org/drawingml/2006/picture">
            <wp:extent cx="4680000" cy="2317171"/>
            <wp:docPr id="18" name="Picture 18"/>
            <wp:cNvGraphicFramePr>
              <a:graphicFrameLocks noChangeAspect="1"/>
            </wp:cNvGraphicFramePr>
            <a:graphic>
              <a:graphicData uri="http://schemas.openxmlformats.org/drawingml/2006/picture">
                <pic:pic>
                  <pic:nvPicPr>
                    <pic:cNvPr id="0" name="fig33_shap_dependence.png"/>
                    <pic:cNvPicPr/>
                  </pic:nvPicPr>
                  <pic:blipFill>
                    <a:blip r:embed="rId26"/>
                    <a:stretch>
                      <a:fillRect/>
                    </a:stretch>
                  </pic:blipFill>
                  <pic:spPr>
                    <a:xfrm>
                      <a:off x="0" y="0"/>
                      <a:ext cx="4680000" cy="2317171"/>
                    </a:xfrm>
                    <a:prstGeom prst="rect"/>
                  </pic:spPr>
                </pic:pic>
              </a:graphicData>
            </a:graphic>
          </wp:inline>
        </w:drawing>
      </w:r>
    </w:p>
    <w:p>
      <w:pPr>
        <w:pStyle w:val="Caption"/>
        <w:jc w:val="center"/>
      </w:pPr>
      <w:r>
        <w:t>Figure 18. SHAP dependence plots.</w:t>
      </w:r>
    </w:p>
    <w:p>
      <w:pPr>
        <w:jc w:val="center"/>
      </w:pPr>
      <w:r>
        <w:drawing>
          <wp:inline xmlns:a="http://schemas.openxmlformats.org/drawingml/2006/main" xmlns:pic="http://schemas.openxmlformats.org/drawingml/2006/picture">
            <wp:extent cx="4680000" cy="2253016"/>
            <wp:docPr id="19" name="Picture 19"/>
            <wp:cNvGraphicFramePr>
              <a:graphicFrameLocks noChangeAspect="1"/>
            </wp:cNvGraphicFramePr>
            <a:graphic>
              <a:graphicData uri="http://schemas.openxmlformats.org/drawingml/2006/picture">
                <pic:pic>
                  <pic:nvPicPr>
                    <pic:cNvPr id="0" name="fig37_partial_dependence.png"/>
                    <pic:cNvPicPr/>
                  </pic:nvPicPr>
                  <pic:blipFill>
                    <a:blip r:embed="rId27"/>
                    <a:stretch>
                      <a:fillRect/>
                    </a:stretch>
                  </pic:blipFill>
                  <pic:spPr>
                    <a:xfrm>
                      <a:off x="0" y="0"/>
                      <a:ext cx="4680000" cy="2253016"/>
                    </a:xfrm>
                    <a:prstGeom prst="rect"/>
                  </pic:spPr>
                </pic:pic>
              </a:graphicData>
            </a:graphic>
          </wp:inline>
        </w:drawing>
      </w:r>
    </w:p>
    <w:p>
      <w:pPr>
        <w:pStyle w:val="Caption"/>
        <w:jc w:val="center"/>
      </w:pPr>
      <w:r>
        <w:t>Figure 19. Partial dependence plots.</w:t>
      </w:r>
    </w:p>
    <w:p>
      <w:pPr>
        <w:jc w:val="center"/>
      </w:pPr>
      <w:r>
        <w:drawing>
          <wp:inline xmlns:a="http://schemas.openxmlformats.org/drawingml/2006/main" xmlns:pic="http://schemas.openxmlformats.org/drawingml/2006/picture">
            <wp:extent cx="4680000" cy="2736842"/>
            <wp:docPr id="20" name="Picture 20"/>
            <wp:cNvGraphicFramePr>
              <a:graphicFrameLocks noChangeAspect="1"/>
            </wp:cNvGraphicFramePr>
            <a:graphic>
              <a:graphicData uri="http://schemas.openxmlformats.org/drawingml/2006/picture">
                <pic:pic>
                  <pic:nvPicPr>
                    <pic:cNvPr id="0" name="fig38_driver_heterogeneity_policy_type.png"/>
                    <pic:cNvPicPr/>
                  </pic:nvPicPr>
                  <pic:blipFill>
                    <a:blip r:embed="rId28"/>
                    <a:stretch>
                      <a:fillRect/>
                    </a:stretch>
                  </pic:blipFill>
                  <pic:spPr>
                    <a:xfrm>
                      <a:off x="0" y="0"/>
                      <a:ext cx="4680000" cy="2736842"/>
                    </a:xfrm>
                    <a:prstGeom prst="rect"/>
                  </pic:spPr>
                </pic:pic>
              </a:graphicData>
            </a:graphic>
          </wp:inline>
        </w:drawing>
      </w:r>
    </w:p>
    <w:p>
      <w:pPr>
        <w:pStyle w:val="Caption"/>
        <w:jc w:val="center"/>
      </w:pPr>
      <w:r>
        <w:t>Figure 20. Driver importance by segment.</w:t>
      </w:r>
    </w:p>
    <w:p>
      <w:pPr>
        <w:jc w:val="center"/>
      </w:pPr>
      <w:r>
        <w:drawing>
          <wp:inline xmlns:a="http://schemas.openxmlformats.org/drawingml/2006/main" xmlns:pic="http://schemas.openxmlformats.org/drawingml/2006/picture">
            <wp:extent cx="4680000" cy="3369375"/>
            <wp:docPr id="21" name="Picture 21"/>
            <wp:cNvGraphicFramePr>
              <a:graphicFrameLocks noChangeAspect="1"/>
            </wp:cNvGraphicFramePr>
            <a:graphic>
              <a:graphicData uri="http://schemas.openxmlformats.org/drawingml/2006/picture">
                <pic:pic>
                  <pic:nvPicPr>
                    <pic:cNvPr id="0" name="fig43_churn_personas_heatmap.png"/>
                    <pic:cNvPicPr/>
                  </pic:nvPicPr>
                  <pic:blipFill>
                    <a:blip r:embed="rId29"/>
                    <a:stretch>
                      <a:fillRect/>
                    </a:stretch>
                  </pic:blipFill>
                  <pic:spPr>
                    <a:xfrm>
                      <a:off x="0" y="0"/>
                      <a:ext cx="4680000" cy="3369375"/>
                    </a:xfrm>
                    <a:prstGeom prst="rect"/>
                  </pic:spPr>
                </pic:pic>
              </a:graphicData>
            </a:graphic>
          </wp:inline>
        </w:drawing>
      </w:r>
    </w:p>
    <w:p>
      <w:pPr>
        <w:pStyle w:val="Caption"/>
        <w:jc w:val="center"/>
      </w:pPr>
      <w:r>
        <w:t>Figure 21. Churn personas (SHAP clustering).</w:t>
      </w:r>
    </w:p>
    <w:p>
      <w:pPr>
        <w:jc w:val="center"/>
      </w:pPr>
      <w:r>
        <w:drawing>
          <wp:inline xmlns:a="http://schemas.openxmlformats.org/drawingml/2006/main" xmlns:pic="http://schemas.openxmlformats.org/drawingml/2006/picture">
            <wp:extent cx="4680000" cy="1875714"/>
            <wp:docPr id="22" name="Picture 22"/>
            <wp:cNvGraphicFramePr>
              <a:graphicFrameLocks noChangeAspect="1"/>
            </wp:cNvGraphicFramePr>
            <a:graphic>
              <a:graphicData uri="http://schemas.openxmlformats.org/drawingml/2006/picture">
                <pic:pic>
                  <pic:nvPicPr>
                    <pic:cNvPr id="0" name="fig09_churn_reasons_cancellation_reason.png"/>
                    <pic:cNvPicPr/>
                  </pic:nvPicPr>
                  <pic:blipFill>
                    <a:blip r:embed="rId30"/>
                    <a:stretch>
                      <a:fillRect/>
                    </a:stretch>
                  </pic:blipFill>
                  <pic:spPr>
                    <a:xfrm>
                      <a:off x="0" y="0"/>
                      <a:ext cx="4680000" cy="1875714"/>
                    </a:xfrm>
                    <a:prstGeom prst="rect"/>
                  </pic:spPr>
                </pic:pic>
              </a:graphicData>
            </a:graphic>
          </wp:inline>
        </w:drawing>
      </w:r>
    </w:p>
    <w:p>
      <w:pPr>
        <w:pStyle w:val="Caption"/>
        <w:jc w:val="center"/>
      </w:pPr>
      <w:r>
        <w:t>Figure 22. Stated churn reasons.</w:t>
      </w:r>
    </w:p>
    <w:p>
      <w:pPr>
        <w:jc w:val="center"/>
      </w:pPr>
      <w:r>
        <w:drawing>
          <wp:inline xmlns:a="http://schemas.openxmlformats.org/drawingml/2006/main" xmlns:pic="http://schemas.openxmlformats.org/drawingml/2006/picture">
            <wp:extent cx="4680000" cy="4414285"/>
            <wp:docPr id="23" name="Picture 23"/>
            <wp:cNvGraphicFramePr>
              <a:graphicFrameLocks noChangeAspect="1"/>
            </wp:cNvGraphicFramePr>
            <a:graphic>
              <a:graphicData uri="http://schemas.openxmlformats.org/drawingml/2006/picture">
                <pic:pic>
                  <pic:nvPicPr>
                    <pic:cNvPr id="0" name="fig23_calibration_reliability.png"/>
                    <pic:cNvPicPr/>
                  </pic:nvPicPr>
                  <pic:blipFill>
                    <a:blip r:embed="rId31"/>
                    <a:stretch>
                      <a:fillRect/>
                    </a:stretch>
                  </pic:blipFill>
                  <pic:spPr>
                    <a:xfrm>
                      <a:off x="0" y="0"/>
                      <a:ext cx="4680000" cy="4414285"/>
                    </a:xfrm>
                    <a:prstGeom prst="rect"/>
                  </pic:spPr>
                </pic:pic>
              </a:graphicData>
            </a:graphic>
          </wp:inline>
        </w:drawing>
      </w:r>
    </w:p>
    <w:p>
      <w:pPr>
        <w:pStyle w:val="Caption"/>
        <w:jc w:val="center"/>
      </w:pPr>
      <w:r>
        <w:t>Figure 23. Calibration (reliability) diagram.</w:t>
      </w:r>
    </w:p>
    <w:p>
      <w:pPr>
        <w:jc w:val="center"/>
      </w:pPr>
      <w:r>
        <w:drawing>
          <wp:inline xmlns:a="http://schemas.openxmlformats.org/drawingml/2006/main" xmlns:pic="http://schemas.openxmlformats.org/drawingml/2006/picture">
            <wp:extent cx="4680000" cy="2942105"/>
            <wp:docPr id="24" name="Picture 24"/>
            <wp:cNvGraphicFramePr>
              <a:graphicFrameLocks noChangeAspect="1"/>
            </wp:cNvGraphicFramePr>
            <a:graphic>
              <a:graphicData uri="http://schemas.openxmlformats.org/drawingml/2006/picture">
                <pic:pic>
                  <pic:nvPicPr>
                    <pic:cNvPr id="0" name="fig27_learning_curve.png"/>
                    <pic:cNvPicPr/>
                  </pic:nvPicPr>
                  <pic:blipFill>
                    <a:blip r:embed="rId32"/>
                    <a:stretch>
                      <a:fillRect/>
                    </a:stretch>
                  </pic:blipFill>
                  <pic:spPr>
                    <a:xfrm>
                      <a:off x="0" y="0"/>
                      <a:ext cx="4680000" cy="2942105"/>
                    </a:xfrm>
                    <a:prstGeom prst="rect"/>
                  </pic:spPr>
                </pic:pic>
              </a:graphicData>
            </a:graphic>
          </wp:inline>
        </w:drawing>
      </w:r>
    </w:p>
    <w:p>
      <w:pPr>
        <w:pStyle w:val="Caption"/>
        <w:jc w:val="center"/>
      </w:pPr>
      <w:r>
        <w:t>Figure 24. Learning curve.</w:t>
      </w:r>
    </w:p>
    <w:p>
      <w:pPr>
        <w:jc w:val="center"/>
      </w:pPr>
      <w:r>
        <w:drawing>
          <wp:inline xmlns:a="http://schemas.openxmlformats.org/drawingml/2006/main" xmlns:pic="http://schemas.openxmlformats.org/drawingml/2006/picture">
            <wp:extent cx="4680000" cy="2079334"/>
            <wp:docPr id="25" name="Picture 25"/>
            <wp:cNvGraphicFramePr>
              <a:graphicFrameLocks noChangeAspect="1"/>
            </wp:cNvGraphicFramePr>
            <a:graphic>
              <a:graphicData uri="http://schemas.openxmlformats.org/drawingml/2006/picture">
                <pic:pic>
                  <pic:nvPicPr>
                    <pic:cNvPr id="0" name="fig20_model_leaderboard.png"/>
                    <pic:cNvPicPr/>
                  </pic:nvPicPr>
                  <pic:blipFill>
                    <a:blip r:embed="rId33"/>
                    <a:stretch>
                      <a:fillRect/>
                    </a:stretch>
                  </pic:blipFill>
                  <pic:spPr>
                    <a:xfrm>
                      <a:off x="0" y="0"/>
                      <a:ext cx="4680000" cy="2079334"/>
                    </a:xfrm>
                    <a:prstGeom prst="rect"/>
                  </pic:spPr>
                </pic:pic>
              </a:graphicData>
            </a:graphic>
          </wp:inline>
        </w:drawing>
      </w:r>
    </w:p>
    <w:p>
      <w:pPr>
        <w:pStyle w:val="Caption"/>
        <w:jc w:val="center"/>
      </w:pPr>
      <w:r>
        <w:t>Figure 25. Model comparison chart.</w:t>
      </w:r>
    </w:p>
    <w:p>
      <w:pPr>
        <w:pStyle w:val="Caption"/>
      </w:pPr>
      <w:r>
        <w:t>Table 5. Risk tiers.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8"/>
              </w:rPr>
              <w:t>tier</w:t>
            </w:r>
          </w:p>
        </w:tc>
        <w:tc>
          <w:tcPr>
            <w:tcW w:type="dxa" w:w="1417"/>
          </w:tcPr>
          <w:p>
            <w:r/>
            <w:r>
              <w:rPr>
                <w:b/>
                <w:sz w:val="18"/>
              </w:rPr>
              <w:t>n_train</w:t>
            </w:r>
          </w:p>
        </w:tc>
        <w:tc>
          <w:tcPr>
            <w:tcW w:type="dxa" w:w="1417"/>
          </w:tcPr>
          <w:p>
            <w:r/>
            <w:r>
              <w:rPr>
                <w:b/>
                <w:sz w:val="18"/>
              </w:rPr>
              <w:t>actual_churn_rate</w:t>
            </w:r>
          </w:p>
        </w:tc>
        <w:tc>
          <w:tcPr>
            <w:tcW w:type="dxa" w:w="1417"/>
          </w:tcPr>
          <w:p>
            <w:r/>
            <w:r>
              <w:rPr>
                <w:b/>
                <w:sz w:val="18"/>
              </w:rPr>
              <w:t>avg_predicted</w:t>
            </w:r>
          </w:p>
        </w:tc>
        <w:tc>
          <w:tcPr>
            <w:tcW w:type="dxa" w:w="1417"/>
          </w:tcPr>
          <w:p>
            <w:r/>
            <w:r>
              <w:rPr>
                <w:b/>
                <w:sz w:val="18"/>
              </w:rPr>
              <w:t>share_churners_%</w:t>
            </w:r>
          </w:p>
        </w:tc>
        <w:tc>
          <w:tcPr>
            <w:tcW w:type="dxa" w:w="1417"/>
          </w:tcPr>
          <w:p>
            <w:r/>
            <w:r>
              <w:rPr>
                <w:b/>
                <w:sz w:val="18"/>
              </w:rPr>
              <w:t>n_test</w:t>
            </w:r>
          </w:p>
        </w:tc>
      </w:tr>
      <w:tr>
        <w:tc>
          <w:tcPr>
            <w:tcW w:type="dxa" w:w="1417"/>
          </w:tcPr>
          <w:p>
            <w:r/>
            <w:r>
              <w:rPr>
                <w:sz w:val="18"/>
              </w:rPr>
              <w:t>High</w:t>
            </w:r>
          </w:p>
        </w:tc>
        <w:tc>
          <w:tcPr>
            <w:tcW w:type="dxa" w:w="1417"/>
          </w:tcPr>
          <w:p>
            <w:r/>
            <w:r>
              <w:rPr>
                <w:sz w:val="18"/>
              </w:rPr>
              <w:t>1600</w:t>
            </w:r>
          </w:p>
        </w:tc>
        <w:tc>
          <w:tcPr>
            <w:tcW w:type="dxa" w:w="1417"/>
          </w:tcPr>
          <w:p>
            <w:r/>
            <w:r>
              <w:rPr>
                <w:sz w:val="18"/>
              </w:rPr>
              <w:t>0.46</w:t>
            </w:r>
          </w:p>
        </w:tc>
        <w:tc>
          <w:tcPr>
            <w:tcW w:type="dxa" w:w="1417"/>
          </w:tcPr>
          <w:p>
            <w:r/>
            <w:r>
              <w:rPr>
                <w:sz w:val="18"/>
              </w:rPr>
              <w:t>0.43</w:t>
            </w:r>
          </w:p>
        </w:tc>
        <w:tc>
          <w:tcPr>
            <w:tcW w:type="dxa" w:w="1417"/>
          </w:tcPr>
          <w:p>
            <w:r/>
            <w:r>
              <w:rPr>
                <w:sz w:val="18"/>
              </w:rPr>
              <w:t>44.55</w:t>
            </w:r>
          </w:p>
        </w:tc>
        <w:tc>
          <w:tcPr>
            <w:tcW w:type="dxa" w:w="1417"/>
          </w:tcPr>
          <w:p>
            <w:r/>
            <w:r>
              <w:rPr>
                <w:sz w:val="18"/>
              </w:rPr>
              <w:t>422</w:t>
            </w:r>
          </w:p>
        </w:tc>
      </w:tr>
      <w:tr>
        <w:tc>
          <w:tcPr>
            <w:tcW w:type="dxa" w:w="1417"/>
          </w:tcPr>
          <w:p>
            <w:r/>
            <w:r>
              <w:rPr>
                <w:sz w:val="18"/>
              </w:rPr>
              <w:t>Medium</w:t>
            </w:r>
          </w:p>
        </w:tc>
        <w:tc>
          <w:tcPr>
            <w:tcW w:type="dxa" w:w="1417"/>
          </w:tcPr>
          <w:p>
            <w:r/>
            <w:r>
              <w:rPr>
                <w:sz w:val="18"/>
              </w:rPr>
              <w:t>2400</w:t>
            </w:r>
          </w:p>
        </w:tc>
        <w:tc>
          <w:tcPr>
            <w:tcW w:type="dxa" w:w="1417"/>
          </w:tcPr>
          <w:p>
            <w:r/>
            <w:r>
              <w:rPr>
                <w:sz w:val="18"/>
              </w:rPr>
              <w:t>0.23</w:t>
            </w:r>
          </w:p>
        </w:tc>
        <w:tc>
          <w:tcPr>
            <w:tcW w:type="dxa" w:w="1417"/>
          </w:tcPr>
          <w:p>
            <w:r/>
            <w:r>
              <w:rPr>
                <w:sz w:val="18"/>
              </w:rPr>
              <w:t>0.23</w:t>
            </w:r>
          </w:p>
        </w:tc>
        <w:tc>
          <w:tcPr>
            <w:tcW w:type="dxa" w:w="1417"/>
          </w:tcPr>
          <w:p>
            <w:r/>
            <w:r>
              <w:rPr>
                <w:sz w:val="18"/>
              </w:rPr>
              <w:t>33.03</w:t>
            </w:r>
          </w:p>
        </w:tc>
        <w:tc>
          <w:tcPr>
            <w:tcW w:type="dxa" w:w="1417"/>
          </w:tcPr>
          <w:p>
            <w:r/>
            <w:r>
              <w:rPr>
                <w:sz w:val="18"/>
              </w:rPr>
              <w:t>590</w:t>
            </w:r>
          </w:p>
        </w:tc>
      </w:tr>
      <w:tr>
        <w:tc>
          <w:tcPr>
            <w:tcW w:type="dxa" w:w="1417"/>
          </w:tcPr>
          <w:p>
            <w:r/>
            <w:r>
              <w:rPr>
                <w:sz w:val="18"/>
              </w:rPr>
              <w:t>Low</w:t>
            </w:r>
          </w:p>
        </w:tc>
        <w:tc>
          <w:tcPr>
            <w:tcW w:type="dxa" w:w="1417"/>
          </w:tcPr>
          <w:p>
            <w:r/>
            <w:r>
              <w:rPr>
                <w:sz w:val="18"/>
              </w:rPr>
              <w:t>4000</w:t>
            </w:r>
          </w:p>
        </w:tc>
        <w:tc>
          <w:tcPr>
            <w:tcW w:type="dxa" w:w="1417"/>
          </w:tcPr>
          <w:p>
            <w:r/>
            <w:r>
              <w:rPr>
                <w:sz w:val="18"/>
              </w:rPr>
              <w:t>0.09</w:t>
            </w:r>
          </w:p>
        </w:tc>
        <w:tc>
          <w:tcPr>
            <w:tcW w:type="dxa" w:w="1417"/>
          </w:tcPr>
          <w:p>
            <w:r/>
            <w:r>
              <w:rPr>
                <w:sz w:val="18"/>
              </w:rPr>
              <w:t>0.10</w:t>
            </w:r>
          </w:p>
        </w:tc>
        <w:tc>
          <w:tcPr>
            <w:tcW w:type="dxa" w:w="1417"/>
          </w:tcPr>
          <w:p>
            <w:r/>
            <w:r>
              <w:rPr>
                <w:sz w:val="18"/>
              </w:rPr>
              <w:t>22.42</w:t>
            </w:r>
          </w:p>
        </w:tc>
        <w:tc>
          <w:tcPr>
            <w:tcW w:type="dxa" w:w="1417"/>
          </w:tcPr>
          <w:p>
            <w:r/>
            <w:r>
              <w:rPr>
                <w:sz w:val="18"/>
              </w:rPr>
              <w:t>988</w:t>
            </w:r>
          </w:p>
        </w:tc>
      </w:tr>
    </w:tbl>
    <w:p/>
    <w:p>
      <w:pPr>
        <w:pStyle w:val="Caption"/>
      </w:pPr>
      <w:r>
        <w:t>Table 6. Campaign sensitivity analysis.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success_rate</w:t>
            </w:r>
          </w:p>
        </w:tc>
        <w:tc>
          <w:tcPr>
            <w:tcW w:type="dxa" w:w="1701"/>
          </w:tcPr>
          <w:p>
            <w:r/>
            <w:r>
              <w:rPr>
                <w:b/>
                <w:sz w:val="18"/>
              </w:rPr>
              <w:t>cost_per_contact</w:t>
            </w:r>
          </w:p>
        </w:tc>
        <w:tc>
          <w:tcPr>
            <w:tcW w:type="dxa" w:w="1701"/>
          </w:tcPr>
          <w:p>
            <w:r/>
            <w:r>
              <w:rPr>
                <w:b/>
                <w:sz w:val="18"/>
              </w:rPr>
              <w:t>optimal_target_%</w:t>
            </w:r>
          </w:p>
        </w:tc>
        <w:tc>
          <w:tcPr>
            <w:tcW w:type="dxa" w:w="1701"/>
          </w:tcPr>
          <w:p>
            <w:r/>
            <w:r>
              <w:rPr>
                <w:b/>
                <w:sz w:val="18"/>
              </w:rPr>
              <w:t>max_net_profit</w:t>
            </w:r>
          </w:p>
        </w:tc>
        <w:tc>
          <w:tcPr>
            <w:tcW w:type="dxa" w:w="1701"/>
          </w:tcPr>
          <w:p>
            <w:r/>
            <w:r>
              <w:rPr>
                <w:b/>
                <w:sz w:val="18"/>
              </w:rPr>
              <w:t>roi</w:t>
            </w:r>
          </w:p>
        </w:tc>
      </w:tr>
      <w:tr>
        <w:tc>
          <w:tcPr>
            <w:tcW w:type="dxa" w:w="1701"/>
          </w:tcPr>
          <w:p>
            <w:r/>
            <w:r>
              <w:rPr>
                <w:sz w:val="18"/>
              </w:rPr>
              <w:t>0.15</w:t>
            </w:r>
          </w:p>
        </w:tc>
        <w:tc>
          <w:tcPr>
            <w:tcW w:type="dxa" w:w="1701"/>
          </w:tcPr>
          <w:p>
            <w:r/>
            <w:r>
              <w:rPr>
                <w:sz w:val="18"/>
              </w:rPr>
              <w:t>75,000.00</w:t>
            </w:r>
          </w:p>
        </w:tc>
        <w:tc>
          <w:tcPr>
            <w:tcW w:type="dxa" w:w="1701"/>
          </w:tcPr>
          <w:p>
            <w:r/>
            <w:r>
              <w:rPr>
                <w:sz w:val="18"/>
              </w:rPr>
              <w:t>51.00</w:t>
            </w:r>
          </w:p>
        </w:tc>
        <w:tc>
          <w:tcPr>
            <w:tcW w:type="dxa" w:w="1701"/>
          </w:tcPr>
          <w:p>
            <w:r/>
            <w:r>
              <w:rPr>
                <w:sz w:val="18"/>
              </w:rPr>
              <w:t>397.02M</w:t>
            </w:r>
          </w:p>
        </w:tc>
        <w:tc>
          <w:tcPr>
            <w:tcW w:type="dxa" w:w="1701"/>
          </w:tcPr>
          <w:p>
            <w:r/>
            <w:r>
              <w:rPr>
                <w:sz w:val="18"/>
              </w:rPr>
              <w:t>1.30</w:t>
            </w:r>
          </w:p>
        </w:tc>
      </w:tr>
      <w:tr>
        <w:tc>
          <w:tcPr>
            <w:tcW w:type="dxa" w:w="1701"/>
          </w:tcPr>
          <w:p>
            <w:r/>
            <w:r>
              <w:rPr>
                <w:sz w:val="18"/>
              </w:rPr>
              <w:t>0.15</w:t>
            </w:r>
          </w:p>
        </w:tc>
        <w:tc>
          <w:tcPr>
            <w:tcW w:type="dxa" w:w="1701"/>
          </w:tcPr>
          <w:p>
            <w:r/>
            <w:r>
              <w:rPr>
                <w:sz w:val="18"/>
              </w:rPr>
              <w:t>150,000.00</w:t>
            </w:r>
          </w:p>
        </w:tc>
        <w:tc>
          <w:tcPr>
            <w:tcW w:type="dxa" w:w="1701"/>
          </w:tcPr>
          <w:p>
            <w:r/>
            <w:r>
              <w:rPr>
                <w:sz w:val="18"/>
              </w:rPr>
              <w:t>26.50</w:t>
            </w:r>
          </w:p>
        </w:tc>
        <w:tc>
          <w:tcPr>
            <w:tcW w:type="dxa" w:w="1701"/>
          </w:tcPr>
          <w:p>
            <w:r/>
            <w:r>
              <w:rPr>
                <w:sz w:val="18"/>
              </w:rPr>
              <w:t>191.37M</w:t>
            </w:r>
          </w:p>
        </w:tc>
        <w:tc>
          <w:tcPr>
            <w:tcW w:type="dxa" w:w="1701"/>
          </w:tcPr>
          <w:p>
            <w:r/>
            <w:r>
              <w:rPr>
                <w:sz w:val="18"/>
              </w:rPr>
              <w:t>0.60</w:t>
            </w:r>
          </w:p>
        </w:tc>
      </w:tr>
      <w:tr>
        <w:tc>
          <w:tcPr>
            <w:tcW w:type="dxa" w:w="1701"/>
          </w:tcPr>
          <w:p>
            <w:r/>
            <w:r>
              <w:rPr>
                <w:sz w:val="18"/>
              </w:rPr>
              <w:t>0.15</w:t>
            </w:r>
          </w:p>
        </w:tc>
        <w:tc>
          <w:tcPr>
            <w:tcW w:type="dxa" w:w="1701"/>
          </w:tcPr>
          <w:p>
            <w:r/>
            <w:r>
              <w:rPr>
                <w:sz w:val="18"/>
              </w:rPr>
              <w:t>300,000.00</w:t>
            </w:r>
          </w:p>
        </w:tc>
        <w:tc>
          <w:tcPr>
            <w:tcW w:type="dxa" w:w="1701"/>
          </w:tcPr>
          <w:p>
            <w:r/>
            <w:r>
              <w:rPr>
                <w:sz w:val="18"/>
              </w:rPr>
              <w:t>6.08</w:t>
            </w:r>
          </w:p>
        </w:tc>
        <w:tc>
          <w:tcPr>
            <w:tcW w:type="dxa" w:w="1701"/>
          </w:tcPr>
          <w:p>
            <w:r/>
            <w:r>
              <w:rPr>
                <w:sz w:val="18"/>
              </w:rPr>
              <w:t>57.41M</w:t>
            </w:r>
          </w:p>
        </w:tc>
        <w:tc>
          <w:tcPr>
            <w:tcW w:type="dxa" w:w="1701"/>
          </w:tcPr>
          <w:p>
            <w:r/>
            <w:r>
              <w:rPr>
                <w:sz w:val="18"/>
              </w:rPr>
              <w:t>0.39</w:t>
            </w:r>
          </w:p>
        </w:tc>
      </w:tr>
      <w:tr>
        <w:tc>
          <w:tcPr>
            <w:tcW w:type="dxa" w:w="1701"/>
          </w:tcPr>
          <w:p>
            <w:r/>
            <w:r>
              <w:rPr>
                <w:sz w:val="18"/>
              </w:rPr>
              <w:t>0.30</w:t>
            </w:r>
          </w:p>
        </w:tc>
        <w:tc>
          <w:tcPr>
            <w:tcW w:type="dxa" w:w="1701"/>
          </w:tcPr>
          <w:p>
            <w:r/>
            <w:r>
              <w:rPr>
                <w:sz w:val="18"/>
              </w:rPr>
              <w:t>75,000.00</w:t>
            </w:r>
          </w:p>
        </w:tc>
        <w:tc>
          <w:tcPr>
            <w:tcW w:type="dxa" w:w="1701"/>
          </w:tcPr>
          <w:p>
            <w:r/>
            <w:r>
              <w:rPr>
                <w:sz w:val="18"/>
              </w:rPr>
              <w:t>75.50</w:t>
            </w:r>
          </w:p>
        </w:tc>
        <w:tc>
          <w:tcPr>
            <w:tcW w:type="dxa" w:w="1701"/>
          </w:tcPr>
          <w:p>
            <w:r/>
            <w:r>
              <w:rPr>
                <w:sz w:val="18"/>
              </w:rPr>
              <w:t>1.17B</w:t>
            </w:r>
          </w:p>
        </w:tc>
        <w:tc>
          <w:tcPr>
            <w:tcW w:type="dxa" w:w="1701"/>
          </w:tcPr>
          <w:p>
            <w:r/>
            <w:r>
              <w:rPr>
                <w:sz w:val="18"/>
              </w:rPr>
              <w:t>2.58</w:t>
            </w:r>
          </w:p>
        </w:tc>
      </w:tr>
      <w:tr>
        <w:tc>
          <w:tcPr>
            <w:tcW w:type="dxa" w:w="1701"/>
          </w:tcPr>
          <w:p>
            <w:r/>
            <w:r>
              <w:rPr>
                <w:sz w:val="18"/>
              </w:rPr>
              <w:t>0.30</w:t>
            </w:r>
          </w:p>
        </w:tc>
        <w:tc>
          <w:tcPr>
            <w:tcW w:type="dxa" w:w="1701"/>
          </w:tcPr>
          <w:p>
            <w:r/>
            <w:r>
              <w:rPr>
                <w:sz w:val="18"/>
              </w:rPr>
              <w:t>150,000.00</w:t>
            </w:r>
          </w:p>
        </w:tc>
        <w:tc>
          <w:tcPr>
            <w:tcW w:type="dxa" w:w="1701"/>
          </w:tcPr>
          <w:p>
            <w:r/>
            <w:r>
              <w:rPr>
                <w:sz w:val="18"/>
              </w:rPr>
              <w:t>51.00</w:t>
            </w:r>
          </w:p>
        </w:tc>
        <w:tc>
          <w:tcPr>
            <w:tcW w:type="dxa" w:w="1701"/>
          </w:tcPr>
          <w:p>
            <w:r/>
            <w:r>
              <w:rPr>
                <w:sz w:val="18"/>
              </w:rPr>
              <w:t>794.03M</w:t>
            </w:r>
          </w:p>
        </w:tc>
        <w:tc>
          <w:tcPr>
            <w:tcW w:type="dxa" w:w="1701"/>
          </w:tcPr>
          <w:p>
            <w:r/>
            <w:r>
              <w:rPr>
                <w:sz w:val="18"/>
              </w:rPr>
              <w:t>1.30</w:t>
            </w:r>
          </w:p>
        </w:tc>
      </w:tr>
      <w:tr>
        <w:tc>
          <w:tcPr>
            <w:tcW w:type="dxa" w:w="1701"/>
          </w:tcPr>
          <w:p>
            <w:r/>
            <w:r>
              <w:rPr>
                <w:sz w:val="18"/>
              </w:rPr>
              <w:t>0.30</w:t>
            </w:r>
          </w:p>
        </w:tc>
        <w:tc>
          <w:tcPr>
            <w:tcW w:type="dxa" w:w="1701"/>
          </w:tcPr>
          <w:p>
            <w:r/>
            <w:r>
              <w:rPr>
                <w:sz w:val="18"/>
              </w:rPr>
              <w:t>300,000.00</w:t>
            </w:r>
          </w:p>
        </w:tc>
        <w:tc>
          <w:tcPr>
            <w:tcW w:type="dxa" w:w="1701"/>
          </w:tcPr>
          <w:p>
            <w:r/>
            <w:r>
              <w:rPr>
                <w:sz w:val="18"/>
              </w:rPr>
              <w:t>26.50</w:t>
            </w:r>
          </w:p>
        </w:tc>
        <w:tc>
          <w:tcPr>
            <w:tcW w:type="dxa" w:w="1701"/>
          </w:tcPr>
          <w:p>
            <w:r/>
            <w:r>
              <w:rPr>
                <w:sz w:val="18"/>
              </w:rPr>
              <w:t>382.75M</w:t>
            </w:r>
          </w:p>
        </w:tc>
        <w:tc>
          <w:tcPr>
            <w:tcW w:type="dxa" w:w="1701"/>
          </w:tcPr>
          <w:p>
            <w:r/>
            <w:r>
              <w:rPr>
                <w:sz w:val="18"/>
              </w:rPr>
              <w:t>0.60</w:t>
            </w:r>
          </w:p>
        </w:tc>
      </w:tr>
      <w:tr>
        <w:tc>
          <w:tcPr>
            <w:tcW w:type="dxa" w:w="1701"/>
          </w:tcPr>
          <w:p>
            <w:r/>
            <w:r>
              <w:rPr>
                <w:sz w:val="18"/>
              </w:rPr>
              <w:t>0.45</w:t>
            </w:r>
          </w:p>
        </w:tc>
        <w:tc>
          <w:tcPr>
            <w:tcW w:type="dxa" w:w="1701"/>
          </w:tcPr>
          <w:p>
            <w:r/>
            <w:r>
              <w:rPr>
                <w:sz w:val="18"/>
              </w:rPr>
              <w:t>75,000.00</w:t>
            </w:r>
          </w:p>
        </w:tc>
        <w:tc>
          <w:tcPr>
            <w:tcW w:type="dxa" w:w="1701"/>
          </w:tcPr>
          <w:p>
            <w:r/>
            <w:r>
              <w:rPr>
                <w:sz w:val="18"/>
              </w:rPr>
              <w:t>87.75</w:t>
            </w:r>
          </w:p>
        </w:tc>
        <w:tc>
          <w:tcPr>
            <w:tcW w:type="dxa" w:w="1701"/>
          </w:tcPr>
          <w:p>
            <w:r/>
            <w:r>
              <w:rPr>
                <w:sz w:val="18"/>
              </w:rPr>
              <w:t>2.01B</w:t>
            </w:r>
          </w:p>
        </w:tc>
        <w:tc>
          <w:tcPr>
            <w:tcW w:type="dxa" w:w="1701"/>
          </w:tcPr>
          <w:p>
            <w:r/>
            <w:r>
              <w:rPr>
                <w:sz w:val="18"/>
              </w:rPr>
              <w:t>3.81</w:t>
            </w:r>
          </w:p>
        </w:tc>
      </w:tr>
      <w:tr>
        <w:tc>
          <w:tcPr>
            <w:tcW w:type="dxa" w:w="1701"/>
          </w:tcPr>
          <w:p>
            <w:r/>
            <w:r>
              <w:rPr>
                <w:sz w:val="18"/>
              </w:rPr>
              <w:t>0.45</w:t>
            </w:r>
          </w:p>
        </w:tc>
        <w:tc>
          <w:tcPr>
            <w:tcW w:type="dxa" w:w="1701"/>
          </w:tcPr>
          <w:p>
            <w:r/>
            <w:r>
              <w:rPr>
                <w:sz w:val="18"/>
              </w:rPr>
              <w:t>150,000.00</w:t>
            </w:r>
          </w:p>
        </w:tc>
        <w:tc>
          <w:tcPr>
            <w:tcW w:type="dxa" w:w="1701"/>
          </w:tcPr>
          <w:p>
            <w:r/>
            <w:r>
              <w:rPr>
                <w:sz w:val="18"/>
              </w:rPr>
              <w:t>67.33</w:t>
            </w:r>
          </w:p>
        </w:tc>
        <w:tc>
          <w:tcPr>
            <w:tcW w:type="dxa" w:w="1701"/>
          </w:tcPr>
          <w:p>
            <w:r/>
            <w:r>
              <w:rPr>
                <w:sz w:val="18"/>
              </w:rPr>
              <w:t>1.54B</w:t>
            </w:r>
          </w:p>
        </w:tc>
        <w:tc>
          <w:tcPr>
            <w:tcW w:type="dxa" w:w="1701"/>
          </w:tcPr>
          <w:p>
            <w:r/>
            <w:r>
              <w:rPr>
                <w:sz w:val="18"/>
              </w:rPr>
              <w:t>1.91</w:t>
            </w:r>
          </w:p>
        </w:tc>
      </w:tr>
      <w:tr>
        <w:tc>
          <w:tcPr>
            <w:tcW w:type="dxa" w:w="1701"/>
          </w:tcPr>
          <w:p>
            <w:r/>
            <w:r>
              <w:rPr>
                <w:sz w:val="18"/>
              </w:rPr>
              <w:t>0.45</w:t>
            </w:r>
          </w:p>
        </w:tc>
        <w:tc>
          <w:tcPr>
            <w:tcW w:type="dxa" w:w="1701"/>
          </w:tcPr>
          <w:p>
            <w:r/>
            <w:r>
              <w:rPr>
                <w:sz w:val="18"/>
              </w:rPr>
              <w:t>300,000.00</w:t>
            </w:r>
          </w:p>
        </w:tc>
        <w:tc>
          <w:tcPr>
            <w:tcW w:type="dxa" w:w="1701"/>
          </w:tcPr>
          <w:p>
            <w:r/>
            <w:r>
              <w:rPr>
                <w:sz w:val="18"/>
              </w:rPr>
              <w:t>38.75</w:t>
            </w:r>
          </w:p>
        </w:tc>
        <w:tc>
          <w:tcPr>
            <w:tcW w:type="dxa" w:w="1701"/>
          </w:tcPr>
          <w:p>
            <w:r/>
            <w:r>
              <w:rPr>
                <w:sz w:val="18"/>
              </w:rPr>
              <w:t>919.71M</w:t>
            </w:r>
          </w:p>
        </w:tc>
        <w:tc>
          <w:tcPr>
            <w:tcW w:type="dxa" w:w="1701"/>
          </w:tcPr>
          <w:p>
            <w:r/>
            <w:r>
              <w:rPr>
                <w:sz w:val="18"/>
              </w:rPr>
              <w:t>0.99</w:t>
            </w:r>
          </w:p>
        </w:tc>
      </w:tr>
    </w:tbl>
    <w:p/>
    <w:p>
      <w:pPr>
        <w:pStyle w:val="Caption"/>
      </w:pPr>
      <w:r>
        <w:t>Table 7. What-if scenario results.</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b/>
                <w:sz w:val="18"/>
              </w:rPr>
              <w:t>scenario</w:t>
            </w:r>
          </w:p>
        </w:tc>
        <w:tc>
          <w:tcPr>
            <w:tcW w:type="dxa" w:w="1063"/>
          </w:tcPr>
          <w:p>
            <w:r/>
            <w:r>
              <w:rPr>
                <w:b/>
                <w:sz w:val="18"/>
              </w:rPr>
              <w:t>feature</w:t>
            </w:r>
          </w:p>
        </w:tc>
        <w:tc>
          <w:tcPr>
            <w:tcW w:type="dxa" w:w="1063"/>
          </w:tcPr>
          <w:p>
            <w:r/>
            <w:r>
              <w:rPr>
                <w:b/>
                <w:sz w:val="18"/>
              </w:rPr>
              <w:t>affected_%</w:t>
            </w:r>
          </w:p>
        </w:tc>
        <w:tc>
          <w:tcPr>
            <w:tcW w:type="dxa" w:w="1063"/>
          </w:tcPr>
          <w:p>
            <w:r/>
            <w:r>
              <w:rPr>
                <w:b/>
                <w:sz w:val="18"/>
              </w:rPr>
              <w:t>churn_affected_before</w:t>
            </w:r>
          </w:p>
        </w:tc>
        <w:tc>
          <w:tcPr>
            <w:tcW w:type="dxa" w:w="1063"/>
          </w:tcPr>
          <w:p>
            <w:r/>
            <w:r>
              <w:rPr>
                <w:b/>
                <w:sz w:val="18"/>
              </w:rPr>
              <w:t>churn_affected_after</w:t>
            </w:r>
          </w:p>
        </w:tc>
        <w:tc>
          <w:tcPr>
            <w:tcW w:type="dxa" w:w="1063"/>
          </w:tcPr>
          <w:p>
            <w:r/>
            <w:r>
              <w:rPr>
                <w:b/>
                <w:sz w:val="18"/>
              </w:rPr>
              <w:t>overall_reduction_pp_full</w:t>
            </w:r>
          </w:p>
        </w:tc>
        <w:tc>
          <w:tcPr>
            <w:tcW w:type="dxa" w:w="1063"/>
          </w:tcPr>
          <w:p>
            <w:r/>
            <w:r>
              <w:rPr>
                <w:b/>
                <w:sz w:val="18"/>
              </w:rPr>
              <w:t>overall_reduction_pp_30pct_adoption</w:t>
            </w:r>
          </w:p>
        </w:tc>
        <w:tc>
          <w:tcPr>
            <w:tcW w:type="dxa" w:w="1063"/>
          </w:tcPr>
          <w:p>
            <w:r/>
            <w:r>
              <w:rPr>
                <w:b/>
                <w:sz w:val="18"/>
              </w:rPr>
              <w:t>churners_avoided_per_1000</w:t>
            </w:r>
          </w:p>
        </w:tc>
      </w:tr>
      <w:tr>
        <w:tc>
          <w:tcPr>
            <w:tcW w:type="dxa" w:w="1063"/>
          </w:tcPr>
          <w:p>
            <w:r/>
            <w:r>
              <w:rPr>
                <w:sz w:val="18"/>
              </w:rPr>
              <w:t>Move all 'payment method' customers to 'Auto-debit'</w:t>
            </w:r>
          </w:p>
        </w:tc>
        <w:tc>
          <w:tcPr>
            <w:tcW w:type="dxa" w:w="1063"/>
          </w:tcPr>
          <w:p>
            <w:r/>
            <w:r>
              <w:rPr>
                <w:sz w:val="18"/>
              </w:rPr>
              <w:t>payment method</w:t>
            </w:r>
          </w:p>
        </w:tc>
        <w:tc>
          <w:tcPr>
            <w:tcW w:type="dxa" w:w="1063"/>
          </w:tcPr>
          <w:p>
            <w:r/>
            <w:r>
              <w:rPr>
                <w:sz w:val="18"/>
              </w:rPr>
              <w:t>65.95</w:t>
            </w:r>
          </w:p>
        </w:tc>
        <w:tc>
          <w:tcPr>
            <w:tcW w:type="dxa" w:w="1063"/>
          </w:tcPr>
          <w:p>
            <w:r/>
            <w:r>
              <w:rPr>
                <w:sz w:val="18"/>
              </w:rPr>
              <w:t>0.23</w:t>
            </w:r>
          </w:p>
        </w:tc>
        <w:tc>
          <w:tcPr>
            <w:tcW w:type="dxa" w:w="1063"/>
          </w:tcPr>
          <w:p>
            <w:r/>
            <w:r>
              <w:rPr>
                <w:sz w:val="18"/>
              </w:rPr>
              <w:t>0.15</w:t>
            </w:r>
          </w:p>
        </w:tc>
        <w:tc>
          <w:tcPr>
            <w:tcW w:type="dxa" w:w="1063"/>
          </w:tcPr>
          <w:p>
            <w:r/>
            <w:r>
              <w:rPr>
                <w:sz w:val="18"/>
              </w:rPr>
              <w:t>5.21</w:t>
            </w:r>
          </w:p>
        </w:tc>
        <w:tc>
          <w:tcPr>
            <w:tcW w:type="dxa" w:w="1063"/>
          </w:tcPr>
          <w:p>
            <w:r/>
            <w:r>
              <w:rPr>
                <w:sz w:val="18"/>
              </w:rPr>
              <w:t>1.56</w:t>
            </w:r>
          </w:p>
        </w:tc>
        <w:tc>
          <w:tcPr>
            <w:tcW w:type="dxa" w:w="1063"/>
          </w:tcPr>
          <w:p>
            <w:r/>
            <w:r>
              <w:rPr>
                <w:sz w:val="18"/>
              </w:rPr>
              <w:t>15.63</w:t>
            </w:r>
          </w:p>
        </w:tc>
      </w:tr>
      <w:tr>
        <w:tc>
          <w:tcPr>
            <w:tcW w:type="dxa" w:w="1063"/>
          </w:tcPr>
          <w:p>
            <w:r/>
            <w:r>
              <w:rPr>
                <w:sz w:val="18"/>
              </w:rPr>
              <w:t>Set auto renew = 1 for everyone</w:t>
            </w:r>
          </w:p>
        </w:tc>
        <w:tc>
          <w:tcPr>
            <w:tcW w:type="dxa" w:w="1063"/>
          </w:tcPr>
          <w:p>
            <w:r/>
            <w:r>
              <w:rPr>
                <w:sz w:val="18"/>
              </w:rPr>
              <w:t>auto renew</w:t>
            </w:r>
          </w:p>
        </w:tc>
        <w:tc>
          <w:tcPr>
            <w:tcW w:type="dxa" w:w="1063"/>
          </w:tcPr>
          <w:p>
            <w:r/>
            <w:r>
              <w:rPr>
                <w:sz w:val="18"/>
              </w:rPr>
              <w:t>43.76</w:t>
            </w:r>
          </w:p>
        </w:tc>
        <w:tc>
          <w:tcPr>
            <w:tcW w:type="dxa" w:w="1063"/>
          </w:tcPr>
          <w:p>
            <w:r/>
            <w:r>
              <w:rPr>
                <w:sz w:val="18"/>
              </w:rPr>
              <w:t>0.24</w:t>
            </w:r>
          </w:p>
        </w:tc>
        <w:tc>
          <w:tcPr>
            <w:tcW w:type="dxa" w:w="1063"/>
          </w:tcPr>
          <w:p>
            <w:r/>
            <w:r>
              <w:rPr>
                <w:sz w:val="18"/>
              </w:rPr>
              <w:t>0.17</w:t>
            </w:r>
          </w:p>
        </w:tc>
        <w:tc>
          <w:tcPr>
            <w:tcW w:type="dxa" w:w="1063"/>
          </w:tcPr>
          <w:p>
            <w:r/>
            <w:r>
              <w:rPr>
                <w:sz w:val="18"/>
              </w:rPr>
              <w:t>3.06</w:t>
            </w:r>
          </w:p>
        </w:tc>
        <w:tc>
          <w:tcPr>
            <w:tcW w:type="dxa" w:w="1063"/>
          </w:tcPr>
          <w:p>
            <w:r/>
            <w:r>
              <w:rPr>
                <w:sz w:val="18"/>
              </w:rPr>
              <w:t>0.92</w:t>
            </w:r>
          </w:p>
        </w:tc>
        <w:tc>
          <w:tcPr>
            <w:tcW w:type="dxa" w:w="1063"/>
          </w:tcPr>
          <w:p>
            <w:r/>
            <w:r>
              <w:rPr>
                <w:sz w:val="18"/>
              </w:rPr>
              <w:t>9.18</w:t>
            </w:r>
          </w:p>
        </w:tc>
      </w:tr>
      <w:tr>
        <w:tc>
          <w:tcPr>
            <w:tcW w:type="dxa" w:w="1063"/>
          </w:tcPr>
          <w:p>
            <w:r/>
            <w:r>
              <w:rPr>
                <w:sz w:val="18"/>
              </w:rPr>
              <w:t>Cap premium change pct at median (4)</w:t>
            </w:r>
          </w:p>
        </w:tc>
        <w:tc>
          <w:tcPr>
            <w:tcW w:type="dxa" w:w="1063"/>
          </w:tcPr>
          <w:p>
            <w:r/>
            <w:r>
              <w:rPr>
                <w:sz w:val="18"/>
              </w:rPr>
              <w:t>premium change pct</w:t>
            </w:r>
          </w:p>
        </w:tc>
        <w:tc>
          <w:tcPr>
            <w:tcW w:type="dxa" w:w="1063"/>
          </w:tcPr>
          <w:p>
            <w:r/>
            <w:r>
              <w:rPr>
                <w:sz w:val="18"/>
              </w:rPr>
              <w:t>48.18</w:t>
            </w:r>
          </w:p>
        </w:tc>
        <w:tc>
          <w:tcPr>
            <w:tcW w:type="dxa" w:w="1063"/>
          </w:tcPr>
          <w:p>
            <w:r/>
            <w:r>
              <w:rPr>
                <w:sz w:val="18"/>
              </w:rPr>
              <w:t>0.24</w:t>
            </w:r>
          </w:p>
        </w:tc>
        <w:tc>
          <w:tcPr>
            <w:tcW w:type="dxa" w:w="1063"/>
          </w:tcPr>
          <w:p>
            <w:r/>
            <w:r>
              <w:rPr>
                <w:sz w:val="18"/>
              </w:rPr>
              <w:t>0.20</w:t>
            </w:r>
          </w:p>
        </w:tc>
        <w:tc>
          <w:tcPr>
            <w:tcW w:type="dxa" w:w="1063"/>
          </w:tcPr>
          <w:p>
            <w:r/>
            <w:r>
              <w:rPr>
                <w:sz w:val="18"/>
              </w:rPr>
              <w:t>1.95</w:t>
            </w:r>
          </w:p>
        </w:tc>
        <w:tc>
          <w:tcPr>
            <w:tcW w:type="dxa" w:w="1063"/>
          </w:tcPr>
          <w:p>
            <w:r/>
            <w:r>
              <w:rPr>
                <w:sz w:val="18"/>
              </w:rPr>
              <w:t>0.58</w:t>
            </w:r>
          </w:p>
        </w:tc>
        <w:tc>
          <w:tcPr>
            <w:tcW w:type="dxa" w:w="1063"/>
          </w:tcPr>
          <w:p>
            <w:r/>
            <w:r>
              <w:rPr>
                <w:sz w:val="18"/>
              </w:rPr>
              <w:t>5.85</w:t>
            </w:r>
          </w:p>
        </w:tc>
      </w:tr>
      <w:tr>
        <w:tc>
          <w:tcPr>
            <w:tcW w:type="dxa" w:w="1063"/>
          </w:tcPr>
          <w:p>
            <w:r/>
            <w:r>
              <w:rPr>
                <w:sz w:val="18"/>
              </w:rPr>
              <w:t>Resolve issues: late payments 12m → 0</w:t>
            </w:r>
          </w:p>
        </w:tc>
        <w:tc>
          <w:tcPr>
            <w:tcW w:type="dxa" w:w="1063"/>
          </w:tcPr>
          <w:p>
            <w:r/>
            <w:r>
              <w:rPr>
                <w:sz w:val="18"/>
              </w:rPr>
              <w:t>late payments 12m</w:t>
            </w:r>
          </w:p>
        </w:tc>
        <w:tc>
          <w:tcPr>
            <w:tcW w:type="dxa" w:w="1063"/>
          </w:tcPr>
          <w:p>
            <w:r/>
            <w:r>
              <w:rPr>
                <w:sz w:val="18"/>
              </w:rPr>
              <w:t>43.05</w:t>
            </w:r>
          </w:p>
        </w:tc>
        <w:tc>
          <w:tcPr>
            <w:tcW w:type="dxa" w:w="1063"/>
          </w:tcPr>
          <w:p>
            <w:r/>
            <w:r>
              <w:rPr>
                <w:sz w:val="18"/>
              </w:rPr>
              <w:t>0.24</w:t>
            </w:r>
          </w:p>
        </w:tc>
        <w:tc>
          <w:tcPr>
            <w:tcW w:type="dxa" w:w="1063"/>
          </w:tcPr>
          <w:p>
            <w:r/>
            <w:r>
              <w:rPr>
                <w:sz w:val="18"/>
              </w:rPr>
              <w:t>0.20</w:t>
            </w:r>
          </w:p>
        </w:tc>
        <w:tc>
          <w:tcPr>
            <w:tcW w:type="dxa" w:w="1063"/>
          </w:tcPr>
          <w:p>
            <w:r/>
            <w:r>
              <w:rPr>
                <w:sz w:val="18"/>
              </w:rPr>
              <w:t>1.85</w:t>
            </w:r>
          </w:p>
        </w:tc>
        <w:tc>
          <w:tcPr>
            <w:tcW w:type="dxa" w:w="1063"/>
          </w:tcPr>
          <w:p>
            <w:r/>
            <w:r>
              <w:rPr>
                <w:sz w:val="18"/>
              </w:rPr>
              <w:t>0.56</w:t>
            </w:r>
          </w:p>
        </w:tc>
        <w:tc>
          <w:tcPr>
            <w:tcW w:type="dxa" w:w="1063"/>
          </w:tcPr>
          <w:p>
            <w:r/>
            <w:r>
              <w:rPr>
                <w:sz w:val="18"/>
              </w:rPr>
              <w:t>5.56</w:t>
            </w:r>
          </w:p>
        </w:tc>
      </w:tr>
      <w:tr>
        <w:tc>
          <w:tcPr>
            <w:tcW w:type="dxa" w:w="1063"/>
          </w:tcPr>
          <w:p>
            <w:r/>
            <w:r>
              <w:rPr>
                <w:sz w:val="18"/>
              </w:rPr>
              <w:t>Resolve issues: number of complaints 12m → 0</w:t>
            </w:r>
          </w:p>
        </w:tc>
        <w:tc>
          <w:tcPr>
            <w:tcW w:type="dxa" w:w="1063"/>
          </w:tcPr>
          <w:p>
            <w:r/>
            <w:r>
              <w:rPr>
                <w:sz w:val="18"/>
              </w:rPr>
              <w:t>number of complaints 12m</w:t>
            </w:r>
          </w:p>
        </w:tc>
        <w:tc>
          <w:tcPr>
            <w:tcW w:type="dxa" w:w="1063"/>
          </w:tcPr>
          <w:p>
            <w:r/>
            <w:r>
              <w:rPr>
                <w:sz w:val="18"/>
              </w:rPr>
              <w:t>25.95</w:t>
            </w:r>
          </w:p>
        </w:tc>
        <w:tc>
          <w:tcPr>
            <w:tcW w:type="dxa" w:w="1063"/>
          </w:tcPr>
          <w:p>
            <w:r/>
            <w:r>
              <w:rPr>
                <w:sz w:val="18"/>
              </w:rPr>
              <w:t>0.28</w:t>
            </w:r>
          </w:p>
        </w:tc>
        <w:tc>
          <w:tcPr>
            <w:tcW w:type="dxa" w:w="1063"/>
          </w:tcPr>
          <w:p>
            <w:r/>
            <w:r>
              <w:rPr>
                <w:sz w:val="18"/>
              </w:rPr>
              <w:t>0.22</w:t>
            </w:r>
          </w:p>
        </w:tc>
        <w:tc>
          <w:tcPr>
            <w:tcW w:type="dxa" w:w="1063"/>
          </w:tcPr>
          <w:p>
            <w:r/>
            <w:r>
              <w:rPr>
                <w:sz w:val="18"/>
              </w:rPr>
              <w:t>1.48</w:t>
            </w:r>
          </w:p>
        </w:tc>
        <w:tc>
          <w:tcPr>
            <w:tcW w:type="dxa" w:w="1063"/>
          </w:tcPr>
          <w:p>
            <w:r/>
            <w:r>
              <w:rPr>
                <w:sz w:val="18"/>
              </w:rPr>
              <w:t>0.44</w:t>
            </w:r>
          </w:p>
        </w:tc>
        <w:tc>
          <w:tcPr>
            <w:tcW w:type="dxa" w:w="1063"/>
          </w:tcPr>
          <w:p>
            <w:r/>
            <w:r>
              <w:rPr>
                <w:sz w:val="18"/>
              </w:rPr>
              <w:t>4.42</w:t>
            </w:r>
          </w:p>
        </w:tc>
      </w:tr>
    </w:tbl>
    <w:p/>
    <w:p>
      <w:pPr>
        <w:pStyle w:val="Caption"/>
      </w:pPr>
      <w:r>
        <w:t>Table 8. Churn persona profiles.</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b/>
                <w:sz w:val="18"/>
              </w:rPr>
              <w:t>persona</w:t>
            </w:r>
          </w:p>
        </w:tc>
        <w:tc>
          <w:tcPr>
            <w:tcW w:type="dxa" w:w="1063"/>
          </w:tcPr>
          <w:p>
            <w:r/>
            <w:r>
              <w:rPr>
                <w:b/>
                <w:sz w:val="18"/>
              </w:rPr>
              <w:t>n_in_sample</w:t>
            </w:r>
          </w:p>
        </w:tc>
        <w:tc>
          <w:tcPr>
            <w:tcW w:type="dxa" w:w="1063"/>
          </w:tcPr>
          <w:p>
            <w:r/>
            <w:r>
              <w:rPr>
                <w:b/>
                <w:sz w:val="18"/>
              </w:rPr>
              <w:t>share_of_at_risk_%</w:t>
            </w:r>
          </w:p>
        </w:tc>
        <w:tc>
          <w:tcPr>
            <w:tcW w:type="dxa" w:w="1063"/>
          </w:tcPr>
          <w:p>
            <w:r/>
            <w:r>
              <w:rPr>
                <w:b/>
                <w:sz w:val="18"/>
              </w:rPr>
              <w:t>avg_pred_churn</w:t>
            </w:r>
          </w:p>
        </w:tc>
        <w:tc>
          <w:tcPr>
            <w:tcW w:type="dxa" w:w="1063"/>
          </w:tcPr>
          <w:p>
            <w:r/>
            <w:r>
              <w:rPr>
                <w:b/>
                <w:sz w:val="18"/>
              </w:rPr>
              <w:t>actual_churn_rate</w:t>
            </w:r>
          </w:p>
        </w:tc>
        <w:tc>
          <w:tcPr>
            <w:tcW w:type="dxa" w:w="1063"/>
          </w:tcPr>
          <w:p>
            <w:r/>
            <w:r>
              <w:rPr>
                <w:b/>
                <w:sz w:val="18"/>
              </w:rPr>
              <w:t>top_drivers</w:t>
            </w:r>
          </w:p>
        </w:tc>
        <w:tc>
          <w:tcPr>
            <w:tcW w:type="dxa" w:w="1063"/>
          </w:tcPr>
          <w:p>
            <w:r/>
            <w:r>
              <w:rPr>
                <w:b/>
                <w:sz w:val="18"/>
              </w:rPr>
              <w:t>payment method</w:t>
            </w:r>
          </w:p>
        </w:tc>
        <w:tc>
          <w:tcPr>
            <w:tcW w:type="dxa" w:w="1063"/>
          </w:tcPr>
          <w:p>
            <w:r/>
            <w:r>
              <w:rPr>
                <w:b/>
                <w:sz w:val="18"/>
              </w:rPr>
              <w:t>auto renew</w:t>
            </w:r>
          </w:p>
        </w:tc>
      </w:tr>
      <w:tr>
        <w:tc>
          <w:tcPr>
            <w:tcW w:type="dxa" w:w="1063"/>
          </w:tcPr>
          <w:p>
            <w:r/>
            <w:r>
              <w:rPr>
                <w:sz w:val="18"/>
              </w:rPr>
              <w:t>P1</w:t>
            </w:r>
          </w:p>
        </w:tc>
        <w:tc>
          <w:tcPr>
            <w:tcW w:type="dxa" w:w="1063"/>
          </w:tcPr>
          <w:p>
            <w:r/>
            <w:r>
              <w:rPr>
                <w:sz w:val="18"/>
              </w:rPr>
              <w:t>285</w:t>
            </w:r>
          </w:p>
        </w:tc>
        <w:tc>
          <w:tcPr>
            <w:tcW w:type="dxa" w:w="1063"/>
          </w:tcPr>
          <w:p>
            <w:r/>
            <w:r>
              <w:rPr>
                <w:sz w:val="18"/>
              </w:rPr>
              <w:t>54.60</w:t>
            </w:r>
          </w:p>
        </w:tc>
        <w:tc>
          <w:tcPr>
            <w:tcW w:type="dxa" w:w="1063"/>
          </w:tcPr>
          <w:p>
            <w:r/>
            <w:r>
              <w:rPr>
                <w:sz w:val="18"/>
              </w:rPr>
              <w:t>0.34</w:t>
            </w:r>
          </w:p>
        </w:tc>
        <w:tc>
          <w:tcPr>
            <w:tcW w:type="dxa" w:w="1063"/>
          </w:tcPr>
          <w:p>
            <w:r/>
            <w:r>
              <w:rPr>
                <w:sz w:val="18"/>
              </w:rPr>
              <w:t>0.36</w:t>
            </w:r>
          </w:p>
        </w:tc>
        <w:tc>
          <w:tcPr>
            <w:tcW w:type="dxa" w:w="1063"/>
          </w:tcPr>
          <w:p>
            <w:r/>
            <w:r>
              <w:rPr>
                <w:sz w:val="18"/>
              </w:rPr>
              <w:t>auto renew (+0.25); payment method (+0.07); premium change pct (+0.06)</w:t>
            </w:r>
          </w:p>
        </w:tc>
        <w:tc>
          <w:tcPr>
            <w:tcW w:type="dxa" w:w="1063"/>
          </w:tcPr>
          <w:p>
            <w:r/>
            <w:r>
              <w:rPr>
                <w:sz w:val="18"/>
              </w:rPr>
              <w:t>Bank Transfer</w:t>
            </w:r>
          </w:p>
        </w:tc>
        <w:tc>
          <w:tcPr>
            <w:tcW w:type="dxa" w:w="1063"/>
          </w:tcPr>
          <w:p>
            <w:r/>
            <w:r>
              <w:rPr>
                <w:sz w:val="18"/>
              </w:rPr>
              <w:t>0.00</w:t>
            </w:r>
          </w:p>
        </w:tc>
      </w:tr>
      <w:tr>
        <w:tc>
          <w:tcPr>
            <w:tcW w:type="dxa" w:w="1063"/>
          </w:tcPr>
          <w:p>
            <w:r/>
            <w:r>
              <w:rPr>
                <w:sz w:val="18"/>
              </w:rPr>
              <w:t>P2</w:t>
            </w:r>
          </w:p>
        </w:tc>
        <w:tc>
          <w:tcPr>
            <w:tcW w:type="dxa" w:w="1063"/>
          </w:tcPr>
          <w:p>
            <w:r/>
            <w:r>
              <w:rPr>
                <w:sz w:val="18"/>
              </w:rPr>
              <w:t>237</w:t>
            </w:r>
          </w:p>
        </w:tc>
        <w:tc>
          <w:tcPr>
            <w:tcW w:type="dxa" w:w="1063"/>
          </w:tcPr>
          <w:p>
            <w:r/>
            <w:r>
              <w:rPr>
                <w:sz w:val="18"/>
              </w:rPr>
              <w:t>45.40</w:t>
            </w:r>
          </w:p>
        </w:tc>
        <w:tc>
          <w:tcPr>
            <w:tcW w:type="dxa" w:w="1063"/>
          </w:tcPr>
          <w:p>
            <w:r/>
            <w:r>
              <w:rPr>
                <w:sz w:val="18"/>
              </w:rPr>
              <w:t>0.29</w:t>
            </w:r>
          </w:p>
        </w:tc>
        <w:tc>
          <w:tcPr>
            <w:tcW w:type="dxa" w:w="1063"/>
          </w:tcPr>
          <w:p>
            <w:r/>
            <w:r>
              <w:rPr>
                <w:sz w:val="18"/>
              </w:rPr>
              <w:t>0.30</w:t>
            </w:r>
          </w:p>
        </w:tc>
        <w:tc>
          <w:tcPr>
            <w:tcW w:type="dxa" w:w="1063"/>
          </w:tcPr>
          <w:p>
            <w:r/>
            <w:r>
              <w:rPr>
                <w:sz w:val="18"/>
              </w:rPr>
              <w:t>payment method (+0.11); premium change pct (+0.09); late payments 12m (+0.04)</w:t>
            </w:r>
          </w:p>
        </w:tc>
        <w:tc>
          <w:tcPr>
            <w:tcW w:type="dxa" w:w="1063"/>
          </w:tcPr>
          <w:p>
            <w:r/>
            <w:r>
              <w:rPr>
                <w:sz w:val="18"/>
              </w:rPr>
              <w:t>Bank Transfer</w:t>
            </w:r>
          </w:p>
        </w:tc>
        <w:tc>
          <w:tcPr>
            <w:tcW w:type="dxa" w:w="1063"/>
          </w:tcPr>
          <w:p>
            <w:r/>
            <w:r>
              <w:rPr>
                <w:sz w:val="18"/>
              </w:rPr>
              <w:t>1.00</w:t>
            </w:r>
          </w:p>
        </w:tc>
      </w:tr>
    </w:tbl>
    <w:p/>
    <w:p>
      <w:pPr>
        <w:pStyle w:val="Caption"/>
      </w:pPr>
      <w:r>
        <w:t>Table 9. Paired bootstrap comparison of models.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8"/>
              </w:rPr>
              <w:t>final_vs</w:t>
            </w:r>
          </w:p>
        </w:tc>
        <w:tc>
          <w:tcPr>
            <w:tcW w:type="dxa" w:w="1417"/>
          </w:tcPr>
          <w:p>
            <w:r/>
            <w:r>
              <w:rPr>
                <w:b/>
                <w:sz w:val="18"/>
              </w:rPr>
              <w:t>diff_roc_auc</w:t>
            </w:r>
          </w:p>
        </w:tc>
        <w:tc>
          <w:tcPr>
            <w:tcW w:type="dxa" w:w="1417"/>
          </w:tcPr>
          <w:p>
            <w:r/>
            <w:r>
              <w:rPr>
                <w:b/>
                <w:sz w:val="18"/>
              </w:rPr>
              <w:t>ci_low</w:t>
            </w:r>
          </w:p>
        </w:tc>
        <w:tc>
          <w:tcPr>
            <w:tcW w:type="dxa" w:w="1417"/>
          </w:tcPr>
          <w:p>
            <w:r/>
            <w:r>
              <w:rPr>
                <w:b/>
                <w:sz w:val="18"/>
              </w:rPr>
              <w:t>ci_high</w:t>
            </w:r>
          </w:p>
        </w:tc>
        <w:tc>
          <w:tcPr>
            <w:tcW w:type="dxa" w:w="1417"/>
          </w:tcPr>
          <w:p>
            <w:r/>
            <w:r>
              <w:rPr>
                <w:b/>
                <w:sz w:val="18"/>
              </w:rPr>
              <w:t>p_value_one_sided</w:t>
            </w:r>
          </w:p>
        </w:tc>
        <w:tc>
          <w:tcPr>
            <w:tcW w:type="dxa" w:w="1417"/>
          </w:tcPr>
          <w:p>
            <w:r/>
            <w:r>
              <w:rPr>
                <w:b/>
                <w:sz w:val="18"/>
              </w:rPr>
              <w:t>significant</w:t>
            </w:r>
          </w:p>
        </w:tc>
      </w:tr>
      <w:tr>
        <w:tc>
          <w:tcPr>
            <w:tcW w:type="dxa" w:w="1417"/>
          </w:tcPr>
          <w:p>
            <w:r/>
            <w:r>
              <w:rPr>
                <w:sz w:val="18"/>
              </w:rPr>
              <w:t>logreg</w:t>
            </w:r>
          </w:p>
        </w:tc>
        <w:tc>
          <w:tcPr>
            <w:tcW w:type="dxa" w:w="1417"/>
          </w:tcPr>
          <w:p>
            <w:r/>
            <w:r>
              <w:rPr>
                <w:sz w:val="18"/>
              </w:rPr>
              <w:t>0.00</w:t>
            </w:r>
          </w:p>
        </w:tc>
        <w:tc>
          <w:tcPr>
            <w:tcW w:type="dxa" w:w="1417"/>
          </w:tcPr>
          <w:p>
            <w:r/>
            <w:r>
              <w:rPr>
                <w:sz w:val="18"/>
              </w:rPr>
              <w:t>-0.00</w:t>
            </w:r>
          </w:p>
        </w:tc>
        <w:tc>
          <w:tcPr>
            <w:tcW w:type="dxa" w:w="1417"/>
          </w:tcPr>
          <w:p>
            <w:r/>
            <w:r>
              <w:rPr>
                <w:sz w:val="18"/>
              </w:rPr>
              <w:t>0.01</w:t>
            </w:r>
          </w:p>
        </w:tc>
        <w:tc>
          <w:tcPr>
            <w:tcW w:type="dxa" w:w="1417"/>
          </w:tcPr>
          <w:p>
            <w:r/>
            <w:r>
              <w:rPr>
                <w:sz w:val="18"/>
              </w:rPr>
              <w:t>0.03</w:t>
            </w:r>
          </w:p>
        </w:tc>
        <w:tc>
          <w:tcPr>
            <w:tcW w:type="dxa" w:w="1417"/>
          </w:tcPr>
          <w:p>
            <w:r/>
            <w:r>
              <w:rPr>
                <w:sz w:val="18"/>
              </w:rPr>
              <w:t>False</w:t>
            </w:r>
          </w:p>
        </w:tc>
      </w:tr>
      <w:tr>
        <w:tc>
          <w:tcPr>
            <w:tcW w:type="dxa" w:w="1417"/>
          </w:tcPr>
          <w:p>
            <w:r/>
            <w:r>
              <w:rPr>
                <w:sz w:val="18"/>
              </w:rPr>
              <w:t>catboost_fs</w:t>
            </w:r>
          </w:p>
        </w:tc>
        <w:tc>
          <w:tcPr>
            <w:tcW w:type="dxa" w:w="1417"/>
          </w:tcPr>
          <w:p>
            <w:r/>
            <w:r>
              <w:rPr>
                <w:sz w:val="18"/>
              </w:rPr>
              <w:t>0.01</w:t>
            </w:r>
          </w:p>
        </w:tc>
        <w:tc>
          <w:tcPr>
            <w:tcW w:type="dxa" w:w="1417"/>
          </w:tcPr>
          <w:p>
            <w:r/>
            <w:r>
              <w:rPr>
                <w:sz w:val="18"/>
              </w:rPr>
              <w:t>0.01</w:t>
            </w:r>
          </w:p>
        </w:tc>
        <w:tc>
          <w:tcPr>
            <w:tcW w:type="dxa" w:w="1417"/>
          </w:tcPr>
          <w:p>
            <w:r/>
            <w:r>
              <w:rPr>
                <w:sz w:val="18"/>
              </w:rPr>
              <w:t>0.01</w:t>
            </w:r>
          </w:p>
        </w:tc>
        <w:tc>
          <w:tcPr>
            <w:tcW w:type="dxa" w:w="1417"/>
          </w:tcPr>
          <w:p>
            <w:r/>
            <w:r>
              <w:rPr>
                <w:sz w:val="18"/>
              </w:rPr>
              <w:t>0.00</w:t>
            </w:r>
          </w:p>
        </w:tc>
        <w:tc>
          <w:tcPr>
            <w:tcW w:type="dxa" w:w="1417"/>
          </w:tcPr>
          <w:p>
            <w:r/>
            <w:r>
              <w:rPr>
                <w:sz w:val="18"/>
              </w:rPr>
              <w:t>True</w:t>
            </w:r>
          </w:p>
        </w:tc>
      </w:tr>
      <w:tr>
        <w:tc>
          <w:tcPr>
            <w:tcW w:type="dxa" w:w="1417"/>
          </w:tcPr>
          <w:p>
            <w:r/>
            <w:r>
              <w:rPr>
                <w:sz w:val="18"/>
              </w:rPr>
              <w:t>catboost</w:t>
            </w:r>
          </w:p>
        </w:tc>
        <w:tc>
          <w:tcPr>
            <w:tcW w:type="dxa" w:w="1417"/>
          </w:tcPr>
          <w:p>
            <w:r/>
            <w:r>
              <w:rPr>
                <w:sz w:val="18"/>
              </w:rPr>
              <w:t>0.01</w:t>
            </w:r>
          </w:p>
        </w:tc>
        <w:tc>
          <w:tcPr>
            <w:tcW w:type="dxa" w:w="1417"/>
          </w:tcPr>
          <w:p>
            <w:r/>
            <w:r>
              <w:rPr>
                <w:sz w:val="18"/>
              </w:rPr>
              <w:t>0.01</w:t>
            </w:r>
          </w:p>
        </w:tc>
        <w:tc>
          <w:tcPr>
            <w:tcW w:type="dxa" w:w="1417"/>
          </w:tcPr>
          <w:p>
            <w:r/>
            <w:r>
              <w:rPr>
                <w:sz w:val="18"/>
              </w:rPr>
              <w:t>0.02</w:t>
            </w:r>
          </w:p>
        </w:tc>
        <w:tc>
          <w:tcPr>
            <w:tcW w:type="dxa" w:w="1417"/>
          </w:tcPr>
          <w:p>
            <w:r/>
            <w:r>
              <w:rPr>
                <w:sz w:val="18"/>
              </w:rPr>
              <w:t>0.00</w:t>
            </w:r>
          </w:p>
        </w:tc>
        <w:tc>
          <w:tcPr>
            <w:tcW w:type="dxa" w:w="1417"/>
          </w:tcPr>
          <w:p>
            <w:r/>
            <w:r>
              <w:rPr>
                <w:sz w:val="18"/>
              </w:rPr>
              <w:t>True</w:t>
            </w:r>
          </w:p>
        </w:tc>
      </w:tr>
      <w:tr>
        <w:tc>
          <w:tcPr>
            <w:tcW w:type="dxa" w:w="1417"/>
          </w:tcPr>
          <w:p>
            <w:r/>
            <w:r>
              <w:rPr>
                <w:sz w:val="18"/>
              </w:rPr>
              <w:t>lgbm</w:t>
            </w:r>
          </w:p>
        </w:tc>
        <w:tc>
          <w:tcPr>
            <w:tcW w:type="dxa" w:w="1417"/>
          </w:tcPr>
          <w:p>
            <w:r/>
            <w:r>
              <w:rPr>
                <w:sz w:val="18"/>
              </w:rPr>
              <w:t>0.02</w:t>
            </w:r>
          </w:p>
        </w:tc>
        <w:tc>
          <w:tcPr>
            <w:tcW w:type="dxa" w:w="1417"/>
          </w:tcPr>
          <w:p>
            <w:r/>
            <w:r>
              <w:rPr>
                <w:sz w:val="18"/>
              </w:rPr>
              <w:t>0.01</w:t>
            </w:r>
          </w:p>
        </w:tc>
        <w:tc>
          <w:tcPr>
            <w:tcW w:type="dxa" w:w="1417"/>
          </w:tcPr>
          <w:p>
            <w:r/>
            <w:r>
              <w:rPr>
                <w:sz w:val="18"/>
              </w:rPr>
              <w:t>0.02</w:t>
            </w:r>
          </w:p>
        </w:tc>
        <w:tc>
          <w:tcPr>
            <w:tcW w:type="dxa" w:w="1417"/>
          </w:tcPr>
          <w:p>
            <w:r/>
            <w:r>
              <w:rPr>
                <w:sz w:val="18"/>
              </w:rPr>
              <w:t>0.00</w:t>
            </w:r>
          </w:p>
        </w:tc>
        <w:tc>
          <w:tcPr>
            <w:tcW w:type="dxa" w:w="1417"/>
          </w:tcPr>
          <w:p>
            <w:r/>
            <w:r>
              <w:rPr>
                <w:sz w:val="18"/>
              </w:rPr>
              <w:t>True</w:t>
            </w:r>
          </w:p>
        </w:tc>
      </w:tr>
    </w:tbl>
    <w:p/>
    <w:sectPr w:rsidR="00FC693F" w:rsidRPr="0006063C" w:rsidSect="00034616">
      <w:pgSz w:w="11906" w:h="16838"/>
      <w:pgMar w:top="2268" w:right="1701" w:bottom="22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76" w:lineRule="auto" w:before="160"/>
      <w:contextualSpacing/>
    </w:pPr>
    <w:rPr>
      <w:rFonts w:asciiTheme="majorHAnsi" w:eastAsiaTheme="majorEastAsia" w:hAnsiTheme="majorHAnsi" w:cstheme="majorBidi"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