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7552"/>
        <w:gridCol w:w="2200"/>
      </w:tblGrid>
      <w:tr>
        <w:tc>
          <w:tcPr>
            <w:tcW w:type="dxa" w:w="7552"/>
            <w:tcBorders>
              <w:top w:val="none" w:color="auto" w:sz="0"/>
              <w:left w:val="none" w:color="auto" w:sz="0"/>
              <w:bottom w:val="none" w:color="auto" w:sz="0"/>
              <w:right w:val="none" w:color="auto" w:sz="0"/>
            </w:tcBorders>
            <w:shd w:fill="1D3140" w:color="auto" w:val="clear"/>
            <w:tcMar>
              <w:top w:type="dxa" w:w="300"/>
              <w:left w:type="dxa" w:w="360"/>
              <w:bottom w:type="dxa" w:w="300"/>
              <w:right w:type="dxa" w:w="120"/>
            </w:tcMar>
            <w:vAlign w:val="center"/>
          </w:tcPr>
          <w:p>
            <w:pPr>
              <w:spacing w:after="80"/>
            </w:pPr>
            <w:r>
              <w:rPr>
                <w:b/>
                <w:bCs/>
                <w:color w:val="FFB3AE"/>
                <w:spacing w:val="30"/>
                <w:sz w:val="15"/>
                <w:szCs w:val="15"/>
              </w:rPr>
              <w:t xml:space="preserve">REDBELLY DAO · NEW CEO BRIEFING</w:t>
            </w:r>
          </w:p>
          <w:p>
            <w:pPr>
              <w:spacing w:after="60" w:line="240" w:lineRule="auto"/>
            </w:pPr>
            <w:r>
              <w:rPr>
                <w:b/>
                <w:bCs/>
                <w:color w:val="F1F5F8"/>
                <w:spacing w:val="-8"/>
                <w:sz w:val="40"/>
                <w:szCs w:val="40"/>
              </w:rPr>
              <w:t xml:space="preserve">Christian Westerlind Wigstrom, Redbelly’s incoming CEO</w:t>
            </w:r>
          </w:p>
          <w:p>
            <w:pPr>
              <w:spacing w:after="80"/>
            </w:pPr>
            <w:r>
              <w:rPr>
                <w:color w:val="C2CED6"/>
                <w:sz w:val="20"/>
                <w:szCs w:val="20"/>
              </w:rPr>
              <w:t xml:space="preserve">Who he is, what Redbelly announced, and what his payments track record could mean for Tokeniser</w:t>
            </w:r>
          </w:p>
          <w:p>
            <w:pPr>
              <w:spacing w:after="0"/>
            </w:pPr>
            <w:r>
              <w:rPr>
                <w:rFonts w:ascii="JetBrains Mono" w:cs="JetBrains Mono" w:eastAsia="JetBrains Mono" w:hAnsi="JetBrains Mono"/>
                <w:color w:val="C2CED6"/>
                <w:sz w:val="15"/>
                <w:szCs w:val="15"/>
              </w:rPr>
              <w:t xml:space="preserve">29 October 2026</w:t>
            </w:r>
            <w:r>
              <w:rPr>
                <w:color w:val="C2CED6"/>
                <w:sz w:val="15"/>
                <w:szCs w:val="15"/>
              </w:rPr>
              <w:t xml:space="preserve">  ·  Sources accessed </w:t>
            </w:r>
            <w:r>
              <w:rPr>
                <w:rFonts w:ascii="JetBrains Mono" w:cs="JetBrains Mono" w:eastAsia="JetBrains Mono" w:hAnsi="JetBrains Mono"/>
                <w:color w:val="C2CED6"/>
                <w:sz w:val="15"/>
                <w:szCs w:val="15"/>
              </w:rPr>
              <w:t xml:space="preserve">29 October 2026</w:t>
            </w:r>
          </w:p>
        </w:tc>
        <w:tc>
          <w:tcPr>
            <w:tcW w:type="dxa" w:w="2200"/>
            <w:tcBorders>
              <w:top w:val="none" w:color="auto" w:sz="0"/>
              <w:left w:val="none" w:color="auto" w:sz="0"/>
              <w:bottom w:val="none" w:color="auto" w:sz="0"/>
              <w:right w:val="none" w:color="auto" w:sz="0"/>
            </w:tcBorders>
            <w:shd w:fill="1D3140" w:color="auto" w:val="clear"/>
            <w:tcMar>
              <w:top w:type="dxa" w:w="240"/>
              <w:left w:type="dxa" w:w="120"/>
              <w:bottom w:type="dxa" w:w="240"/>
              <w:right w:type="dxa" w:w="300"/>
            </w:tcMar>
            <w:vAlign w:val="center"/>
          </w:tcPr>
          <w:p>
            <w:pPr>
              <w:spacing w:after="0" w:line="240" w:lineRule="auto"/>
              <w:jc w:val="right"/>
            </w:pPr>
            <w:r>
              <w:drawing>
                <wp:inline distT="0" distB="0" distL="0" distR="0">
                  <wp:extent cx="1123950" cy="800100"/>
                  <wp:effectExtent t="0" r="0" b="0" l="0"/>
                  <wp:docPr id="1" name="Redbelly DAO logo" descr="Redbelly DAO logo" title="Redbelly D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23950" cy="800100"/>
                          </a:xfrm>
                          <a:prstGeom prst="rect">
                            <a:avLst/>
                          </a:prstGeom>
                        </pic:spPr>
                      </pic:pic>
                    </a:graphicData>
                  </a:graphic>
                </wp:inline>
              </w:drawing>
            </w:r>
          </w:p>
        </w:tc>
      </w:tr>
    </w:tbl>
    <w:p>
      <w:pPr>
        <w:pBdr>
          <w:left w:val="single" w:color="D3DBE1" w:sz="12" w:space="8"/>
        </w:pBdr>
        <w:shd w:fill="EDF1F4" w:color="auto" w:val="clear"/>
        <w:spacing w:after="60" w:before="160"/>
        <w:ind w:left="170" w:right="113"/>
      </w:pPr>
      <w:r>
        <w:rPr>
          <w:i/>
          <w:iCs/>
          <w:color w:val="394853"/>
          <w:sz w:val="15"/>
          <w:szCs w:val="15"/>
        </w:rPr>
        <w:t xml:space="preserve">How to read this briefing: every factual statement carries a bracketed source link. Boxes marked ANALYSIS contain interpretation, not established fact. A claim-by-claim source list accompanies this document.</w:t>
      </w:r>
    </w:p>
    <w:p>
      <w:pPr>
        <w:pStyle w:val="Heading1"/>
      </w:pPr>
      <w:r>
        <w:t xml:space="preserve">1. Executive summary</w:t>
      </w:r>
    </w:p>
    <w:p>
      <w:pPr>
        <w:jc w:val="left"/>
      </w:pPr>
      <w:r>
        <w:t xml:space="preserve">Redbelly Network announced on 16 September 2026 that Christian Westerlind Wigstrom will become its Chief Executive Officer, starting November 2026 </w:t>
      </w:r>
      <w:r>
        <w:rPr>
          <w:color w:val="B3272A"/>
          <w:sz w:val="13"/>
          <w:szCs w:val="13"/>
        </w:rPr>
        <w:t xml:space="preserve">[</w:t>
      </w:r>
      <w:hyperlink w:history="1" r:id="rIdmdswwyxqkoq47cworz_nq">
        <w:r>
          <w:rPr>
            <w:color w:val="B3272A"/>
            <w:sz w:val="13"/>
            <w:szCs w:val="13"/>
            <w:u w:val="single"/>
          </w:rPr>
          <w:t xml:space="preserve">Redbelly</w:t>
        </w:r>
      </w:hyperlink>
      <w:r>
        <w:rPr>
          <w:color w:val="B3272A"/>
          <w:sz w:val="13"/>
          <w:szCs w:val="13"/>
        </w:rPr>
        <w:t xml:space="preserve"> · </w:t>
      </w:r>
      <w:hyperlink w:history="1" r:id="rIdqp74jhpwd_b8na1cfzzbz">
        <w:r>
          <w:rPr>
            <w:color w:val="B3272A"/>
            <w:sz w:val="13"/>
            <w:szCs w:val="13"/>
            <w:u w:val="single"/>
          </w:rPr>
          <w:t xml:space="preserve">Medianet</w:t>
        </w:r>
      </w:hyperlink>
      <w:r>
        <w:rPr>
          <w:color w:val="B3272A"/>
          <w:sz w:val="13"/>
          <w:szCs w:val="13"/>
        </w:rPr>
        <w:t xml:space="preserve"> · </w:t>
      </w:r>
      <w:hyperlink w:history="1" r:id="rIdvmrfz7wkr2aaqqegpoybq">
        <w:r>
          <w:rPr>
            <w:color w:val="B3272A"/>
            <w:sz w:val="13"/>
            <w:szCs w:val="13"/>
            <w:u w:val="single"/>
          </w:rPr>
          <w:t xml:space="preserve">SMB Tech</w:t>
        </w:r>
      </w:hyperlink>
      <w:r>
        <w:rPr>
          <w:color w:val="B3272A"/>
          <w:sz w:val="13"/>
          <w:szCs w:val="13"/>
        </w:rPr>
        <w:t xml:space="preserve">]</w:t>
      </w:r>
      <w:r>
        <w:t xml:space="preserve">; Banking Day gives the start date as Monday 2 November 2026 </w:t>
      </w:r>
      <w:r>
        <w:rPr>
          <w:color w:val="B3272A"/>
          <w:sz w:val="13"/>
          <w:szCs w:val="13"/>
        </w:rPr>
        <w:t xml:space="preserve">[</w:t>
      </w:r>
      <w:hyperlink w:history="1" r:id="rIdsj1d39_5_lch6trjmqk9h">
        <w:r>
          <w:rPr>
            <w:color w:val="B3272A"/>
            <w:sz w:val="13"/>
            <w:szCs w:val="13"/>
            <w:u w:val="single"/>
          </w:rPr>
          <w:t xml:space="preserve">Banking Day</w:t>
        </w:r>
      </w:hyperlink>
      <w:r>
        <w:rPr>
          <w:color w:val="B3272A"/>
          <w:sz w:val="13"/>
          <w:szCs w:val="13"/>
        </w:rPr>
        <w:t xml:space="preserve">]</w:t>
      </w:r>
      <w:r>
        <w:t xml:space="preserve">. He co-founded the payments company Monoova and was its CEO for almost ten years, until 2026 </w:t>
      </w:r>
      <w:r>
        <w:rPr>
          <w:color w:val="B3272A"/>
          <w:sz w:val="13"/>
          <w:szCs w:val="13"/>
        </w:rPr>
        <w:t xml:space="preserve">[</w:t>
      </w:r>
      <w:hyperlink w:history="1" r:id="rIdl1xymh-oifo06lpb50p7n">
        <w:r>
          <w:rPr>
            <w:color w:val="B3272A"/>
            <w:sz w:val="13"/>
            <w:szCs w:val="13"/>
            <w:u w:val="single"/>
          </w:rPr>
          <w:t xml:space="preserve">Redbelly</w:t>
        </w:r>
      </w:hyperlink>
      <w:r>
        <w:rPr>
          <w:color w:val="B3272A"/>
          <w:sz w:val="13"/>
          <w:szCs w:val="13"/>
        </w:rPr>
        <w:t xml:space="preserve"> · </w:t>
      </w:r>
      <w:hyperlink w:history="1" r:id="rIdtpemmhhj_t-mrpoft03lk">
        <w:r>
          <w:rPr>
            <w:color w:val="B3272A"/>
            <w:sz w:val="13"/>
            <w:szCs w:val="13"/>
            <w:u w:val="single"/>
          </w:rPr>
          <w:t xml:space="preserve">Banking Day</w:t>
        </w:r>
      </w:hyperlink>
      <w:r>
        <w:rPr>
          <w:color w:val="B3272A"/>
          <w:sz w:val="13"/>
          <w:szCs w:val="13"/>
        </w:rPr>
        <w:t xml:space="preserve"> · </w:t>
      </w:r>
      <w:hyperlink w:history="1" r:id="rId_zznq4khhz2cqvu7zh2jj">
        <w:r>
          <w:rPr>
            <w:color w:val="B3272A"/>
            <w:sz w:val="13"/>
            <w:szCs w:val="13"/>
            <w:u w:val="single"/>
          </w:rPr>
          <w:t xml:space="preserve">LinkedIn</w:t>
        </w:r>
      </w:hyperlink>
      <w:r>
        <w:rPr>
          <w:color w:val="B3272A"/>
          <w:sz w:val="13"/>
          <w:szCs w:val="13"/>
        </w:rPr>
        <w:t xml:space="preserve">]</w:t>
      </w:r>
      <w:r>
        <w:t xml:space="preserve">. Redbelly says he joins “to lead the company’s push into regulated tokenisation” </w:t>
      </w:r>
      <w:r>
        <w:rPr>
          <w:color w:val="B3272A"/>
          <w:sz w:val="13"/>
          <w:szCs w:val="13"/>
        </w:rPr>
        <w:t xml:space="preserve">[</w:t>
      </w:r>
      <w:hyperlink w:history="1" r:id="rIdgdwxdllavd_xibhfz6c6t">
        <w:r>
          <w:rPr>
            <w:color w:val="B3272A"/>
            <w:sz w:val="13"/>
            <w:szCs w:val="13"/>
            <w:u w:val="single"/>
          </w:rPr>
          <w:t xml:space="preserve">Redbelly</w:t>
        </w:r>
      </w:hyperlink>
      <w:r>
        <w:rPr>
          <w:color w:val="B3272A"/>
          <w:sz w:val="13"/>
          <w:szCs w:val="13"/>
        </w:rPr>
        <w:t xml:space="preserve"> · </w:t>
      </w:r>
      <w:hyperlink w:history="1" r:id="rIdvdnvcmyfu2wcowrpq8l0z">
        <w:r>
          <w:rPr>
            <w:color w:val="B3272A"/>
            <w:sz w:val="13"/>
            <w:szCs w:val="13"/>
            <w:u w:val="single"/>
          </w:rPr>
          <w:t xml:space="preserve">SMB Tech</w:t>
        </w:r>
      </w:hyperlink>
      <w:r>
        <w:rPr>
          <w:color w:val="B3272A"/>
          <w:sz w:val="13"/>
          <w:szCs w:val="13"/>
        </w:rPr>
        <w:t xml:space="preserve">]</w:t>
      </w:r>
      <w:r>
        <w:t xml:space="preserve">, a strategy delivered through Tokeniser, which “brings fund and equity administration on-chain for regulated markets” </w:t>
      </w:r>
      <w:r>
        <w:rPr>
          <w:color w:val="B3272A"/>
          <w:sz w:val="13"/>
          <w:szCs w:val="13"/>
        </w:rPr>
        <w:t xml:space="preserve">[</w:t>
      </w:r>
      <w:hyperlink w:history="1" r:id="rIdv4q42zaz_s4glv4kubvir">
        <w:r>
          <w:rPr>
            <w:color w:val="B3272A"/>
            <w:sz w:val="13"/>
            <w:szCs w:val="13"/>
            <w:u w:val="single"/>
          </w:rPr>
          <w:t xml:space="preserve">Redbelly</w:t>
        </w:r>
      </w:hyperlink>
      <w:r>
        <w:rPr>
          <w:color w:val="B3272A"/>
          <w:sz w:val="13"/>
          <w:szCs w:val="13"/>
        </w:rPr>
        <w:t xml:space="preserve">]</w:t>
      </w:r>
      <w:r>
        <w:t xml:space="preserve">.</w:t>
      </w:r>
    </w:p>
    <w:p>
      <w:pPr>
        <w:pBdr>
          <w:left w:val="single" w:color="EF5350" w:sz="24" w:space="8"/>
        </w:pBdr>
        <w:shd w:fill="EDF1F4" w:color="auto" w:val="clear"/>
        <w:spacing w:after="120" w:before="40"/>
        <w:ind w:left="170" w:right="113"/>
      </w:pPr>
      <w:r>
        <w:rPr>
          <w:b/>
          <w:bCs/>
          <w:color w:val="B3272A"/>
          <w:spacing w:val="15"/>
          <w:sz w:val="14"/>
          <w:szCs w:val="14"/>
        </w:rPr>
        <w:t xml:space="preserve">ANALYSIS · IN BRIEF</w:t>
      </w:r>
      <w:r>
        <w:t xml:space="preserve">  </w:t>
      </w:r>
      <w:r>
        <w:t xml:space="preserve">His record is in the cash side of finance: real-time payments connected to business software through APIs, with the matching of payments automated </w:t>
      </w:r>
      <w:r>
        <w:rPr>
          <w:color w:val="B3272A"/>
          <w:sz w:val="13"/>
          <w:szCs w:val="13"/>
        </w:rPr>
        <w:t xml:space="preserve">[</w:t>
      </w:r>
      <w:hyperlink w:history="1" r:id="rId5gauxe79xy7i1bsp3aybi">
        <w:r>
          <w:rPr>
            <w:color w:val="B3272A"/>
            <w:sz w:val="13"/>
            <w:szCs w:val="13"/>
            <w:u w:val="single"/>
          </w:rPr>
          <w:t xml:space="preserve">Monoova</w:t>
        </w:r>
      </w:hyperlink>
      <w:r>
        <w:rPr>
          <w:color w:val="B3272A"/>
          <w:sz w:val="13"/>
          <w:szCs w:val="13"/>
        </w:rPr>
        <w:t xml:space="preserve">]</w:t>
      </w:r>
      <w:r>
        <w:t xml:space="preserve">. Tokeniser exchanges cash and units in a single step </w:t>
      </w:r>
      <w:r>
        <w:rPr>
          <w:color w:val="B3272A"/>
          <w:sz w:val="13"/>
          <w:szCs w:val="13"/>
        </w:rPr>
        <w:t xml:space="preserve">[</w:t>
      </w:r>
      <w:hyperlink w:history="1" r:id="rIddakzm4c_3tt9e1x298tdx">
        <w:r>
          <w:rPr>
            <w:color w:val="B3272A"/>
            <w:sz w:val="13"/>
            <w:szCs w:val="13"/>
            <w:u w:val="single"/>
          </w:rPr>
          <w:t xml:space="preserve">Tokeniser/settlement</w:t>
        </w:r>
      </w:hyperlink>
      <w:r>
        <w:rPr>
          <w:color w:val="B3272A"/>
          <w:sz w:val="13"/>
          <w:szCs w:val="13"/>
        </w:rPr>
        <w:t xml:space="preserve">]</w:t>
      </w:r>
      <w:r>
        <w:t xml:space="preserve">. The most direct fit for his experience is therefore the cash leg of tokenised transactions, distribution through partner platforms, and compliance built into the product (Section 4).</w:t>
      </w:r>
    </w:p>
    <w:p>
      <w:pPr>
        <w:pStyle w:val="Heading2"/>
      </w:pPr>
      <w:r>
        <w:t xml:space="preserve">Key terms</w:t>
      </w:r>
    </w:p>
    <w:tbl>
      <w:tblPr>
        <w:tblW w:type="dxa" w:w="9752"/>
        <w:tblBorders>
          <w:top w:val="single" w:color="auto" w:sz="4"/>
          <w:left w:val="single" w:color="auto" w:sz="4"/>
          <w:bottom w:val="single" w:color="auto" w:sz="4"/>
          <w:right w:val="single" w:color="auto" w:sz="4"/>
          <w:insideH w:val="single" w:color="auto" w:sz="4"/>
          <w:insideV w:val="single" w:color="auto" w:sz="4"/>
        </w:tblBorders>
      </w:tblPr>
      <w:tblGrid>
        <w:gridCol w:w="1500"/>
        <w:gridCol w:w="8252"/>
      </w:tblGrid>
      <w:tr>
        <w:tc>
          <w:tcPr>
            <w:tcW w:type="dxa" w:w="1500"/>
            <w:tcBorders>
              <w:top w:val="single" w:color="D3DBE1" w:sz="4"/>
              <w:left w:val="single" w:color="D3DBE1" w:sz="4"/>
              <w:bottom w:val="single" w:color="D3DBE1" w:sz="4"/>
              <w:right w:val="single" w:color="D3DBE1" w:sz="4"/>
            </w:tcBorders>
            <w:shd w:fill="EDF1F4" w:color="auto" w:val="clear"/>
            <w:tcMar>
              <w:top w:type="dxa" w:w="50"/>
              <w:left w:type="dxa" w:w="90"/>
              <w:bottom w:type="dxa" w:w="50"/>
              <w:right w:type="dxa" w:w="90"/>
            </w:tcMar>
          </w:tcPr>
          <w:p>
            <w:pPr>
              <w:spacing w:after="0"/>
            </w:pPr>
            <w:r>
              <w:rPr>
                <w:b/>
                <w:bCs/>
                <w:sz w:val="16"/>
                <w:szCs w:val="16"/>
              </w:rPr>
              <w:t xml:space="preserve">NPP</w:t>
            </w:r>
          </w:p>
        </w:tc>
        <w:tc>
          <w:tcPr>
            <w:tcW w:type="dxa" w:w="8252"/>
            <w:tcBorders>
              <w:top w:val="single" w:color="D3DBE1" w:sz="4"/>
              <w:left w:val="single" w:color="D3DBE1" w:sz="4"/>
              <w:bottom w:val="single" w:color="D3DBE1" w:sz="4"/>
              <w:right w:val="single" w:color="D3DBE1" w:sz="4"/>
            </w:tcBorders>
            <w:tcMar>
              <w:top w:type="dxa" w:w="50"/>
              <w:left w:type="dxa" w:w="90"/>
              <w:bottom w:type="dxa" w:w="50"/>
              <w:right w:type="dxa" w:w="90"/>
            </w:tcMar>
          </w:tcPr>
          <w:p>
            <w:pPr>
              <w:spacing w:after="0"/>
            </w:pPr>
            <w:r>
              <w:rPr>
                <w:sz w:val="16"/>
                <w:szCs w:val="16"/>
              </w:rPr>
              <w:t xml:space="preserve">New Payments Platform: the infrastructure for real-time payments in Australia, including PayID and PayTo payments </w:t>
            </w:r>
            <w:r>
              <w:rPr>
                <w:color w:val="B3272A"/>
                <w:sz w:val="13"/>
                <w:szCs w:val="13"/>
              </w:rPr>
              <w:t xml:space="preserve">[</w:t>
            </w:r>
            <w:hyperlink w:history="1" r:id="rIdzuqc9wkcqg0gynrxui0zs">
              <w:r>
                <w:rPr>
                  <w:color w:val="B3272A"/>
                  <w:sz w:val="13"/>
                  <w:szCs w:val="13"/>
                  <w:u w:val="single"/>
                </w:rPr>
                <w:t xml:space="preserve">Monoova</w:t>
              </w:r>
            </w:hyperlink>
            <w:r>
              <w:rPr>
                <w:color w:val="B3272A"/>
                <w:sz w:val="13"/>
                <w:szCs w:val="13"/>
              </w:rPr>
              <w:t xml:space="preserve"> · </w:t>
            </w:r>
            <w:hyperlink w:history="1" r:id="rIdiyckyr7ucitsgltjifnli">
              <w:r>
                <w:rPr>
                  <w:color w:val="B3272A"/>
                  <w:sz w:val="13"/>
                  <w:szCs w:val="13"/>
                  <w:u w:val="single"/>
                </w:rPr>
                <w:t xml:space="preserve">AusPayPlus</w:t>
              </w:r>
            </w:hyperlink>
            <w:r>
              <w:rPr>
                <w:color w:val="B3272A"/>
                <w:sz w:val="13"/>
                <w:szCs w:val="13"/>
              </w:rPr>
              <w:t xml:space="preserve">]</w:t>
            </w:r>
            <w:r>
              <w:rPr>
                <w:sz w:val="16"/>
                <w:szCs w:val="16"/>
              </w:rPr>
              <w:t xml:space="preserve">.</w:t>
            </w:r>
          </w:p>
        </w:tc>
      </w:tr>
      <w:tr>
        <w:tc>
          <w:tcPr>
            <w:tcW w:type="dxa" w:w="1500"/>
            <w:tcBorders>
              <w:top w:val="single" w:color="D3DBE1" w:sz="4"/>
              <w:left w:val="single" w:color="D3DBE1" w:sz="4"/>
              <w:bottom w:val="single" w:color="D3DBE1" w:sz="4"/>
              <w:right w:val="single" w:color="D3DBE1" w:sz="4"/>
            </w:tcBorders>
            <w:shd w:fill="EDF1F4" w:color="auto" w:val="clear"/>
            <w:tcMar>
              <w:top w:type="dxa" w:w="50"/>
              <w:left w:type="dxa" w:w="90"/>
              <w:bottom w:type="dxa" w:w="50"/>
              <w:right w:type="dxa" w:w="90"/>
            </w:tcMar>
          </w:tcPr>
          <w:p>
            <w:pPr>
              <w:spacing w:after="0"/>
            </w:pPr>
            <w:r>
              <w:rPr>
                <w:b/>
                <w:bCs/>
                <w:sz w:val="16"/>
                <w:szCs w:val="16"/>
              </w:rPr>
              <w:t xml:space="preserve">PayID</w:t>
            </w:r>
          </w:p>
        </w:tc>
        <w:tc>
          <w:tcPr>
            <w:tcW w:type="dxa" w:w="8252"/>
            <w:tcBorders>
              <w:top w:val="single" w:color="D3DBE1" w:sz="4"/>
              <w:left w:val="single" w:color="D3DBE1" w:sz="4"/>
              <w:bottom w:val="single" w:color="D3DBE1" w:sz="4"/>
              <w:right w:val="single" w:color="D3DBE1" w:sz="4"/>
            </w:tcBorders>
            <w:tcMar>
              <w:top w:type="dxa" w:w="50"/>
              <w:left w:type="dxa" w:w="90"/>
              <w:bottom w:type="dxa" w:w="50"/>
              <w:right w:type="dxa" w:w="90"/>
            </w:tcMar>
          </w:tcPr>
          <w:p>
            <w:pPr>
              <w:spacing w:after="0"/>
            </w:pPr>
            <w:r>
              <w:rPr>
                <w:sz w:val="16"/>
                <w:szCs w:val="16"/>
              </w:rPr>
              <w:t xml:space="preserve">An identifier such as an email address or phone number that replaces BSB and account numbers when paying </w:t>
            </w:r>
            <w:r>
              <w:rPr>
                <w:color w:val="B3272A"/>
                <w:sz w:val="13"/>
                <w:szCs w:val="13"/>
              </w:rPr>
              <w:t xml:space="preserve">[</w:t>
            </w:r>
            <w:hyperlink w:history="1" r:id="rId27l6rvzbj1spuasmowbuh">
              <w:r>
                <w:rPr>
                  <w:color w:val="B3272A"/>
                  <w:sz w:val="13"/>
                  <w:szCs w:val="13"/>
                  <w:u w:val="single"/>
                </w:rPr>
                <w:t xml:space="preserve">Monoova</w:t>
              </w:r>
            </w:hyperlink>
            <w:r>
              <w:rPr>
                <w:color w:val="B3272A"/>
                <w:sz w:val="13"/>
                <w:szCs w:val="13"/>
              </w:rPr>
              <w:t xml:space="preserve">]</w:t>
            </w:r>
            <w:r>
              <w:rPr>
                <w:sz w:val="16"/>
                <w:szCs w:val="16"/>
              </w:rPr>
              <w:t xml:space="preserve">.</w:t>
            </w:r>
          </w:p>
        </w:tc>
      </w:tr>
      <w:tr>
        <w:tc>
          <w:tcPr>
            <w:tcW w:type="dxa" w:w="1500"/>
            <w:tcBorders>
              <w:top w:val="single" w:color="D3DBE1" w:sz="4"/>
              <w:left w:val="single" w:color="D3DBE1" w:sz="4"/>
              <w:bottom w:val="single" w:color="D3DBE1" w:sz="4"/>
              <w:right w:val="single" w:color="D3DBE1" w:sz="4"/>
            </w:tcBorders>
            <w:shd w:fill="EDF1F4" w:color="auto" w:val="clear"/>
            <w:tcMar>
              <w:top w:type="dxa" w:w="50"/>
              <w:left w:type="dxa" w:w="90"/>
              <w:bottom w:type="dxa" w:w="50"/>
              <w:right w:type="dxa" w:w="90"/>
            </w:tcMar>
          </w:tcPr>
          <w:p>
            <w:pPr>
              <w:spacing w:after="0"/>
            </w:pPr>
            <w:r>
              <w:rPr>
                <w:b/>
                <w:bCs/>
                <w:sz w:val="16"/>
                <w:szCs w:val="16"/>
              </w:rPr>
              <w:t xml:space="preserve">PayTo</w:t>
            </w:r>
          </w:p>
        </w:tc>
        <w:tc>
          <w:tcPr>
            <w:tcW w:type="dxa" w:w="8252"/>
            <w:tcBorders>
              <w:top w:val="single" w:color="D3DBE1" w:sz="4"/>
              <w:left w:val="single" w:color="D3DBE1" w:sz="4"/>
              <w:bottom w:val="single" w:color="D3DBE1" w:sz="4"/>
              <w:right w:val="single" w:color="D3DBE1" w:sz="4"/>
            </w:tcBorders>
            <w:tcMar>
              <w:top w:type="dxa" w:w="50"/>
              <w:left w:type="dxa" w:w="90"/>
              <w:bottom w:type="dxa" w:w="50"/>
              <w:right w:type="dxa" w:w="90"/>
            </w:tcMar>
          </w:tcPr>
          <w:p>
            <w:pPr>
              <w:spacing w:after="0"/>
            </w:pPr>
            <w:r>
              <w:rPr>
                <w:sz w:val="16"/>
                <w:szCs w:val="16"/>
              </w:rPr>
              <w:t xml:space="preserve">Works “like a modern, real-time, direct debit”: the customer approves a digital agreement in their mobile or online banking, then the business can request payments that transfer instantly </w:t>
            </w:r>
            <w:r>
              <w:rPr>
                <w:color w:val="B3272A"/>
                <w:sz w:val="13"/>
                <w:szCs w:val="13"/>
              </w:rPr>
              <w:t xml:space="preserve">[</w:t>
            </w:r>
            <w:hyperlink w:history="1" r:id="rId1wuvtzd6nhcqbispbh1b0">
              <w:r>
                <w:rPr>
                  <w:color w:val="B3272A"/>
                  <w:sz w:val="13"/>
                  <w:szCs w:val="13"/>
                  <w:u w:val="single"/>
                </w:rPr>
                <w:t xml:space="preserve">Monoova</w:t>
              </w:r>
            </w:hyperlink>
            <w:r>
              <w:rPr>
                <w:color w:val="B3272A"/>
                <w:sz w:val="13"/>
                <w:szCs w:val="13"/>
              </w:rPr>
              <w:t xml:space="preserve">]</w:t>
            </w:r>
            <w:r>
              <w:rPr>
                <w:sz w:val="16"/>
                <w:szCs w:val="16"/>
              </w:rPr>
              <w:t xml:space="preserve">.</w:t>
            </w:r>
          </w:p>
        </w:tc>
      </w:tr>
      <w:tr>
        <w:tc>
          <w:tcPr>
            <w:tcW w:type="dxa" w:w="1500"/>
            <w:tcBorders>
              <w:top w:val="single" w:color="D3DBE1" w:sz="4"/>
              <w:left w:val="single" w:color="D3DBE1" w:sz="4"/>
              <w:bottom w:val="single" w:color="D3DBE1" w:sz="4"/>
              <w:right w:val="single" w:color="D3DBE1" w:sz="4"/>
            </w:tcBorders>
            <w:shd w:fill="EDF1F4" w:color="auto" w:val="clear"/>
            <w:tcMar>
              <w:top w:type="dxa" w:w="50"/>
              <w:left w:type="dxa" w:w="90"/>
              <w:bottom w:type="dxa" w:w="50"/>
              <w:right w:type="dxa" w:w="90"/>
            </w:tcMar>
          </w:tcPr>
          <w:p>
            <w:pPr>
              <w:spacing w:after="0"/>
            </w:pPr>
            <w:r>
              <w:rPr>
                <w:b/>
                <w:bCs/>
                <w:sz w:val="16"/>
                <w:szCs w:val="16"/>
              </w:rPr>
              <w:t xml:space="preserve">API</w:t>
            </w:r>
          </w:p>
        </w:tc>
        <w:tc>
          <w:tcPr>
            <w:tcW w:type="dxa" w:w="8252"/>
            <w:tcBorders>
              <w:top w:val="single" w:color="D3DBE1" w:sz="4"/>
              <w:left w:val="single" w:color="D3DBE1" w:sz="4"/>
              <w:bottom w:val="single" w:color="D3DBE1" w:sz="4"/>
              <w:right w:val="single" w:color="D3DBE1" w:sz="4"/>
            </w:tcBorders>
            <w:tcMar>
              <w:top w:type="dxa" w:w="50"/>
              <w:left w:type="dxa" w:w="90"/>
              <w:bottom w:type="dxa" w:w="50"/>
              <w:right w:type="dxa" w:w="90"/>
            </w:tcMar>
          </w:tcPr>
          <w:p>
            <w:pPr>
              <w:spacing w:after="0"/>
            </w:pPr>
            <w:r>
              <w:rPr>
                <w:sz w:val="16"/>
                <w:szCs w:val="16"/>
              </w:rPr>
              <w:t xml:space="preserve">A direct connection between software systems; in payments, “a single API integration connects real-time payments directly to an organisation’s software system” </w:t>
            </w:r>
            <w:r>
              <w:rPr>
                <w:color w:val="B3272A"/>
                <w:sz w:val="13"/>
                <w:szCs w:val="13"/>
              </w:rPr>
              <w:t xml:space="preserve">[</w:t>
            </w:r>
            <w:hyperlink w:history="1" r:id="rIdbpjgpbw7aehgjs8jtmyoh">
              <w:r>
                <w:rPr>
                  <w:color w:val="B3272A"/>
                  <w:sz w:val="13"/>
                  <w:szCs w:val="13"/>
                  <w:u w:val="single"/>
                </w:rPr>
                <w:t xml:space="preserve">AusPayPlus</w:t>
              </w:r>
            </w:hyperlink>
            <w:r>
              <w:rPr>
                <w:color w:val="B3272A"/>
                <w:sz w:val="13"/>
                <w:szCs w:val="13"/>
              </w:rPr>
              <w:t xml:space="preserve">]</w:t>
            </w:r>
            <w:r>
              <w:rPr>
                <w:sz w:val="16"/>
                <w:szCs w:val="16"/>
              </w:rPr>
              <w:t xml:space="preserve">.</w:t>
            </w:r>
          </w:p>
        </w:tc>
      </w:tr>
      <w:tr>
        <w:tc>
          <w:tcPr>
            <w:tcW w:type="dxa" w:w="1500"/>
            <w:tcBorders>
              <w:top w:val="single" w:color="D3DBE1" w:sz="4"/>
              <w:left w:val="single" w:color="D3DBE1" w:sz="4"/>
              <w:bottom w:val="single" w:color="D3DBE1" w:sz="4"/>
              <w:right w:val="single" w:color="D3DBE1" w:sz="4"/>
            </w:tcBorders>
            <w:shd w:fill="EDF1F4" w:color="auto" w:val="clear"/>
            <w:tcMar>
              <w:top w:type="dxa" w:w="50"/>
              <w:left w:type="dxa" w:w="90"/>
              <w:bottom w:type="dxa" w:w="50"/>
              <w:right w:type="dxa" w:w="90"/>
            </w:tcMar>
          </w:tcPr>
          <w:p>
            <w:pPr>
              <w:spacing w:after="0"/>
            </w:pPr>
            <w:r>
              <w:rPr>
                <w:b/>
                <w:bCs/>
                <w:sz w:val="16"/>
                <w:szCs w:val="16"/>
              </w:rPr>
              <w:t xml:space="preserve">Reconciliation</w:t>
            </w:r>
          </w:p>
        </w:tc>
        <w:tc>
          <w:tcPr>
            <w:tcW w:type="dxa" w:w="8252"/>
            <w:tcBorders>
              <w:top w:val="single" w:color="D3DBE1" w:sz="4"/>
              <w:left w:val="single" w:color="D3DBE1" w:sz="4"/>
              <w:bottom w:val="single" w:color="D3DBE1" w:sz="4"/>
              <w:right w:val="single" w:color="D3DBE1" w:sz="4"/>
            </w:tcBorders>
            <w:tcMar>
              <w:top w:type="dxa" w:w="50"/>
              <w:left w:type="dxa" w:w="90"/>
              <w:bottom w:type="dxa" w:w="50"/>
              <w:right w:type="dxa" w:w="90"/>
            </w:tcMar>
          </w:tcPr>
          <w:p>
            <w:pPr>
              <w:spacing w:after="0"/>
            </w:pPr>
            <w:r>
              <w:rPr>
                <w:sz w:val="16"/>
                <w:szCs w:val="16"/>
              </w:rPr>
              <w:t xml:space="preserve">Matching each incoming payment to the customer who made it; done manually, it relies on payment references </w:t>
            </w:r>
            <w:r>
              <w:rPr>
                <w:color w:val="B3272A"/>
                <w:sz w:val="13"/>
                <w:szCs w:val="13"/>
              </w:rPr>
              <w:t xml:space="preserve">[</w:t>
            </w:r>
            <w:hyperlink w:history="1" r:id="rIdz-y6y8joeaac4sbf8je37">
              <w:r>
                <w:rPr>
                  <w:color w:val="B3272A"/>
                  <w:sz w:val="13"/>
                  <w:szCs w:val="13"/>
                  <w:u w:val="single"/>
                </w:rPr>
                <w:t xml:space="preserve">AusPayPlus</w:t>
              </w:r>
            </w:hyperlink>
            <w:r>
              <w:rPr>
                <w:color w:val="B3272A"/>
                <w:sz w:val="13"/>
                <w:szCs w:val="13"/>
              </w:rPr>
              <w:t xml:space="preserve">]</w:t>
            </w:r>
            <w:r>
              <w:rPr>
                <w:sz w:val="16"/>
                <w:szCs w:val="16"/>
              </w:rPr>
              <w:t xml:space="preserve">.</w:t>
            </w:r>
          </w:p>
        </w:tc>
      </w:tr>
      <w:tr>
        <w:tc>
          <w:tcPr>
            <w:tcW w:type="dxa" w:w="1500"/>
            <w:tcBorders>
              <w:top w:val="single" w:color="D3DBE1" w:sz="4"/>
              <w:left w:val="single" w:color="D3DBE1" w:sz="4"/>
              <w:bottom w:val="single" w:color="D3DBE1" w:sz="4"/>
              <w:right w:val="single" w:color="D3DBE1" w:sz="4"/>
            </w:tcBorders>
            <w:shd w:fill="EDF1F4" w:color="auto" w:val="clear"/>
            <w:tcMar>
              <w:top w:type="dxa" w:w="50"/>
              <w:left w:type="dxa" w:w="90"/>
              <w:bottom w:type="dxa" w:w="50"/>
              <w:right w:type="dxa" w:w="90"/>
            </w:tcMar>
          </w:tcPr>
          <w:p>
            <w:pPr>
              <w:spacing w:after="0"/>
            </w:pPr>
            <w:r>
              <w:rPr>
                <w:b/>
                <w:bCs/>
                <w:sz w:val="16"/>
                <w:szCs w:val="16"/>
              </w:rPr>
              <w:t xml:space="preserve">Tokenisation</w:t>
            </w:r>
          </w:p>
        </w:tc>
        <w:tc>
          <w:tcPr>
            <w:tcW w:type="dxa" w:w="8252"/>
            <w:tcBorders>
              <w:top w:val="single" w:color="D3DBE1" w:sz="4"/>
              <w:left w:val="single" w:color="D3DBE1" w:sz="4"/>
              <w:bottom w:val="single" w:color="D3DBE1" w:sz="4"/>
              <w:right w:val="single" w:color="D3DBE1" w:sz="4"/>
            </w:tcBorders>
            <w:tcMar>
              <w:top w:type="dxa" w:w="50"/>
              <w:left w:type="dxa" w:w="90"/>
              <w:bottom w:type="dxa" w:w="50"/>
              <w:right w:type="dxa" w:w="90"/>
            </w:tcMar>
          </w:tcPr>
          <w:p>
            <w:pPr>
              <w:spacing w:after="0"/>
            </w:pPr>
            <w:r>
              <w:rPr>
                <w:sz w:val="16"/>
                <w:szCs w:val="16"/>
              </w:rPr>
              <w:t xml:space="preserve">Recording “ownership of financial products and services as digital tokens”, with the rules of the asset programmed in </w:t>
            </w:r>
            <w:r>
              <w:rPr>
                <w:color w:val="B3272A"/>
                <w:sz w:val="13"/>
                <w:szCs w:val="13"/>
              </w:rPr>
              <w:t xml:space="preserve">[</w:t>
            </w:r>
            <w:hyperlink w:history="1" r:id="rIdrtlmprb2wirrmysholrdb">
              <w:r>
                <w:rPr>
                  <w:color w:val="B3272A"/>
                  <w:sz w:val="13"/>
                  <w:szCs w:val="13"/>
                  <w:u w:val="single"/>
                </w:rPr>
                <w:t xml:space="preserve">Tokeniser</w:t>
              </w:r>
            </w:hyperlink>
            <w:r>
              <w:rPr>
                <w:color w:val="B3272A"/>
                <w:sz w:val="13"/>
                <w:szCs w:val="13"/>
              </w:rPr>
              <w:t xml:space="preserve">]</w:t>
            </w:r>
            <w:r>
              <w:rPr>
                <w:sz w:val="16"/>
                <w:szCs w:val="16"/>
              </w:rPr>
              <w:t xml:space="preserve">.</w:t>
            </w:r>
          </w:p>
        </w:tc>
      </w:tr>
      <w:tr>
        <w:tc>
          <w:tcPr>
            <w:tcW w:type="dxa" w:w="1500"/>
            <w:tcBorders>
              <w:top w:val="single" w:color="D3DBE1" w:sz="4"/>
              <w:left w:val="single" w:color="D3DBE1" w:sz="4"/>
              <w:bottom w:val="single" w:color="D3DBE1" w:sz="4"/>
              <w:right w:val="single" w:color="D3DBE1" w:sz="4"/>
            </w:tcBorders>
            <w:shd w:fill="EDF1F4" w:color="auto" w:val="clear"/>
            <w:tcMar>
              <w:top w:type="dxa" w:w="50"/>
              <w:left w:type="dxa" w:w="90"/>
              <w:bottom w:type="dxa" w:w="50"/>
              <w:right w:type="dxa" w:w="90"/>
            </w:tcMar>
          </w:tcPr>
          <w:p>
            <w:pPr>
              <w:spacing w:after="0"/>
            </w:pPr>
            <w:r>
              <w:rPr>
                <w:b/>
                <w:bCs/>
                <w:sz w:val="16"/>
                <w:szCs w:val="16"/>
              </w:rPr>
              <w:t xml:space="preserve">T+2 / T+0</w:t>
            </w:r>
          </w:p>
        </w:tc>
        <w:tc>
          <w:tcPr>
            <w:tcW w:type="dxa" w:w="8252"/>
            <w:tcBorders>
              <w:top w:val="single" w:color="D3DBE1" w:sz="4"/>
              <w:left w:val="single" w:color="D3DBE1" w:sz="4"/>
              <w:bottom w:val="single" w:color="D3DBE1" w:sz="4"/>
              <w:right w:val="single" w:color="D3DBE1" w:sz="4"/>
            </w:tcBorders>
            <w:tcMar>
              <w:top w:type="dxa" w:w="50"/>
              <w:left w:type="dxa" w:w="90"/>
              <w:bottom w:type="dxa" w:w="50"/>
              <w:right w:type="dxa" w:w="90"/>
            </w:tcMar>
          </w:tcPr>
          <w:p>
            <w:pPr>
              <w:spacing w:after="0"/>
            </w:pPr>
            <w:r>
              <w:rPr>
                <w:sz w:val="16"/>
                <w:szCs w:val="16"/>
              </w:rPr>
              <w:t xml:space="preserve">Settlement two business days after a trade, as in listed funds, versus settlement at the point of trade </w:t>
            </w:r>
            <w:r>
              <w:rPr>
                <w:color w:val="B3272A"/>
                <w:sz w:val="13"/>
                <w:szCs w:val="13"/>
              </w:rPr>
              <w:t xml:space="preserve">[</w:t>
            </w:r>
            <w:hyperlink w:history="1" r:id="rIdubmgnjbg5kcbdxddlokae">
              <w:r>
                <w:rPr>
                  <w:color w:val="B3272A"/>
                  <w:sz w:val="13"/>
                  <w:szCs w:val="13"/>
                  <w:u w:val="single"/>
                </w:rPr>
                <w:t xml:space="preserve">Tokeniser/settlement</w:t>
              </w:r>
            </w:hyperlink>
            <w:r>
              <w:rPr>
                <w:color w:val="B3272A"/>
                <w:sz w:val="13"/>
                <w:szCs w:val="13"/>
              </w:rPr>
              <w:t xml:space="preserve">]</w:t>
            </w:r>
            <w:r>
              <w:rPr>
                <w:sz w:val="16"/>
                <w:szCs w:val="16"/>
              </w:rPr>
              <w:t xml:space="preserve">.</w:t>
            </w:r>
          </w:p>
        </w:tc>
      </w:tr>
    </w:tbl>
    <w:p>
      <w:pPr>
        <w:pStyle w:val="Heading1"/>
      </w:pPr>
      <w:r>
        <w:t xml:space="preserve">2. Professional background</w:t>
      </w:r>
    </w:p>
    <w:p>
      <w:pPr>
        <w:pStyle w:val="Heading2"/>
      </w:pPr>
      <w:r>
        <w:t xml:space="preserve">Monoova: co-founder and CEO, almost ten years to 2026</w:t>
      </w:r>
    </w:p>
    <w:p>
      <w:pPr>
        <w:pStyle w:val="ListParagraph"/>
        <w:numPr>
          <w:ilvl w:val="0"/>
          <w:numId w:val="2"/>
        </w:numPr>
        <w:spacing w:after="70"/>
      </w:pPr>
      <w:r>
        <w:t xml:space="preserve">Monoova is a payment service provider. In his words, it specialises “in real-time payments and payments automation for businesses”, and its APIs let companies “tailor how they receive, manage and pay funds” </w:t>
      </w:r>
      <w:r>
        <w:rPr>
          <w:color w:val="B3272A"/>
          <w:sz w:val="13"/>
          <w:szCs w:val="13"/>
        </w:rPr>
        <w:t xml:space="preserve">[</w:t>
      </w:r>
      <w:hyperlink w:history="1" r:id="rIdzombjp9xjxolmkttcylxf">
        <w:r>
          <w:rPr>
            <w:color w:val="B3272A"/>
            <w:sz w:val="13"/>
            <w:szCs w:val="13"/>
            <w:u w:val="single"/>
          </w:rPr>
          <w:t xml:space="preserve">Monoova</w:t>
        </w:r>
      </w:hyperlink>
      <w:r>
        <w:rPr>
          <w:color w:val="B3272A"/>
          <w:sz w:val="13"/>
          <w:szCs w:val="13"/>
        </w:rPr>
        <w:t xml:space="preserve">]</w:t>
      </w:r>
      <w:r>
        <w:t xml:space="preserve">.</w:t>
      </w:r>
    </w:p>
    <w:p>
      <w:pPr>
        <w:pStyle w:val="ListParagraph"/>
        <w:numPr>
          <w:ilvl w:val="0"/>
          <w:numId w:val="2"/>
        </w:numPr>
        <w:spacing w:after="70"/>
      </w:pPr>
      <w:r>
        <w:t xml:space="preserve">According to Redbelly, by the end of his tenure Monoova had processed $200bn, transacting with more than 10% of all Australians by acting “behind the scenes” of other brands </w:t>
      </w:r>
      <w:r>
        <w:rPr>
          <w:color w:val="B3272A"/>
          <w:sz w:val="13"/>
          <w:szCs w:val="13"/>
        </w:rPr>
        <w:t xml:space="preserve">[</w:t>
      </w:r>
      <w:hyperlink w:history="1" r:id="rIdwajolq6elokj-c-0hyniz">
        <w:r>
          <w:rPr>
            <w:color w:val="B3272A"/>
            <w:sz w:val="13"/>
            <w:szCs w:val="13"/>
            <w:u w:val="single"/>
          </w:rPr>
          <w:t xml:space="preserve">Redbelly</w:t>
        </w:r>
      </w:hyperlink>
      <w:r>
        <w:rPr>
          <w:color w:val="B3272A"/>
          <w:sz w:val="13"/>
          <w:szCs w:val="13"/>
        </w:rPr>
        <w:t xml:space="preserve">]</w:t>
      </w:r>
      <w:r>
        <w:t xml:space="preserve">. It became Australia’s largest PayTo processor, issued almost a quarter of the country’s PayIDs and won FinTech Australia’s Fintech Organisation of the Year </w:t>
      </w:r>
      <w:r>
        <w:rPr>
          <w:color w:val="B3272A"/>
          <w:sz w:val="13"/>
          <w:szCs w:val="13"/>
        </w:rPr>
        <w:t xml:space="preserve">[</w:t>
      </w:r>
      <w:hyperlink w:history="1" r:id="rIdbvpphjk-dfa7eoo6j8jek">
        <w:r>
          <w:rPr>
            <w:color w:val="B3272A"/>
            <w:sz w:val="13"/>
            <w:szCs w:val="13"/>
            <w:u w:val="single"/>
          </w:rPr>
          <w:t xml:space="preserve">Redbelly</w:t>
        </w:r>
      </w:hyperlink>
      <w:r>
        <w:rPr>
          <w:color w:val="B3272A"/>
          <w:sz w:val="13"/>
          <w:szCs w:val="13"/>
        </w:rPr>
        <w:t xml:space="preserve">]</w:t>
      </w:r>
      <w:r>
        <w:t xml:space="preserve">. Clients included Wise and Carsales.com.au </w:t>
      </w:r>
      <w:r>
        <w:rPr>
          <w:color w:val="B3272A"/>
          <w:sz w:val="13"/>
          <w:szCs w:val="13"/>
        </w:rPr>
        <w:t xml:space="preserve">[</w:t>
      </w:r>
      <w:hyperlink w:history="1" r:id="rIdp9saxltfqztoak4srcuom">
        <w:r>
          <w:rPr>
            <w:color w:val="B3272A"/>
            <w:sz w:val="13"/>
            <w:szCs w:val="13"/>
            <w:u w:val="single"/>
          </w:rPr>
          <w:t xml:space="preserve">Redbelly</w:t>
        </w:r>
      </w:hyperlink>
      <w:r>
        <w:rPr>
          <w:color w:val="B3272A"/>
          <w:sz w:val="13"/>
          <w:szCs w:val="13"/>
        </w:rPr>
        <w:t xml:space="preserve">]</w:t>
      </w:r>
      <w:r>
        <w:t xml:space="preserve">.</w:t>
      </w:r>
    </w:p>
    <w:p>
      <w:pPr>
        <w:pStyle w:val="ListParagraph"/>
        <w:numPr>
          <w:ilvl w:val="0"/>
          <w:numId w:val="2"/>
        </w:numPr>
        <w:spacing w:after="70"/>
      </w:pPr>
      <w:r>
        <w:t xml:space="preserve">Monoova was “one of a very small group of non-banks” enabled on the NPP </w:t>
      </w:r>
      <w:r>
        <w:rPr>
          <w:color w:val="B3272A"/>
          <w:sz w:val="13"/>
          <w:szCs w:val="13"/>
        </w:rPr>
        <w:t xml:space="preserve">[</w:t>
      </w:r>
      <w:hyperlink w:history="1" r:id="rIddw7-f4dratbxzmz5ezuuk">
        <w:r>
          <w:rPr>
            <w:color w:val="B3272A"/>
            <w:sz w:val="13"/>
            <w:szCs w:val="13"/>
            <w:u w:val="single"/>
          </w:rPr>
          <w:t xml:space="preserve">Talking Business</w:t>
        </w:r>
      </w:hyperlink>
      <w:r>
        <w:rPr>
          <w:color w:val="B3272A"/>
          <w:sz w:val="13"/>
          <w:szCs w:val="13"/>
        </w:rPr>
        <w:t xml:space="preserve">]</w:t>
      </w:r>
      <w:r>
        <w:t xml:space="preserve">.</w:t>
      </w:r>
    </w:p>
    <w:p>
      <w:pPr>
        <w:pStyle w:val="ListParagraph"/>
        <w:numPr>
          <w:ilvl w:val="0"/>
          <w:numId w:val="2"/>
        </w:numPr>
        <w:spacing w:after="70"/>
      </w:pPr>
      <w:r>
        <w:t xml:space="preserve">In an Australian Payments Plus (AP+) case study he argued that “if a real-time payment is only ‘noticed’ when someone logs on to their banking portal, the onward payment flow is not real-time” </w:t>
      </w:r>
      <w:r>
        <w:rPr>
          <w:color w:val="B3272A"/>
          <w:sz w:val="13"/>
          <w:szCs w:val="13"/>
        </w:rPr>
        <w:t xml:space="preserve">[</w:t>
      </w:r>
      <w:hyperlink w:history="1" r:id="rIdguomlwusc5t4dmxstdfpx">
        <w:r>
          <w:rPr>
            <w:color w:val="B3272A"/>
            <w:sz w:val="13"/>
            <w:szCs w:val="13"/>
            <w:u w:val="single"/>
          </w:rPr>
          <w:t xml:space="preserve">AusPayPlus</w:t>
        </w:r>
      </w:hyperlink>
      <w:r>
        <w:rPr>
          <w:color w:val="B3272A"/>
          <w:sz w:val="13"/>
          <w:szCs w:val="13"/>
        </w:rPr>
        <w:t xml:space="preserve">]</w:t>
      </w:r>
      <w:r>
        <w:t xml:space="preserve">. Monoova’s “Automatcher” issues unique, repeat-use PayIDs so incoming payments can be reconciled without manual references </w:t>
      </w:r>
      <w:r>
        <w:rPr>
          <w:color w:val="B3272A"/>
          <w:sz w:val="13"/>
          <w:szCs w:val="13"/>
        </w:rPr>
        <w:t xml:space="preserve">[</w:t>
      </w:r>
      <w:hyperlink w:history="1" r:id="rIdsyluu9fikb5texb-ditvx">
        <w:r>
          <w:rPr>
            <w:color w:val="B3272A"/>
            <w:sz w:val="13"/>
            <w:szCs w:val="13"/>
            <w:u w:val="single"/>
          </w:rPr>
          <w:t xml:space="preserve">AusPayPlus</w:t>
        </w:r>
      </w:hyperlink>
      <w:r>
        <w:rPr>
          <w:color w:val="B3272A"/>
          <w:sz w:val="13"/>
          <w:szCs w:val="13"/>
        </w:rPr>
        <w:t xml:space="preserve">]</w:t>
      </w:r>
      <w:r>
        <w:t xml:space="preserve">.</w:t>
      </w:r>
    </w:p>
    <w:p>
      <w:pPr>
        <w:pStyle w:val="Heading2"/>
      </w:pPr>
      <w:r>
        <w:t xml:space="preserve">Industry roles</w:t>
      </w:r>
    </w:p>
    <w:p>
      <w:pPr>
        <w:pStyle w:val="ListParagraph"/>
        <w:numPr>
          <w:ilvl w:val="0"/>
          <w:numId w:val="2"/>
        </w:numPr>
        <w:spacing w:after="70"/>
      </w:pPr>
      <w:r>
        <w:t xml:space="preserve">He has served on the boards of FinTech Australia and the Australian Payments Network (AusPayNet) </w:t>
      </w:r>
      <w:r>
        <w:rPr>
          <w:color w:val="B3272A"/>
          <w:sz w:val="13"/>
          <w:szCs w:val="13"/>
        </w:rPr>
        <w:t xml:space="preserve">[</w:t>
      </w:r>
      <w:hyperlink w:history="1" r:id="rIdvuhgla8abhzrtmkcaffgs">
        <w:r>
          <w:rPr>
            <w:color w:val="B3272A"/>
            <w:sz w:val="13"/>
            <w:szCs w:val="13"/>
            <w:u w:val="single"/>
          </w:rPr>
          <w:t xml:space="preserve">Redbelly</w:t>
        </w:r>
      </w:hyperlink>
      <w:r>
        <w:rPr>
          <w:color w:val="B3272A"/>
          <w:sz w:val="13"/>
          <w:szCs w:val="13"/>
        </w:rPr>
        <w:t xml:space="preserve"> · </w:t>
      </w:r>
      <w:hyperlink w:history="1" r:id="rIdtlss7mdmtqrhpgqgezrtk">
        <w:r>
          <w:rPr>
            <w:color w:val="B3272A"/>
            <w:sz w:val="13"/>
            <w:szCs w:val="13"/>
            <w:u w:val="single"/>
          </w:rPr>
          <w:t xml:space="preserve">SMB Tech</w:t>
        </w:r>
      </w:hyperlink>
      <w:r>
        <w:rPr>
          <w:color w:val="B3272A"/>
          <w:sz w:val="13"/>
          <w:szCs w:val="13"/>
        </w:rPr>
        <w:t xml:space="preserve">]</w:t>
      </w:r>
      <w:r>
        <w:t xml:space="preserve">: as Director and Treasurer of FinTech Australia </w:t>
      </w:r>
      <w:r>
        <w:rPr>
          <w:color w:val="B3272A"/>
          <w:sz w:val="13"/>
          <w:szCs w:val="13"/>
        </w:rPr>
        <w:t xml:space="preserve">[</w:t>
      </w:r>
      <w:hyperlink w:history="1" r:id="rIdb3u668qwk8ubiermwvh9r">
        <w:r>
          <w:rPr>
            <w:color w:val="B3272A"/>
            <w:sz w:val="13"/>
            <w:szCs w:val="13"/>
            <w:u w:val="single"/>
          </w:rPr>
          <w:t xml:space="preserve">LinkedIn</w:t>
        </w:r>
      </w:hyperlink>
      <w:r>
        <w:rPr>
          <w:color w:val="B3272A"/>
          <w:sz w:val="13"/>
          <w:szCs w:val="13"/>
        </w:rPr>
        <w:t xml:space="preserve">]</w:t>
      </w:r>
      <w:r>
        <w:t xml:space="preserve"> and as an Alternate Director of AusPayNet </w:t>
      </w:r>
      <w:r>
        <w:rPr>
          <w:color w:val="B3272A"/>
          <w:sz w:val="13"/>
          <w:szCs w:val="13"/>
        </w:rPr>
        <w:t xml:space="preserve">[</w:t>
      </w:r>
      <w:hyperlink w:history="1" r:id="rId-ovfosj6ufp7htnlklzok">
        <w:r>
          <w:rPr>
            <w:color w:val="B3272A"/>
            <w:sz w:val="13"/>
            <w:szCs w:val="13"/>
            <w:u w:val="single"/>
          </w:rPr>
          <w:t xml:space="preserve">Banking Day</w:t>
        </w:r>
      </w:hyperlink>
      <w:r>
        <w:rPr>
          <w:color w:val="B3272A"/>
          <w:sz w:val="13"/>
          <w:szCs w:val="13"/>
        </w:rPr>
        <w:t xml:space="preserve"> · </w:t>
      </w:r>
      <w:hyperlink w:history="1" r:id="rIdifepu3wwz-fppivvrcpno">
        <w:r>
          <w:rPr>
            <w:color w:val="B3272A"/>
            <w:sz w:val="13"/>
            <w:szCs w:val="13"/>
            <w:u w:val="single"/>
          </w:rPr>
          <w:t xml:space="preserve">LinkedIn</w:t>
        </w:r>
      </w:hyperlink>
      <w:r>
        <w:rPr>
          <w:color w:val="B3272A"/>
          <w:sz w:val="13"/>
          <w:szCs w:val="13"/>
        </w:rPr>
        <w:t xml:space="preserve">]</w:t>
      </w:r>
      <w:r>
        <w:t xml:space="preserve">.</w:t>
      </w:r>
    </w:p>
    <w:p>
      <w:pPr>
        <w:pStyle w:val="ListParagraph"/>
        <w:numPr>
          <w:ilvl w:val="0"/>
          <w:numId w:val="2"/>
        </w:numPr>
        <w:spacing w:after="70"/>
      </w:pPr>
      <w:r>
        <w:t xml:space="preserve">AusPayNet describes its role as including “facilitating self-regulation” and “coordinating system-wide standards” for the payments system, with more than 150 members and participants </w:t>
      </w:r>
      <w:r>
        <w:rPr>
          <w:color w:val="B3272A"/>
          <w:sz w:val="13"/>
          <w:szCs w:val="13"/>
        </w:rPr>
        <w:t xml:space="preserve">[</w:t>
      </w:r>
      <w:hyperlink w:history="1" r:id="rIdzzmbgypjfc4lkdejtkgq8">
        <w:r>
          <w:rPr>
            <w:color w:val="B3272A"/>
            <w:sz w:val="13"/>
            <w:szCs w:val="13"/>
            <w:u w:val="single"/>
          </w:rPr>
          <w:t xml:space="preserve">AusPayNet</w:t>
        </w:r>
      </w:hyperlink>
      <w:r>
        <w:rPr>
          <w:color w:val="B3272A"/>
          <w:sz w:val="13"/>
          <w:szCs w:val="13"/>
        </w:rPr>
        <w:t xml:space="preserve">]</w:t>
      </w:r>
      <w:r>
        <w:t xml:space="preserve">.</w:t>
      </w:r>
    </w:p>
    <w:p>
      <w:pPr>
        <w:pStyle w:val="Heading2"/>
      </w:pPr>
      <w:r>
        <w:t xml:space="preserve">Before Monoova</w:t>
      </w:r>
    </w:p>
    <w:p>
      <w:pPr>
        <w:pStyle w:val="ListParagraph"/>
        <w:numPr>
          <w:ilvl w:val="0"/>
          <w:numId w:val="2"/>
        </w:numPr>
        <w:spacing w:after="70"/>
      </w:pPr>
      <w:r>
        <w:t xml:space="preserve">He holds a PhD from the University of Oxford </w:t>
      </w:r>
      <w:r>
        <w:rPr>
          <w:color w:val="B3272A"/>
          <w:sz w:val="13"/>
          <w:szCs w:val="13"/>
        </w:rPr>
        <w:t xml:space="preserve">[</w:t>
      </w:r>
      <w:hyperlink w:history="1" r:id="rIdhthdymxbydmmj5xleeeny">
        <w:r>
          <w:rPr>
            <w:color w:val="B3272A"/>
            <w:sz w:val="13"/>
            <w:szCs w:val="13"/>
            <w:u w:val="single"/>
          </w:rPr>
          <w:t xml:space="preserve">Business Conversation</w:t>
        </w:r>
      </w:hyperlink>
      <w:r>
        <w:rPr>
          <w:color w:val="B3272A"/>
          <w:sz w:val="13"/>
          <w:szCs w:val="13"/>
        </w:rPr>
        <w:t xml:space="preserve"> · </w:t>
      </w:r>
      <w:hyperlink w:history="1" r:id="rId9rogsze5ldws9mvshii6v">
        <w:r>
          <w:rPr>
            <w:color w:val="B3272A"/>
            <w:sz w:val="13"/>
            <w:szCs w:val="13"/>
            <w:u w:val="single"/>
          </w:rPr>
          <w:t xml:space="preserve">Talking Business</w:t>
        </w:r>
      </w:hyperlink>
      <w:r>
        <w:rPr>
          <w:color w:val="B3272A"/>
          <w:sz w:val="13"/>
          <w:szCs w:val="13"/>
        </w:rPr>
        <w:t xml:space="preserve"> · </w:t>
      </w:r>
      <w:hyperlink w:history="1" r:id="rId80aow4nbxvtg-n3904hgs">
        <w:r>
          <w:rPr>
            <w:color w:val="B3272A"/>
            <w:sz w:val="13"/>
            <w:szCs w:val="13"/>
            <w:u w:val="single"/>
          </w:rPr>
          <w:t xml:space="preserve">Prospect</w:t>
        </w:r>
      </w:hyperlink>
      <w:r>
        <w:rPr>
          <w:color w:val="B3272A"/>
          <w:sz w:val="13"/>
          <w:szCs w:val="13"/>
        </w:rPr>
        <w:t xml:space="preserve">]</w:t>
      </w:r>
      <w:r>
        <w:t xml:space="preserve">; his profile dates the doctorate 2008 to 2012 </w:t>
      </w:r>
      <w:r>
        <w:rPr>
          <w:color w:val="B3272A"/>
          <w:sz w:val="13"/>
          <w:szCs w:val="13"/>
        </w:rPr>
        <w:t xml:space="preserve">[</w:t>
      </w:r>
      <w:hyperlink w:history="1" r:id="rIdffy3ippgkh0g3fapniyoe">
        <w:r>
          <w:rPr>
            <w:color w:val="B3272A"/>
            <w:sz w:val="13"/>
            <w:szCs w:val="13"/>
            <w:u w:val="single"/>
          </w:rPr>
          <w:t xml:space="preserve">LinkedIn</w:t>
        </w:r>
      </w:hyperlink>
      <w:r>
        <w:rPr>
          <w:color w:val="B3272A"/>
          <w:sz w:val="13"/>
          <w:szCs w:val="13"/>
        </w:rPr>
        <w:t xml:space="preserve">]</w:t>
      </w:r>
      <w:r>
        <w:t xml:space="preserve">. As a doctoral student he worked with Robert Skidelsky “at the intersection of economic policy and theory” and co-edited </w:t>
      </w:r>
      <w:r>
        <w:rPr>
          <w:i/>
          <w:iCs/>
        </w:rPr>
        <w:t xml:space="preserve">The Economic Crisis and the State of Economics</w:t>
      </w:r>
      <w:r>
        <w:t xml:space="preserve"> (Palgrave Macmillan) </w:t>
      </w:r>
      <w:r>
        <w:rPr>
          <w:color w:val="B3272A"/>
          <w:sz w:val="13"/>
          <w:szCs w:val="13"/>
        </w:rPr>
        <w:t xml:space="preserve">[</w:t>
      </w:r>
      <w:hyperlink w:history="1" r:id="rIdltc4ynanxsbxotja1sdvm">
        <w:r>
          <w:rPr>
            <w:color w:val="B3272A"/>
            <w:sz w:val="13"/>
            <w:szCs w:val="13"/>
            <w:u w:val="single"/>
          </w:rPr>
          <w:t xml:space="preserve">INET</w:t>
        </w:r>
      </w:hyperlink>
      <w:r>
        <w:rPr>
          <w:color w:val="B3272A"/>
          <w:sz w:val="13"/>
          <w:szCs w:val="13"/>
        </w:rPr>
        <w:t xml:space="preserve">]</w:t>
      </w:r>
      <w:r>
        <w:t xml:space="preserve">.</w:t>
      </w:r>
    </w:p>
    <w:p>
      <w:pPr>
        <w:pStyle w:val="ListParagraph"/>
        <w:numPr>
          <w:ilvl w:val="0"/>
          <w:numId w:val="2"/>
        </w:numPr>
        <w:spacing w:after="70"/>
      </w:pPr>
      <w:r>
        <w:t xml:space="preserve">While completing the PhD he worked as an economic advisor and speechwriter in the UK Parliament, in the House of Lords </w:t>
      </w:r>
      <w:r>
        <w:rPr>
          <w:color w:val="B3272A"/>
          <w:sz w:val="13"/>
          <w:szCs w:val="13"/>
        </w:rPr>
        <w:t xml:space="preserve">[</w:t>
      </w:r>
      <w:hyperlink w:history="1" r:id="rIdkuw0jy4i3ssg1sibd1-xg">
        <w:r>
          <w:rPr>
            <w:color w:val="B3272A"/>
            <w:sz w:val="13"/>
            <w:szCs w:val="13"/>
            <w:u w:val="single"/>
          </w:rPr>
          <w:t xml:space="preserve">Business Conversation</w:t>
        </w:r>
      </w:hyperlink>
      <w:r>
        <w:rPr>
          <w:color w:val="B3272A"/>
          <w:sz w:val="13"/>
          <w:szCs w:val="13"/>
        </w:rPr>
        <w:t xml:space="preserve"> · </w:t>
      </w:r>
      <w:hyperlink w:history="1" r:id="rIdgnud9wfst1ahf-paijz7n">
        <w:r>
          <w:rPr>
            <w:color w:val="B3272A"/>
            <w:sz w:val="13"/>
            <w:szCs w:val="13"/>
            <w:u w:val="single"/>
          </w:rPr>
          <w:t xml:space="preserve">Talking Business</w:t>
        </w:r>
      </w:hyperlink>
      <w:r>
        <w:rPr>
          <w:color w:val="B3272A"/>
          <w:sz w:val="13"/>
          <w:szCs w:val="13"/>
        </w:rPr>
        <w:t xml:space="preserve">]</w:t>
      </w:r>
      <w:r>
        <w:t xml:space="preserve">.</w:t>
      </w:r>
    </w:p>
    <w:p>
      <w:pPr>
        <w:pStyle w:val="ListParagraph"/>
        <w:numPr>
          <w:ilvl w:val="0"/>
          <w:numId w:val="2"/>
        </w:numPr>
        <w:spacing w:after="70"/>
      </w:pPr>
      <w:r>
        <w:t xml:space="preserve">He then spent three years as Chief of Staff and Markets at a large agricultural startup in Zimbabwe </w:t>
      </w:r>
      <w:r>
        <w:rPr>
          <w:color w:val="B3272A"/>
          <w:sz w:val="13"/>
          <w:szCs w:val="13"/>
        </w:rPr>
        <w:t xml:space="preserve">[</w:t>
      </w:r>
      <w:hyperlink w:history="1" r:id="rIdjlyw9lqsadk1zujhvsusj">
        <w:r>
          <w:rPr>
            <w:color w:val="B3272A"/>
            <w:sz w:val="13"/>
            <w:szCs w:val="13"/>
            <w:u w:val="single"/>
          </w:rPr>
          <w:t xml:space="preserve">Business Conversation</w:t>
        </w:r>
      </w:hyperlink>
      <w:r>
        <w:rPr>
          <w:color w:val="B3272A"/>
          <w:sz w:val="13"/>
          <w:szCs w:val="13"/>
        </w:rPr>
        <w:t xml:space="preserve">]</w:t>
      </w:r>
      <w:r>
        <w:t xml:space="preserve">, described elsewhere as an agriculture and renewable-energy company </w:t>
      </w:r>
      <w:r>
        <w:rPr>
          <w:color w:val="B3272A"/>
          <w:sz w:val="13"/>
          <w:szCs w:val="13"/>
        </w:rPr>
        <w:t xml:space="preserve">[</w:t>
      </w:r>
      <w:hyperlink w:history="1" r:id="rIdjrrn9j3yrxgqol9fisvrw">
        <w:r>
          <w:rPr>
            <w:color w:val="B3272A"/>
            <w:sz w:val="13"/>
            <w:szCs w:val="13"/>
            <w:u w:val="single"/>
          </w:rPr>
          <w:t xml:space="preserve">Talking Business</w:t>
        </w:r>
      </w:hyperlink>
      <w:r>
        <w:rPr>
          <w:color w:val="B3272A"/>
          <w:sz w:val="13"/>
          <w:szCs w:val="13"/>
        </w:rPr>
        <w:t xml:space="preserve">]</w:t>
      </w:r>
      <w:r>
        <w:t xml:space="preserve"> based in Harare </w:t>
      </w:r>
      <w:r>
        <w:rPr>
          <w:color w:val="B3272A"/>
          <w:sz w:val="13"/>
          <w:szCs w:val="13"/>
        </w:rPr>
        <w:t xml:space="preserve">[</w:t>
      </w:r>
      <w:hyperlink w:history="1" r:id="rId8fkkyoouahx5d00qwce96">
        <w:r>
          <w:rPr>
            <w:color w:val="B3272A"/>
            <w:sz w:val="13"/>
            <w:szCs w:val="13"/>
            <w:u w:val="single"/>
          </w:rPr>
          <w:t xml:space="preserve">Prospect</w:t>
        </w:r>
      </w:hyperlink>
      <w:r>
        <w:rPr>
          <w:color w:val="B3272A"/>
          <w:sz w:val="13"/>
          <w:szCs w:val="13"/>
        </w:rPr>
        <w:t xml:space="preserve">]</w:t>
      </w:r>
      <w:r>
        <w:t xml:space="preserve">. He has also consulted for firms in Iraq, Sweden, the US and the UK </w:t>
      </w:r>
      <w:r>
        <w:rPr>
          <w:color w:val="B3272A"/>
          <w:sz w:val="13"/>
          <w:szCs w:val="13"/>
        </w:rPr>
        <w:t xml:space="preserve">[</w:t>
      </w:r>
      <w:hyperlink w:history="1" r:id="rId_l2naoc7d3_k0jyt6wys9">
        <w:r>
          <w:rPr>
            <w:color w:val="B3272A"/>
            <w:sz w:val="13"/>
            <w:szCs w:val="13"/>
            <w:u w:val="single"/>
          </w:rPr>
          <w:t xml:space="preserve">Talking Business</w:t>
        </w:r>
      </w:hyperlink>
      <w:r>
        <w:rPr>
          <w:color w:val="B3272A"/>
          <w:sz w:val="13"/>
          <w:szCs w:val="13"/>
        </w:rPr>
        <w:t xml:space="preserve">]</w:t>
      </w:r>
      <w:r>
        <w:t xml:space="preserve">.</w:t>
      </w:r>
    </w:p>
    <w:p>
      <w:pPr>
        <w:pStyle w:val="Heading1"/>
      </w:pPr>
      <w:r>
        <w:t xml:space="preserve">3. Redbelly and Tokeniser: what was announced</w:t>
      </w:r>
    </w:p>
    <w:p>
      <w:pPr>
        <w:pStyle w:val="Heading2"/>
      </w:pPr>
      <w:r>
        <w:t xml:space="preserve">Redbelly’s announcement</w:t>
      </w:r>
    </w:p>
    <w:p>
      <w:pPr>
        <w:pStyle w:val="ListParagraph"/>
        <w:numPr>
          <w:ilvl w:val="0"/>
          <w:numId w:val="2"/>
        </w:numPr>
        <w:spacing w:after="70"/>
      </w:pPr>
      <w:r>
        <w:t xml:space="preserve">Redbelly says it has spent years building “rigorous, patented technology to support the management of regulated assets”, in collaboration with regulators and the scientific community </w:t>
      </w:r>
      <w:r>
        <w:rPr>
          <w:color w:val="B3272A"/>
          <w:sz w:val="13"/>
          <w:szCs w:val="13"/>
        </w:rPr>
        <w:t xml:space="preserve">[</w:t>
      </w:r>
      <w:hyperlink w:history="1" r:id="rIdllax19lijcfytutdl3mb8">
        <w:r>
          <w:rPr>
            <w:color w:val="B3272A"/>
            <w:sz w:val="13"/>
            <w:szCs w:val="13"/>
            <w:u w:val="single"/>
          </w:rPr>
          <w:t xml:space="preserve">Redbelly</w:t>
        </w:r>
      </w:hyperlink>
      <w:r>
        <w:rPr>
          <w:color w:val="B3272A"/>
          <w:sz w:val="13"/>
          <w:szCs w:val="13"/>
        </w:rPr>
        <w:t xml:space="preserve">]</w:t>
      </w:r>
      <w:r>
        <w:t xml:space="preserve">. It describes itself as “a Layer 1 blockchain built for regulated finance, with native identity and compliance” </w:t>
      </w:r>
      <w:r>
        <w:rPr>
          <w:color w:val="B3272A"/>
          <w:sz w:val="13"/>
          <w:szCs w:val="13"/>
        </w:rPr>
        <w:t xml:space="preserve">[</w:t>
      </w:r>
      <w:hyperlink w:history="1" r:id="rIdejfsgwav0azusc0haio6d">
        <w:r>
          <w:rPr>
            <w:color w:val="B3272A"/>
            <w:sz w:val="13"/>
            <w:szCs w:val="13"/>
            <w:u w:val="single"/>
          </w:rPr>
          <w:t xml:space="preserve">Redbelly</w:t>
        </w:r>
      </w:hyperlink>
      <w:r>
        <w:rPr>
          <w:color w:val="B3272A"/>
          <w:sz w:val="13"/>
          <w:szCs w:val="13"/>
        </w:rPr>
        <w:t xml:space="preserve">]</w:t>
      </w:r>
      <w:r>
        <w:t xml:space="preserve">, and says its compliance work, including Public Digital Token Infrastructure (PDTI), is aimed at operating inside the licensed environment created by the Digital Assets Framework </w:t>
      </w:r>
      <w:r>
        <w:rPr>
          <w:color w:val="B3272A"/>
          <w:sz w:val="13"/>
          <w:szCs w:val="13"/>
        </w:rPr>
        <w:t xml:space="preserve">[</w:t>
      </w:r>
      <w:hyperlink w:history="1" r:id="rIdnybdzksd_ownuqjavfiri">
        <w:r>
          <w:rPr>
            <w:color w:val="B3272A"/>
            <w:sz w:val="13"/>
            <w:szCs w:val="13"/>
            <w:u w:val="single"/>
          </w:rPr>
          <w:t xml:space="preserve">Redbelly</w:t>
        </w:r>
      </w:hyperlink>
      <w:r>
        <w:rPr>
          <w:color w:val="B3272A"/>
          <w:sz w:val="13"/>
          <w:szCs w:val="13"/>
        </w:rPr>
        <w:t xml:space="preserve">]</w:t>
      </w:r>
      <w:r>
        <w:t xml:space="preserve">.</w:t>
      </w:r>
    </w:p>
    <w:p>
      <w:pPr>
        <w:pStyle w:val="ListParagraph"/>
        <w:numPr>
          <w:ilvl w:val="0"/>
          <w:numId w:val="2"/>
        </w:numPr>
        <w:spacing w:after="70"/>
      </w:pPr>
      <w:r>
        <w:t xml:space="preserve">Redbelly ties the appointment to an idea from his Monoova years, that “payments infrastructure must be good enough to disappear into the background”, and says he is “applying that same thesis to regulated capital-markets infrastructure” </w:t>
      </w:r>
      <w:r>
        <w:rPr>
          <w:color w:val="B3272A"/>
          <w:sz w:val="13"/>
          <w:szCs w:val="13"/>
        </w:rPr>
        <w:t xml:space="preserve">[</w:t>
      </w:r>
      <w:hyperlink w:history="1" r:id="rIdij4bbbveee6apyvosjai4">
        <w:r>
          <w:rPr>
            <w:color w:val="B3272A"/>
            <w:sz w:val="13"/>
            <w:szCs w:val="13"/>
            <w:u w:val="single"/>
          </w:rPr>
          <w:t xml:space="preserve">Redbelly</w:t>
        </w:r>
      </w:hyperlink>
      <w:r>
        <w:rPr>
          <w:color w:val="B3272A"/>
          <w:sz w:val="13"/>
          <w:szCs w:val="13"/>
        </w:rPr>
        <w:t xml:space="preserve">]</w:t>
      </w:r>
      <w:r>
        <w:t xml:space="preserve">. It positions itself as “the settlement layer for regulated markets, not just another chain chasing attention” </w:t>
      </w:r>
      <w:r>
        <w:rPr>
          <w:color w:val="B3272A"/>
          <w:sz w:val="13"/>
          <w:szCs w:val="13"/>
        </w:rPr>
        <w:t xml:space="preserve">[</w:t>
      </w:r>
      <w:hyperlink w:history="1" r:id="rIdqgtfg5qtki8a571tee0ae">
        <w:r>
          <w:rPr>
            <w:color w:val="B3272A"/>
            <w:sz w:val="13"/>
            <w:szCs w:val="13"/>
            <w:u w:val="single"/>
          </w:rPr>
          <w:t xml:space="preserve">Redbelly</w:t>
        </w:r>
      </w:hyperlink>
      <w:r>
        <w:rPr>
          <w:color w:val="B3272A"/>
          <w:sz w:val="13"/>
          <w:szCs w:val="13"/>
        </w:rPr>
        <w:t xml:space="preserve">]</w:t>
      </w:r>
      <w:r>
        <w:t xml:space="preserve">.</w:t>
      </w:r>
    </w:p>
    <w:p>
      <w:pPr>
        <w:pStyle w:val="ListParagraph"/>
        <w:numPr>
          <w:ilvl w:val="0"/>
          <w:numId w:val="2"/>
        </w:numPr>
        <w:spacing w:after="70"/>
      </w:pPr>
      <w:r>
        <w:t xml:space="preserve">His quoted comments: “One of Redbelly’s many strengths is its regulatory credibility. In payments, I learnt that success belonged to the company that saw compliance as a product edge rather than a tick box.” </w:t>
      </w:r>
      <w:r>
        <w:rPr>
          <w:color w:val="B3272A"/>
          <w:sz w:val="13"/>
          <w:szCs w:val="13"/>
        </w:rPr>
        <w:t xml:space="preserve">[</w:t>
      </w:r>
      <w:hyperlink w:history="1" r:id="rIdcnd0q3jde_ttvgggi7oj_">
        <w:r>
          <w:rPr>
            <w:color w:val="B3272A"/>
            <w:sz w:val="13"/>
            <w:szCs w:val="13"/>
            <w:u w:val="single"/>
          </w:rPr>
          <w:t xml:space="preserve">Redbelly</w:t>
        </w:r>
      </w:hyperlink>
      <w:r>
        <w:rPr>
          <w:color w:val="B3272A"/>
          <w:sz w:val="13"/>
          <w:szCs w:val="13"/>
        </w:rPr>
        <w:t xml:space="preserve">]</w:t>
      </w:r>
      <w:r>
        <w:t xml:space="preserve"> And: “The next era of finance won’t be won by the loudest chain,” he said. “It’ll be won by the chain that institutions can actually use.” </w:t>
      </w:r>
      <w:r>
        <w:rPr>
          <w:color w:val="B3272A"/>
          <w:sz w:val="13"/>
          <w:szCs w:val="13"/>
        </w:rPr>
        <w:t xml:space="preserve">[</w:t>
      </w:r>
      <w:hyperlink w:history="1" r:id="rIdpx3pjam5yldz3zrlrterf">
        <w:r>
          <w:rPr>
            <w:color w:val="B3272A"/>
            <w:sz w:val="13"/>
            <w:szCs w:val="13"/>
            <w:u w:val="single"/>
          </w:rPr>
          <w:t xml:space="preserve">Redbelly</w:t>
        </w:r>
      </w:hyperlink>
      <w:r>
        <w:rPr>
          <w:color w:val="B3272A"/>
          <w:sz w:val="13"/>
          <w:szCs w:val="13"/>
        </w:rPr>
        <w:t xml:space="preserve"> · </w:t>
      </w:r>
      <w:hyperlink w:history="1" r:id="rIde4c28vwewwoxuciwc2dzo">
        <w:r>
          <w:rPr>
            <w:color w:val="B3272A"/>
            <w:sz w:val="13"/>
            <w:szCs w:val="13"/>
            <w:u w:val="single"/>
          </w:rPr>
          <w:t xml:space="preserve">Medianet</w:t>
        </w:r>
      </w:hyperlink>
      <w:r>
        <w:rPr>
          <w:color w:val="B3272A"/>
          <w:sz w:val="13"/>
          <w:szCs w:val="13"/>
        </w:rPr>
        <w:t xml:space="preserve">]</w:t>
      </w:r>
    </w:p>
    <w:p>
      <w:pPr>
        <w:pStyle w:val="Heading2"/>
      </w:pPr>
      <w:r>
        <w:t xml:space="preserve">The regulatory backdrop, as the sources describe it</w:t>
      </w:r>
    </w:p>
    <w:p>
      <w:pPr>
        <w:pStyle w:val="ListParagraph"/>
        <w:numPr>
          <w:ilvl w:val="0"/>
          <w:numId w:val="2"/>
        </w:numPr>
        <w:spacing w:after="70"/>
      </w:pPr>
      <w:r>
        <w:t xml:space="preserve">The Corporations Amendment (Digital Assets Framework) Act brings digital-asset platforms and tokenised-custody platforms into the same licensing regime as brokers and fund managers </w:t>
      </w:r>
      <w:r>
        <w:rPr>
          <w:color w:val="B3272A"/>
          <w:sz w:val="13"/>
          <w:szCs w:val="13"/>
        </w:rPr>
        <w:t xml:space="preserve">[</w:t>
      </w:r>
      <w:hyperlink w:history="1" r:id="rIds4dgk9ltvilapotum43ha">
        <w:r>
          <w:rPr>
            <w:color w:val="B3272A"/>
            <w:sz w:val="13"/>
            <w:szCs w:val="13"/>
            <w:u w:val="single"/>
          </w:rPr>
          <w:t xml:space="preserve">Redbelly</w:t>
        </w:r>
      </w:hyperlink>
      <w:r>
        <w:rPr>
          <w:color w:val="B3272A"/>
          <w:sz w:val="13"/>
          <w:szCs w:val="13"/>
        </w:rPr>
        <w:t xml:space="preserve">]</w:t>
      </w:r>
      <w:r>
        <w:t xml:space="preserve">. It received Royal Assent on 8 April 2026 and commences on 9 April 2027 </w:t>
      </w:r>
      <w:r>
        <w:rPr>
          <w:color w:val="B3272A"/>
          <w:sz w:val="13"/>
          <w:szCs w:val="13"/>
        </w:rPr>
        <w:t xml:space="preserve">[</w:t>
      </w:r>
      <w:hyperlink w:history="1" r:id="rId4jdpub8t3uzbio7s6apmx">
        <w:r>
          <w:rPr>
            <w:color w:val="B3272A"/>
            <w:sz w:val="13"/>
            <w:szCs w:val="13"/>
            <w:u w:val="single"/>
          </w:rPr>
          <w:t xml:space="preserve">Tokeniser/why-tokenise</w:t>
        </w:r>
      </w:hyperlink>
      <w:r>
        <w:rPr>
          <w:color w:val="B3272A"/>
          <w:sz w:val="13"/>
          <w:szCs w:val="13"/>
        </w:rPr>
        <w:t xml:space="preserve">]</w:t>
      </w:r>
      <w:r>
        <w:t xml:space="preserve">.</w:t>
      </w:r>
    </w:p>
    <w:p>
      <w:pPr>
        <w:pStyle w:val="ListParagraph"/>
        <w:numPr>
          <w:ilvl w:val="0"/>
          <w:numId w:val="2"/>
        </w:numPr>
        <w:spacing w:after="70"/>
      </w:pPr>
      <w:r>
        <w:t xml:space="preserve">Project Acacia, a research program of the Reserve Bank of Australia (RBA) and the DFCRC, tested tokenised settlement across twenty use cases </w:t>
      </w:r>
      <w:r>
        <w:rPr>
          <w:color w:val="B3272A"/>
          <w:sz w:val="13"/>
          <w:szCs w:val="13"/>
        </w:rPr>
        <w:t xml:space="preserve">[</w:t>
      </w:r>
      <w:hyperlink w:history="1" r:id="rId8z4s0pwy1t51ok_nkxede">
        <w:r>
          <w:rPr>
            <w:color w:val="B3272A"/>
            <w:sz w:val="13"/>
            <w:szCs w:val="13"/>
            <w:u w:val="single"/>
          </w:rPr>
          <w:t xml:space="preserve">Redbelly</w:t>
        </w:r>
      </w:hyperlink>
      <w:r>
        <w:rPr>
          <w:color w:val="B3272A"/>
          <w:sz w:val="13"/>
          <w:szCs w:val="13"/>
        </w:rPr>
        <w:t xml:space="preserve">]</w:t>
      </w:r>
      <w:r>
        <w:t xml:space="preserve">. Redbelly says it was “the only public Layer 1 carrying real central bank claims on public infrastructure” in the program </w:t>
      </w:r>
      <w:r>
        <w:rPr>
          <w:color w:val="B3272A"/>
          <w:sz w:val="13"/>
          <w:szCs w:val="13"/>
        </w:rPr>
        <w:t xml:space="preserve">[</w:t>
      </w:r>
      <w:hyperlink w:history="1" r:id="rIdzi0jsjeednufp9nip13_a">
        <w:r>
          <w:rPr>
            <w:color w:val="B3272A"/>
            <w:sz w:val="13"/>
            <w:szCs w:val="13"/>
            <w:u w:val="single"/>
          </w:rPr>
          <w:t xml:space="preserve">Redbelly</w:t>
        </w:r>
      </w:hyperlink>
      <w:r>
        <w:rPr>
          <w:color w:val="B3272A"/>
          <w:sz w:val="13"/>
          <w:szCs w:val="13"/>
        </w:rPr>
        <w:t xml:space="preserve">]</w:t>
      </w:r>
      <w:r>
        <w:t xml:space="preserve">, and Tokeniser’s site states the network settled a tokenised corporate bond in the RBA’s pilot wholesale CBDC (central bank money) </w:t>
      </w:r>
      <w:r>
        <w:rPr>
          <w:color w:val="B3272A"/>
          <w:sz w:val="13"/>
          <w:szCs w:val="13"/>
        </w:rPr>
        <w:t xml:space="preserve">[</w:t>
      </w:r>
      <w:hyperlink w:history="1" r:id="rIdzowegeekrdqouiywgsanj">
        <w:r>
          <w:rPr>
            <w:color w:val="B3272A"/>
            <w:sz w:val="13"/>
            <w:szCs w:val="13"/>
            <w:u w:val="single"/>
          </w:rPr>
          <w:t xml:space="preserve">Tokeniser/technology</w:t>
        </w:r>
      </w:hyperlink>
      <w:r>
        <w:rPr>
          <w:color w:val="B3272A"/>
          <w:sz w:val="13"/>
          <w:szCs w:val="13"/>
        </w:rPr>
        <w:t xml:space="preserve">]</w:t>
      </w:r>
      <w:r>
        <w:t xml:space="preserve">.</w:t>
      </w:r>
    </w:p>
    <w:p>
      <w:pPr>
        <w:pStyle w:val="Heading2"/>
      </w:pPr>
      <w:r>
        <w:t xml:space="preserve">Tokeniser in brief</w:t>
      </w:r>
    </w:p>
    <w:p>
      <w:pPr>
        <w:pStyle w:val="ListParagraph"/>
        <w:numPr>
          <w:ilvl w:val="0"/>
          <w:numId w:val="2"/>
        </w:numPr>
        <w:spacing w:after="70"/>
      </w:pPr>
      <w:r>
        <w:t xml:space="preserve">Banking Day describes Tokeniser as blockchain infrastructure for “the origination, administration and end-to-end lifecycle servicing of tokenised assets”, such as equities, notes and bonds, private credit, derivatives and commodities </w:t>
      </w:r>
      <w:r>
        <w:rPr>
          <w:color w:val="B3272A"/>
          <w:sz w:val="13"/>
          <w:szCs w:val="13"/>
        </w:rPr>
        <w:t xml:space="preserve">[</w:t>
      </w:r>
      <w:hyperlink w:history="1" r:id="rIdiy65occ29hdkj7xby0546">
        <w:r>
          <w:rPr>
            <w:color w:val="B3272A"/>
            <w:sz w:val="13"/>
            <w:szCs w:val="13"/>
            <w:u w:val="single"/>
          </w:rPr>
          <w:t xml:space="preserve">Banking Day</w:t>
        </w:r>
      </w:hyperlink>
      <w:r>
        <w:rPr>
          <w:color w:val="B3272A"/>
          <w:sz w:val="13"/>
          <w:szCs w:val="13"/>
        </w:rPr>
        <w:t xml:space="preserve">]</w:t>
      </w:r>
      <w:r>
        <w:t xml:space="preserve">. It is anchored in patented research led by Professor Vincent Gramoli at the University of Sydney and CSIRO, Australia’s government science agency; Gramoli is Redbelly’s founder and CTO </w:t>
      </w:r>
      <w:r>
        <w:rPr>
          <w:color w:val="B3272A"/>
          <w:sz w:val="13"/>
          <w:szCs w:val="13"/>
        </w:rPr>
        <w:t xml:space="preserve">[</w:t>
      </w:r>
      <w:hyperlink w:history="1" r:id="rIdkas9iv_xtqss3gesilvp0">
        <w:r>
          <w:rPr>
            <w:color w:val="B3272A"/>
            <w:sz w:val="13"/>
            <w:szCs w:val="13"/>
            <w:u w:val="single"/>
          </w:rPr>
          <w:t xml:space="preserve">Banking Day</w:t>
        </w:r>
      </w:hyperlink>
      <w:r>
        <w:rPr>
          <w:color w:val="B3272A"/>
          <w:sz w:val="13"/>
          <w:szCs w:val="13"/>
        </w:rPr>
        <w:t xml:space="preserve"> · </w:t>
      </w:r>
      <w:hyperlink w:history="1" r:id="rId46ksxw3yrtjchtqaryj6-">
        <w:r>
          <w:rPr>
            <w:color w:val="B3272A"/>
            <w:sz w:val="13"/>
            <w:szCs w:val="13"/>
            <w:u w:val="single"/>
          </w:rPr>
          <w:t xml:space="preserve">Tokeniser/technology</w:t>
        </w:r>
      </w:hyperlink>
      <w:r>
        <w:rPr>
          <w:color w:val="B3272A"/>
          <w:sz w:val="13"/>
          <w:szCs w:val="13"/>
        </w:rPr>
        <w:t xml:space="preserve">]</w:t>
      </w:r>
      <w:r>
        <w:t xml:space="preserve">.</w:t>
      </w:r>
    </w:p>
    <w:p>
      <w:pPr>
        <w:pStyle w:val="ListParagraph"/>
        <w:numPr>
          <w:ilvl w:val="0"/>
          <w:numId w:val="2"/>
        </w:numPr>
        <w:spacing w:after="70"/>
      </w:pPr>
      <w:r>
        <w:t xml:space="preserve">Tokeniser runs on Redbelly Network and is offered as software (SaaS) for fund administration and investor portals </w:t>
      </w:r>
      <w:r>
        <w:rPr>
          <w:color w:val="B3272A"/>
          <w:sz w:val="13"/>
          <w:szCs w:val="13"/>
        </w:rPr>
        <w:t xml:space="preserve">[</w:t>
      </w:r>
      <w:hyperlink w:history="1" r:id="rId15cubeckq5jjfyhvgoo7t">
        <w:r>
          <w:rPr>
            <w:color w:val="B3272A"/>
            <w:sz w:val="13"/>
            <w:szCs w:val="13"/>
            <w:u w:val="single"/>
          </w:rPr>
          <w:t xml:space="preserve">Tokeniser</w:t>
        </w:r>
      </w:hyperlink>
      <w:r>
        <w:rPr>
          <w:color w:val="B3272A"/>
          <w:sz w:val="13"/>
          <w:szCs w:val="13"/>
        </w:rPr>
        <w:t xml:space="preserve">]</w:t>
      </w:r>
      <w:r>
        <w:t xml:space="preserve">. Eligibility checks, from identity, KYC and AML to wholesale and sophisticated investor tests, are programmed into each asset at protocol level, and products operate under the issuer’s existing licensing </w:t>
      </w:r>
      <w:r>
        <w:rPr>
          <w:color w:val="B3272A"/>
          <w:sz w:val="13"/>
          <w:szCs w:val="13"/>
        </w:rPr>
        <w:t xml:space="preserve">[</w:t>
      </w:r>
      <w:hyperlink w:history="1" r:id="rIdqgpiz18atopzl9kwbnh9y">
        <w:r>
          <w:rPr>
            <w:color w:val="B3272A"/>
            <w:sz w:val="13"/>
            <w:szCs w:val="13"/>
            <w:u w:val="single"/>
          </w:rPr>
          <w:t xml:space="preserve">Tokeniser</w:t>
        </w:r>
      </w:hyperlink>
      <w:r>
        <w:rPr>
          <w:color w:val="B3272A"/>
          <w:sz w:val="13"/>
          <w:szCs w:val="13"/>
        </w:rPr>
        <w:t xml:space="preserve">]</w:t>
      </w:r>
      <w:r>
        <w:t xml:space="preserve">.</w:t>
      </w:r>
    </w:p>
    <w:p>
      <w:pPr>
        <w:pStyle w:val="ListParagraph"/>
        <w:numPr>
          <w:ilvl w:val="0"/>
          <w:numId w:val="2"/>
        </w:numPr>
        <w:spacing w:after="70"/>
      </w:pPr>
      <w:r>
        <w:t xml:space="preserve">On settlement, the site states that “cash and units are exchanged in a single step and the register updates simultaneously, or the transaction does not proceed”, a move from T+2 to T+0 settlement </w:t>
      </w:r>
      <w:r>
        <w:rPr>
          <w:color w:val="B3272A"/>
          <w:sz w:val="13"/>
          <w:szCs w:val="13"/>
        </w:rPr>
        <w:t xml:space="preserve">[</w:t>
      </w:r>
      <w:hyperlink w:history="1" r:id="rId7smjmnwga33asjh_k544c">
        <w:r>
          <w:rPr>
            <w:color w:val="B3272A"/>
            <w:sz w:val="13"/>
            <w:szCs w:val="13"/>
            <w:u w:val="single"/>
          </w:rPr>
          <w:t xml:space="preserve">Tokeniser/settlement</w:t>
        </w:r>
      </w:hyperlink>
      <w:r>
        <w:rPr>
          <w:color w:val="B3272A"/>
          <w:sz w:val="13"/>
          <w:szCs w:val="13"/>
        </w:rPr>
        <w:t xml:space="preserve">]</w:t>
      </w:r>
      <w:r>
        <w:t xml:space="preserve">. It contrasts this with a traditional sequence of subscription, manual checks, payment, reconciliation and registry update </w:t>
      </w:r>
      <w:r>
        <w:rPr>
          <w:color w:val="B3272A"/>
          <w:sz w:val="13"/>
          <w:szCs w:val="13"/>
        </w:rPr>
        <w:t xml:space="preserve">[</w:t>
      </w:r>
      <w:hyperlink w:history="1" r:id="rId4ngxopk5vnwjvvcbo2j5-">
        <w:r>
          <w:rPr>
            <w:color w:val="B3272A"/>
            <w:sz w:val="13"/>
            <w:szCs w:val="13"/>
            <w:u w:val="single"/>
          </w:rPr>
          <w:t xml:space="preserve">Tokeniser/efficiency</w:t>
        </w:r>
      </w:hyperlink>
      <w:r>
        <w:rPr>
          <w:color w:val="B3272A"/>
          <w:sz w:val="13"/>
          <w:szCs w:val="13"/>
        </w:rPr>
        <w:t xml:space="preserve">]</w:t>
      </w:r>
      <w:r>
        <w:t xml:space="preserve">.</w:t>
      </w:r>
    </w:p>
    <w:p>
      <w:pPr>
        <w:pStyle w:val="ListParagraph"/>
        <w:numPr>
          <w:ilvl w:val="0"/>
          <w:numId w:val="2"/>
        </w:numPr>
        <w:spacing w:after="70"/>
      </w:pPr>
      <w:r>
        <w:t xml:space="preserve">Tokeniser’s “API and MCP” let customers integrate it with an existing registry or build a custom investor portal </w:t>
      </w:r>
      <w:r>
        <w:rPr>
          <w:color w:val="B3272A"/>
          <w:sz w:val="13"/>
          <w:szCs w:val="13"/>
        </w:rPr>
        <w:t xml:space="preserve">[</w:t>
      </w:r>
      <w:hyperlink w:history="1" r:id="rIdiulmdtjnh6bgpgg-_tddv">
        <w:r>
          <w:rPr>
            <w:color w:val="B3272A"/>
            <w:sz w:val="13"/>
            <w:szCs w:val="13"/>
            <w:u w:val="single"/>
          </w:rPr>
          <w:t xml:space="preserve">Tokeniser</w:t>
        </w:r>
      </w:hyperlink>
      <w:r>
        <w:rPr>
          <w:color w:val="B3272A"/>
          <w:sz w:val="13"/>
          <w:szCs w:val="13"/>
        </w:rPr>
        <w:t xml:space="preserve">]</w:t>
      </w:r>
      <w:r>
        <w:t xml:space="preserve">. The site reports A$1.2B in issued equity and funds, 160+ companies and funds, and A$2B+ in transactions </w:t>
      </w:r>
      <w:r>
        <w:rPr>
          <w:color w:val="B3272A"/>
          <w:sz w:val="13"/>
          <w:szCs w:val="13"/>
        </w:rPr>
        <w:t xml:space="preserve">[</w:t>
      </w:r>
      <w:hyperlink w:history="1" r:id="rIdcspfxnqibnsg4dmcv5ars">
        <w:r>
          <w:rPr>
            <w:color w:val="B3272A"/>
            <w:sz w:val="13"/>
            <w:szCs w:val="13"/>
            <w:u w:val="single"/>
          </w:rPr>
          <w:t xml:space="preserve">Tokeniser</w:t>
        </w:r>
      </w:hyperlink>
      <w:r>
        <w:rPr>
          <w:color w:val="B3272A"/>
          <w:sz w:val="13"/>
          <w:szCs w:val="13"/>
        </w:rPr>
        <w:t xml:space="preserve">]</w:t>
      </w:r>
      <w:r>
        <w:t xml:space="preserve">.</w:t>
      </w:r>
    </w:p>
    <w:p>
      <w:pPr>
        <w:pStyle w:val="Heading1"/>
      </w:pPr>
      <w:r>
        <w:t xml:space="preserve">4. Strategic analysis: what his background could mean</w:t>
      </w:r>
    </w:p>
    <w:p>
      <w:pPr>
        <w:spacing w:after="60"/>
      </w:pPr>
      <w:r>
        <w:rPr>
          <w:i/>
          <w:iCs/>
          <w:color w:val="394853"/>
          <w:sz w:val="16"/>
          <w:szCs w:val="16"/>
        </w:rPr>
        <w:t xml:space="preserve">Each point below states its factual basis, with sources, and then gives the analysis. The analysis is interpretation by this briefing, not a statement by Redbelly or by Christian Westerlind Wigstrom, and it contains no price commentary or investment advice.</w:t>
      </w:r>
    </w:p>
    <w:p>
      <w:pPr>
        <w:pStyle w:val="Heading2"/>
      </w:pPr>
      <w:r>
        <w:t xml:space="preserve">4.1 The cash leg is a payments problem</w:t>
      </w:r>
    </w:p>
    <w:p>
      <w:pPr>
        <w:spacing w:after="50" w:before="20"/>
      </w:pPr>
      <w:r>
        <w:rPr>
          <w:b/>
          <w:bCs/>
        </w:rPr>
        <w:t xml:space="preserve">Basis (facts): </w:t>
      </w:r>
      <w:r>
        <w:t xml:space="preserve">Tokeniser exchanges cash and units in one step </w:t>
      </w:r>
      <w:r>
        <w:rPr>
          <w:color w:val="B3272A"/>
          <w:sz w:val="13"/>
          <w:szCs w:val="13"/>
        </w:rPr>
        <w:t xml:space="preserve">[</w:t>
      </w:r>
      <w:hyperlink w:history="1" r:id="rIddqqccgded_wxgdlxo3r3e">
        <w:r>
          <w:rPr>
            <w:color w:val="B3272A"/>
            <w:sz w:val="13"/>
            <w:szCs w:val="13"/>
            <w:u w:val="single"/>
          </w:rPr>
          <w:t xml:space="preserve">Tokeniser/settlement</w:t>
        </w:r>
      </w:hyperlink>
      <w:r>
        <w:rPr>
          <w:color w:val="B3272A"/>
          <w:sz w:val="13"/>
          <w:szCs w:val="13"/>
        </w:rPr>
        <w:t xml:space="preserve">]</w:t>
      </w:r>
      <w:r>
        <w:t xml:space="preserve">, removing the separate payment and reconciliation stages of a traditional registry </w:t>
      </w:r>
      <w:r>
        <w:rPr>
          <w:color w:val="B3272A"/>
          <w:sz w:val="13"/>
          <w:szCs w:val="13"/>
        </w:rPr>
        <w:t xml:space="preserve">[</w:t>
      </w:r>
      <w:hyperlink w:history="1" r:id="rIdg3wrrlj-jt7ljpje1x6_e">
        <w:r>
          <w:rPr>
            <w:color w:val="B3272A"/>
            <w:sz w:val="13"/>
            <w:szCs w:val="13"/>
            <w:u w:val="single"/>
          </w:rPr>
          <w:t xml:space="preserve">Tokeniser/efficiency</w:t>
        </w:r>
      </w:hyperlink>
      <w:r>
        <w:rPr>
          <w:color w:val="B3272A"/>
          <w:sz w:val="13"/>
          <w:szCs w:val="13"/>
        </w:rPr>
        <w:t xml:space="preserve">]</w:t>
      </w:r>
      <w:r>
        <w:t xml:space="preserve">. Monoova specialised in real-time payments, automated reconciliation and API connections into client software </w:t>
      </w:r>
      <w:r>
        <w:rPr>
          <w:color w:val="B3272A"/>
          <w:sz w:val="13"/>
          <w:szCs w:val="13"/>
        </w:rPr>
        <w:t xml:space="preserve">[</w:t>
      </w:r>
      <w:hyperlink w:history="1" r:id="rIdan1mjnnsm7lsr_cdk2tna">
        <w:r>
          <w:rPr>
            <w:color w:val="B3272A"/>
            <w:sz w:val="13"/>
            <w:szCs w:val="13"/>
            <w:u w:val="single"/>
          </w:rPr>
          <w:t xml:space="preserve">Monoova</w:t>
        </w:r>
      </w:hyperlink>
      <w:r>
        <w:rPr>
          <w:color w:val="B3272A"/>
          <w:sz w:val="13"/>
          <w:szCs w:val="13"/>
        </w:rPr>
        <w:t xml:space="preserve">]</w:t>
      </w:r>
      <w:r>
        <w:t xml:space="preserve"> </w:t>
      </w:r>
      <w:r>
        <w:rPr>
          <w:color w:val="B3272A"/>
          <w:sz w:val="13"/>
          <w:szCs w:val="13"/>
        </w:rPr>
        <w:t xml:space="preserve">[</w:t>
      </w:r>
      <w:hyperlink w:history="1" r:id="rIdwzmbjrg2obola8k_nltja">
        <w:r>
          <w:rPr>
            <w:color w:val="B3272A"/>
            <w:sz w:val="13"/>
            <w:szCs w:val="13"/>
            <w:u w:val="single"/>
          </w:rPr>
          <w:t xml:space="preserve">AusPayPlus</w:t>
        </w:r>
      </w:hyperlink>
      <w:r>
        <w:rPr>
          <w:color w:val="B3272A"/>
          <w:sz w:val="13"/>
          <w:szCs w:val="13"/>
        </w:rPr>
        <w:t xml:space="preserve">]</w:t>
      </w:r>
      <w:r>
        <w:t xml:space="preserve">.</w:t>
      </w:r>
    </w:p>
    <w:p>
      <w:pPr>
        <w:pBdr>
          <w:left w:val="single" w:color="EF5350" w:sz="24" w:space="8"/>
        </w:pBdr>
        <w:shd w:fill="EDF1F4" w:color="auto" w:val="clear"/>
        <w:spacing w:after="120" w:before="40"/>
        <w:ind w:left="170" w:right="113"/>
      </w:pPr>
      <w:r>
        <w:rPr>
          <w:b/>
          <w:bCs/>
          <w:color w:val="B3272A"/>
          <w:spacing w:val="15"/>
          <w:sz w:val="14"/>
          <w:szCs w:val="14"/>
        </w:rPr>
        <w:t xml:space="preserve">ANALYSIS</w:t>
      </w:r>
      <w:r>
        <w:t xml:space="preserve">  </w:t>
      </w:r>
      <w:r>
        <w:t xml:space="preserve">The point where bank money meets the token register is where his experience applies most directly. Practical questions for the new leadership include how investors fund subscriptions and receive redemptions and distributions, which payment rails carry that money, and how cash movements reconcile against the register without manual work.</w:t>
      </w:r>
    </w:p>
    <w:p>
      <w:pPr>
        <w:pStyle w:val="Heading2"/>
      </w:pPr>
      <w:r>
        <w:t xml:space="preserve">4.2 Infrastructure that sits behind other brands</w:t>
      </w:r>
    </w:p>
    <w:p>
      <w:pPr>
        <w:spacing w:after="50" w:before="20"/>
      </w:pPr>
      <w:r>
        <w:rPr>
          <w:b/>
          <w:bCs/>
        </w:rPr>
        <w:t xml:space="preserve">Basis (facts): </w:t>
      </w:r>
      <w:r>
        <w:t xml:space="preserve">Monoova grew by operating behind other companies’ brands </w:t>
      </w:r>
      <w:r>
        <w:rPr>
          <w:color w:val="B3272A"/>
          <w:sz w:val="13"/>
          <w:szCs w:val="13"/>
        </w:rPr>
        <w:t xml:space="preserve">[</w:t>
      </w:r>
      <w:hyperlink w:history="1" r:id="rIdrk5lmn_xotta8hvhjjwvg">
        <w:r>
          <w:rPr>
            <w:color w:val="B3272A"/>
            <w:sz w:val="13"/>
            <w:szCs w:val="13"/>
            <w:u w:val="single"/>
          </w:rPr>
          <w:t xml:space="preserve">Redbelly</w:t>
        </w:r>
      </w:hyperlink>
      <w:r>
        <w:rPr>
          <w:color w:val="B3272A"/>
          <w:sz w:val="13"/>
          <w:szCs w:val="13"/>
        </w:rPr>
        <w:t xml:space="preserve">]</w:t>
      </w:r>
      <w:r>
        <w:t xml:space="preserve">. Tokeniser already offers API integration </w:t>
      </w:r>
      <w:r>
        <w:rPr>
          <w:color w:val="B3272A"/>
          <w:sz w:val="13"/>
          <w:szCs w:val="13"/>
        </w:rPr>
        <w:t xml:space="preserve">[</w:t>
      </w:r>
      <w:hyperlink w:history="1" r:id="rIdpvgsiqvh0wrhwcqtv06ye">
        <w:r>
          <w:rPr>
            <w:color w:val="B3272A"/>
            <w:sz w:val="13"/>
            <w:szCs w:val="13"/>
            <w:u w:val="single"/>
          </w:rPr>
          <w:t xml:space="preserve">Tokeniser</w:t>
        </w:r>
      </w:hyperlink>
      <w:r>
        <w:rPr>
          <w:color w:val="B3272A"/>
          <w:sz w:val="13"/>
          <w:szCs w:val="13"/>
        </w:rPr>
        <w:t xml:space="preserve">]</w:t>
      </w:r>
      <w:r>
        <w:t xml:space="preserve"> and lets fund managers keep their own investor experience with Tokeniser running underneath </w:t>
      </w:r>
      <w:r>
        <w:rPr>
          <w:color w:val="B3272A"/>
          <w:sz w:val="13"/>
          <w:szCs w:val="13"/>
        </w:rPr>
        <w:t xml:space="preserve">[</w:t>
      </w:r>
      <w:hyperlink w:history="1" r:id="rIdb_tbmkrx9t82wap9iyyki">
        <w:r>
          <w:rPr>
            <w:color w:val="B3272A"/>
            <w:sz w:val="13"/>
            <w:szCs w:val="13"/>
            <w:u w:val="single"/>
          </w:rPr>
          <w:t xml:space="preserve">Tokeniser/funds</w:t>
        </w:r>
      </w:hyperlink>
      <w:r>
        <w:rPr>
          <w:color w:val="B3272A"/>
          <w:sz w:val="13"/>
          <w:szCs w:val="13"/>
        </w:rPr>
        <w:t xml:space="preserve">]</w:t>
      </w:r>
      <w:r>
        <w:t xml:space="preserve">.</w:t>
      </w:r>
    </w:p>
    <w:p>
      <w:pPr>
        <w:pBdr>
          <w:left w:val="single" w:color="EF5350" w:sz="24" w:space="8"/>
        </w:pBdr>
        <w:shd w:fill="EDF1F4" w:color="auto" w:val="clear"/>
        <w:spacing w:after="120" w:before="40"/>
        <w:ind w:left="170" w:right="113"/>
      </w:pPr>
      <w:r>
        <w:rPr>
          <w:b/>
          <w:bCs/>
          <w:color w:val="B3272A"/>
          <w:spacing w:val="15"/>
          <w:sz w:val="14"/>
          <w:szCs w:val="14"/>
        </w:rPr>
        <w:t xml:space="preserve">ANALYSIS</w:t>
      </w:r>
      <w:r>
        <w:t xml:space="preserve">  </w:t>
      </w:r>
      <w:r>
        <w:t xml:space="preserve">A likely emphasis is distribution through partners, such as registries, fund administrators and investment platforms, that embed Tokeniser under their own brand. On that model, progress shows up as issuers, assets and transactions on Tokeniser rather than as public visibility of the network.</w:t>
      </w:r>
    </w:p>
    <w:p>
      <w:pPr>
        <w:pStyle w:val="Heading2"/>
      </w:pPr>
      <w:r>
        <w:t xml:space="preserve">4.3 Compliance as a product feature: continuity, not a pivot</w:t>
      </w:r>
    </w:p>
    <w:p>
      <w:pPr>
        <w:spacing w:after="50" w:before="20"/>
      </w:pPr>
      <w:r>
        <w:rPr>
          <w:b/>
          <w:bCs/>
        </w:rPr>
        <w:t xml:space="preserve">Basis (facts): </w:t>
      </w:r>
      <w:r>
        <w:t xml:space="preserve">He describes compliance as a product advantage rather than a formality </w:t>
      </w:r>
      <w:r>
        <w:rPr>
          <w:color w:val="B3272A"/>
          <w:sz w:val="13"/>
          <w:szCs w:val="13"/>
        </w:rPr>
        <w:t xml:space="preserve">[</w:t>
      </w:r>
      <w:hyperlink w:history="1" r:id="rId4zgl1naqx5y5zj3fghgw5">
        <w:r>
          <w:rPr>
            <w:color w:val="B3272A"/>
            <w:sz w:val="13"/>
            <w:szCs w:val="13"/>
            <w:u w:val="single"/>
          </w:rPr>
          <w:t xml:space="preserve">Redbelly</w:t>
        </w:r>
      </w:hyperlink>
      <w:r>
        <w:rPr>
          <w:color w:val="B3272A"/>
          <w:sz w:val="13"/>
          <w:szCs w:val="13"/>
        </w:rPr>
        <w:t xml:space="preserve">]</w:t>
      </w:r>
      <w:r>
        <w:t xml:space="preserve">. Tokeniser already programs eligibility checks into each asset </w:t>
      </w:r>
      <w:r>
        <w:rPr>
          <w:color w:val="B3272A"/>
          <w:sz w:val="13"/>
          <w:szCs w:val="13"/>
        </w:rPr>
        <w:t xml:space="preserve">[</w:t>
      </w:r>
      <w:hyperlink w:history="1" r:id="rIdve-r0h7bwci0qpswx7enq">
        <w:r>
          <w:rPr>
            <w:color w:val="B3272A"/>
            <w:sz w:val="13"/>
            <w:szCs w:val="13"/>
            <w:u w:val="single"/>
          </w:rPr>
          <w:t xml:space="preserve">Tokeniser</w:t>
        </w:r>
      </w:hyperlink>
      <w:r>
        <w:rPr>
          <w:color w:val="B3272A"/>
          <w:sz w:val="13"/>
          <w:szCs w:val="13"/>
        </w:rPr>
        <w:t xml:space="preserve">]</w:t>
      </w:r>
      <w:r>
        <w:t xml:space="preserve">, and the Digital Assets Framework commences on 9 April 2027 </w:t>
      </w:r>
      <w:r>
        <w:rPr>
          <w:color w:val="B3272A"/>
          <w:sz w:val="13"/>
          <w:szCs w:val="13"/>
        </w:rPr>
        <w:t xml:space="preserve">[</w:t>
      </w:r>
      <w:hyperlink w:history="1" r:id="rIdohcgkktvfpfadlezwbu-9">
        <w:r>
          <w:rPr>
            <w:color w:val="B3272A"/>
            <w:sz w:val="13"/>
            <w:szCs w:val="13"/>
            <w:u w:val="single"/>
          </w:rPr>
          <w:t xml:space="preserve">Tokeniser/why-tokenise</w:t>
        </w:r>
      </w:hyperlink>
      <w:r>
        <w:rPr>
          <w:color w:val="B3272A"/>
          <w:sz w:val="13"/>
          <w:szCs w:val="13"/>
        </w:rPr>
        <w:t xml:space="preserve">]</w:t>
      </w:r>
      <w:r>
        <w:t xml:space="preserve">.</w:t>
      </w:r>
    </w:p>
    <w:p>
      <w:pPr>
        <w:pBdr>
          <w:left w:val="single" w:color="EF5350" w:sz="24" w:space="8"/>
        </w:pBdr>
        <w:shd w:fill="EDF1F4" w:color="auto" w:val="clear"/>
        <w:spacing w:after="120" w:before="40"/>
        <w:ind w:left="170" w:right="113"/>
      </w:pPr>
      <w:r>
        <w:rPr>
          <w:b/>
          <w:bCs/>
          <w:color w:val="B3272A"/>
          <w:spacing w:val="15"/>
          <w:sz w:val="14"/>
          <w:szCs w:val="14"/>
        </w:rPr>
        <w:t xml:space="preserve">ANALYSIS</w:t>
      </w:r>
      <w:r>
        <w:t xml:space="preserve">  </w:t>
      </w:r>
      <w:r>
        <w:t xml:space="preserve">The appointment reinforces Redbelly’s existing regulatory positioning rather than signalling a change of direction. The April 2027 commencement is the practical reference point for institutional readiness, partner integrations and product scope.</w:t>
      </w:r>
    </w:p>
    <w:p>
      <w:pPr>
        <w:pStyle w:val="Heading2"/>
      </w:pPr>
      <w:r>
        <w:t xml:space="preserve">4.4 Industry standing</w:t>
      </w:r>
    </w:p>
    <w:p>
      <w:pPr>
        <w:spacing w:after="50" w:before="20"/>
      </w:pPr>
      <w:r>
        <w:rPr>
          <w:b/>
          <w:bCs/>
        </w:rPr>
        <w:t xml:space="preserve">Basis (facts): </w:t>
      </w:r>
      <w:r>
        <w:t xml:space="preserve">He has served on the boards of FinTech Australia and AusPayNet </w:t>
      </w:r>
      <w:r>
        <w:rPr>
          <w:color w:val="B3272A"/>
          <w:sz w:val="13"/>
          <w:szCs w:val="13"/>
        </w:rPr>
        <w:t xml:space="preserve">[</w:t>
      </w:r>
      <w:hyperlink w:history="1" r:id="rIdewyvmawb2z0n9awjeenoa">
        <w:r>
          <w:rPr>
            <w:color w:val="B3272A"/>
            <w:sz w:val="13"/>
            <w:szCs w:val="13"/>
            <w:u w:val="single"/>
          </w:rPr>
          <w:t xml:space="preserve">Redbelly</w:t>
        </w:r>
      </w:hyperlink>
      <w:r>
        <w:rPr>
          <w:color w:val="B3272A"/>
          <w:sz w:val="13"/>
          <w:szCs w:val="13"/>
        </w:rPr>
        <w:t xml:space="preserve"> · </w:t>
      </w:r>
      <w:hyperlink w:history="1" r:id="rIdi_hpwnigsunf1do3ep1j-">
        <w:r>
          <w:rPr>
            <w:color w:val="B3272A"/>
            <w:sz w:val="13"/>
            <w:szCs w:val="13"/>
            <w:u w:val="single"/>
          </w:rPr>
          <w:t xml:space="preserve">SMB Tech</w:t>
        </w:r>
      </w:hyperlink>
      <w:r>
        <w:rPr>
          <w:color w:val="B3272A"/>
          <w:sz w:val="13"/>
          <w:szCs w:val="13"/>
        </w:rPr>
        <w:t xml:space="preserve">]</w:t>
      </w:r>
      <w:r>
        <w:t xml:space="preserve">. AusPayNet’s role includes facilitating self-regulation and coordinating system-wide standards </w:t>
      </w:r>
      <w:r>
        <w:rPr>
          <w:color w:val="B3272A"/>
          <w:sz w:val="13"/>
          <w:szCs w:val="13"/>
        </w:rPr>
        <w:t xml:space="preserve">[</w:t>
      </w:r>
      <w:hyperlink w:history="1" r:id="rId17djhzkbfpsl0spktn3lr">
        <w:r>
          <w:rPr>
            <w:color w:val="B3272A"/>
            <w:sz w:val="13"/>
            <w:szCs w:val="13"/>
            <w:u w:val="single"/>
          </w:rPr>
          <w:t xml:space="preserve">AusPayNet</w:t>
        </w:r>
      </w:hyperlink>
      <w:r>
        <w:rPr>
          <w:color w:val="B3272A"/>
          <w:sz w:val="13"/>
          <w:szCs w:val="13"/>
        </w:rPr>
        <w:t xml:space="preserve">]</w:t>
      </w:r>
      <w:r>
        <w:t xml:space="preserve">.</w:t>
      </w:r>
    </w:p>
    <w:p>
      <w:pPr>
        <w:pBdr>
          <w:left w:val="single" w:color="EF5350" w:sz="24" w:space="8"/>
        </w:pBdr>
        <w:shd w:fill="EDF1F4" w:color="auto" w:val="clear"/>
        <w:spacing w:after="120" w:before="40"/>
        <w:ind w:left="170" w:right="113"/>
      </w:pPr>
      <w:r>
        <w:rPr>
          <w:b/>
          <w:bCs/>
          <w:color w:val="B3272A"/>
          <w:spacing w:val="15"/>
          <w:sz w:val="14"/>
          <w:szCs w:val="14"/>
        </w:rPr>
        <w:t xml:space="preserve">ANALYSIS</w:t>
      </w:r>
      <w:r>
        <w:t xml:space="preserve">  </w:t>
      </w:r>
      <w:r>
        <w:t xml:space="preserve">That experience is relevant while tokenisation rules and market practice are still forming, and in building relationships with the banks and licensed intermediaries a regulated platform depends on.</w:t>
      </w:r>
    </w:p>
    <w:p>
      <w:pPr>
        <w:pStyle w:val="Heading2"/>
      </w:pPr>
      <w:r>
        <w:t xml:space="preserve">4.5 Limits and open questions</w:t>
      </w:r>
    </w:p>
    <w:p>
      <w:pPr>
        <w:spacing w:after="50" w:before="20"/>
      </w:pPr>
      <w:r>
        <w:rPr>
          <w:b/>
          <w:bCs/>
        </w:rPr>
        <w:t xml:space="preserve">Basis (facts): </w:t>
      </w:r>
      <w:r>
        <w:t xml:space="preserve">Redbelly presents the move as “that same thesis” applied to capital markets </w:t>
      </w:r>
      <w:r>
        <w:rPr>
          <w:color w:val="B3272A"/>
          <w:sz w:val="13"/>
          <w:szCs w:val="13"/>
        </w:rPr>
        <w:t xml:space="preserve">[</w:t>
      </w:r>
      <w:hyperlink w:history="1" r:id="rIdk7w79vqtq2kcsae2wnjak">
        <w:r>
          <w:rPr>
            <w:color w:val="B3272A"/>
            <w:sz w:val="13"/>
            <w:szCs w:val="13"/>
            <w:u w:val="single"/>
          </w:rPr>
          <w:t xml:space="preserve">Redbelly</w:t>
        </w:r>
      </w:hyperlink>
      <w:r>
        <w:rPr>
          <w:color w:val="B3272A"/>
          <w:sz w:val="13"/>
          <w:szCs w:val="13"/>
        </w:rPr>
        <w:t xml:space="preserve">]</w:t>
      </w:r>
      <w:r>
        <w:t xml:space="preserve">. The announcement does not set out a product roadmap, timelines, leadership-team changes or named payment integrations </w:t>
      </w:r>
      <w:r>
        <w:rPr>
          <w:color w:val="B3272A"/>
          <w:sz w:val="13"/>
          <w:szCs w:val="13"/>
        </w:rPr>
        <w:t xml:space="preserve">[</w:t>
      </w:r>
      <w:hyperlink w:history="1" r:id="rIdwjsj3k7lyxeblvvhf9vcp">
        <w:r>
          <w:rPr>
            <w:color w:val="B3272A"/>
            <w:sz w:val="13"/>
            <w:szCs w:val="13"/>
            <w:u w:val="single"/>
          </w:rPr>
          <w:t xml:space="preserve">Redbelly</w:t>
        </w:r>
      </w:hyperlink>
      <w:r>
        <w:rPr>
          <w:color w:val="B3272A"/>
          <w:sz w:val="13"/>
          <w:szCs w:val="13"/>
        </w:rPr>
        <w:t xml:space="preserve">]</w:t>
      </w:r>
      <w:r>
        <w:t xml:space="preserve">.</w:t>
      </w:r>
    </w:p>
    <w:p>
      <w:pPr>
        <w:pBdr>
          <w:left w:val="single" w:color="EF5350" w:sz="24" w:space="8"/>
        </w:pBdr>
        <w:shd w:fill="EDF1F4" w:color="auto" w:val="clear"/>
        <w:spacing w:after="120" w:before="40"/>
        <w:ind w:left="170" w:right="113"/>
      </w:pPr>
      <w:r>
        <w:rPr>
          <w:b/>
          <w:bCs/>
          <w:color w:val="B3272A"/>
          <w:spacing w:val="15"/>
          <w:sz w:val="14"/>
          <w:szCs w:val="14"/>
        </w:rPr>
        <w:t xml:space="preserve">ANALYSIS</w:t>
      </w:r>
      <w:r>
        <w:t xml:space="preserve">  </w:t>
      </w:r>
      <w:r>
        <w:t xml:space="preserve">Payments and tokenised capital markets are different businesses, so whether the experience transfers is a hypothesis that results will test. Signals to watch once he starts on 2 November 2026 </w:t>
      </w:r>
      <w:r>
        <w:rPr>
          <w:color w:val="B3272A"/>
          <w:sz w:val="13"/>
          <w:szCs w:val="13"/>
        </w:rPr>
        <w:t xml:space="preserve">[</w:t>
      </w:r>
      <w:hyperlink w:history="1" r:id="rIdqcyvfyitckphonpjhtz06">
        <w:r>
          <w:rPr>
            <w:color w:val="B3272A"/>
            <w:sz w:val="13"/>
            <w:szCs w:val="13"/>
            <w:u w:val="single"/>
          </w:rPr>
          <w:t xml:space="preserve">Banking Day</w:t>
        </w:r>
      </w:hyperlink>
      <w:r>
        <w:rPr>
          <w:color w:val="B3272A"/>
          <w:sz w:val="13"/>
          <w:szCs w:val="13"/>
        </w:rPr>
        <w:t xml:space="preserve">]</w:t>
      </w:r>
      <w:r>
        <w:t xml:space="preserve">: payment or banking partners connected to Tokeniser; platforms integrating Tokeniser through its API; issuers and asset classes onboarded before April 2027; and Redbelly’s role in industry and standards forums.</w:t>
      </w:r>
    </w:p>
    <w:sectPr>
      <w:headerReference w:type="default" r:id="rId7"/>
      <w:headerReference w:type="first" r:id="rId8"/>
      <w:footerReference w:type="default" r:id="rId9"/>
      <w:footerReference w:type="first" r:id="rId10"/>
      <w:pgSz w:w="11906" w:h="16838" w:orient="portrait"/>
      <w:pgMar w:top="964" w:right="1077" w:bottom="907" w:left="1077" w:header="482" w:footer="482"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urniture"/>
      <w:tabs>
        <w:tab w:val="right" w:pos="9752"/>
      </w:tabs>
    </w:pPr>
    <w:r>
      <w:rPr>
        <w:color w:val="596975"/>
        <w:sz w:val="14"/>
        <w:szCs w:val="14"/>
      </w:rPr>
      <w:t xml:space="preserve">Informational only: no price commentary, investment advice or promises of returns.</w:t>
    </w:r>
    <w:r>
      <w:rPr>
        <w:color w:val="596975"/>
        <w:sz w:val="14"/>
        <w:szCs w:val="14"/>
      </w:rPr>
      <w:tab/>
      <w:t xml:space="preserve">Page </w:t>
    </w:r>
    <w:r>
      <w:rPr>
        <w:rFonts w:ascii="JetBrains Mono" w:cs="JetBrains Mono" w:eastAsia="JetBrains Mono" w:hAnsi="JetBrains Mono"/>
        <w:color w:val="596975"/>
        <w:sz w:val="13"/>
        <w:szCs w:val="13"/>
      </w:rPr>
      <w:fldChar w:fldCharType="begin"/>
      <w:instrText xml:space="preserve">PAGE</w:instrText>
      <w:fldChar w:fldCharType="separate"/>
      <w:fldChar w:fldCharType="end"/>
    </w:r>
    <w:r>
      <w:rPr>
        <w:color w:val="596975"/>
        <w:sz w:val="14"/>
        <w:szCs w:val="14"/>
      </w:rPr>
      <w:t xml:space="preserve"> of </w:t>
    </w:r>
    <w:r>
      <w:rPr>
        <w:rFonts w:ascii="JetBrains Mono" w:cs="JetBrains Mono" w:eastAsia="JetBrains Mono" w:hAnsi="JetBrains Mono"/>
        <w:color w:val="596975"/>
        <w:sz w:val="13"/>
        <w:szCs w:val="13"/>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urniture"/>
      <w:tabs>
        <w:tab w:val="right" w:pos="9752"/>
      </w:tabs>
    </w:pPr>
    <w:r>
      <w:rPr>
        <w:color w:val="596975"/>
        <w:sz w:val="14"/>
        <w:szCs w:val="14"/>
      </w:rPr>
      <w:t xml:space="preserve">Informational only: no price commentary, investment advice or promises of returns.</w:t>
    </w:r>
    <w:r>
      <w:rPr>
        <w:color w:val="596975"/>
        <w:sz w:val="14"/>
        <w:szCs w:val="14"/>
      </w:rPr>
      <w:tab/>
      <w:t xml:space="preserve">Page </w:t>
    </w:r>
    <w:r>
      <w:rPr>
        <w:rFonts w:ascii="JetBrains Mono" w:cs="JetBrains Mono" w:eastAsia="JetBrains Mono" w:hAnsi="JetBrains Mono"/>
        <w:color w:val="596975"/>
        <w:sz w:val="13"/>
        <w:szCs w:val="13"/>
      </w:rPr>
      <w:fldChar w:fldCharType="begin"/>
      <w:instrText xml:space="preserve">PAGE</w:instrText>
      <w:fldChar w:fldCharType="separate"/>
      <w:fldChar w:fldCharType="end"/>
    </w:r>
    <w:r>
      <w:rPr>
        <w:color w:val="596975"/>
        <w:sz w:val="14"/>
        <w:szCs w:val="14"/>
      </w:rPr>
      <w:t xml:space="preserve"> of </w:t>
    </w:r>
    <w:r>
      <w:rPr>
        <w:rFonts w:ascii="JetBrains Mono" w:cs="JetBrains Mono" w:eastAsia="JetBrains Mono" w:hAnsi="JetBrains Mono"/>
        <w:color w:val="596975"/>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Furniture"/>
      <w:jc w:val="right"/>
    </w:pPr>
    <w:r>
      <w:rPr>
        <w:color w:val="596975"/>
        <w:sz w:val="14"/>
        <w:szCs w:val="14"/>
      </w:rPr>
      <w:t xml:space="preserve">Redbelly DAO · New CEO briefing · </w:t>
    </w:r>
    <w:r>
      <w:rPr>
        <w:rFonts w:ascii="JetBrains Mono" w:cs="JetBrains Mono" w:eastAsia="JetBrains Mono" w:hAnsi="JetBrains Mono"/>
        <w:color w:val="596975"/>
        <w:sz w:val="13"/>
        <w:szCs w:val="13"/>
      </w:rPr>
      <w:t xml:space="preserve">29 October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84" w:hanging="19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0F1A22"/>
        <w:sz w:val="18"/>
        <w:szCs w:val="18"/>
      </w:rPr>
    </w:rPrDefault>
    <w:pPrDefault>
      <w:pPr>
        <w:spacing w:after="90" w:line="259"/>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D3DBE1" w:sz="4" w:space="2"/>
      </w:pBdr>
      <w:spacing w:after="80" w:before="240"/>
      <w:outlineLvl w:val="0"/>
    </w:pPr>
    <w:rPr>
      <w:rFonts w:ascii="Be Vietnam Pro" w:cs="Be Vietnam Pro" w:eastAsia="Be Vietnam Pro" w:hAnsi="Be Vietnam Pro"/>
      <w:b/>
      <w:bCs/>
      <w:color w:val="0F1A22"/>
      <w:spacing w:val="-4"/>
      <w:sz w:val="24"/>
      <w:szCs w:val="24"/>
    </w:rPr>
  </w:style>
  <w:style w:type="paragraph" w:styleId="Furniture">
    <w:name w:val="Header Footer Small"/>
    <w:basedOn w:val="Normal"/>
    <w:qFormat w:val="false"/>
    <w:pPr>
      <w:spacing w:after="0"/>
    </w:pPr>
    <w:rPr>
      <w:rFonts w:ascii="Be Vietnam Pro" w:cs="Be Vietnam Pro" w:eastAsia="Be Vietnam Pro" w:hAnsi="Be Vietnam Pro"/>
      <w:color w:val="596975"/>
      <w:sz w:val="14"/>
      <w:szCs w:val="14"/>
    </w:rPr>
  </w:style>
  <w:style w:type="paragraph" w:styleId="Heading2">
    <w:name w:val="Heading 2"/>
    <w:basedOn w:val="Normal"/>
    <w:next w:val="Normal"/>
    <w:qFormat/>
    <w:pPr>
      <w:keepNext/>
      <w:spacing w:after="40" w:before="120"/>
      <w:outlineLvl w:val="1"/>
    </w:pPr>
    <w:rPr>
      <w:rFonts w:ascii="Be Vietnam Pro SemiBold" w:cs="Be Vietnam Pro SemiBold" w:eastAsia="Be Vietnam Pro SemiBold" w:hAnsi="Be Vietnam Pro SemiBold"/>
      <w:color w:val="0F1A22"/>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mdswwyxqkoq47cworz_nq" Type="http://schemas.openxmlformats.org/officeDocument/2006/relationships/hyperlink" Target="https://redbelly.network/blog/redbelly-new-CEO-is-a-payments-pioneer-betting-on-regulated-tokenisation" TargetMode="External"/><Relationship Id="rIdqp74jhpwd_b8na1cfzzbz" Type="http://schemas.openxmlformats.org/officeDocument/2006/relationships/hyperlink" Target="https://newshub.medianet.com.au/2026/09/redbellys-new-ceo-is-a-payments-pioneer-betting-on-regulated-tokenisation/171783/" TargetMode="External"/><Relationship Id="rIdvmrfz7wkr2aaqqegpoybq" Type="http://schemas.openxmlformats.org/officeDocument/2006/relationships/hyperlink" Target="https://smbtech.au/news/redbelly-network-taps-monoova-co-founder-as-chief-executive-to-lead-regulated-tokenisation-push/" TargetMode="External"/><Relationship Id="rIdsj1d39_5_lch6trjmqk9h" Type="http://schemas.openxmlformats.org/officeDocument/2006/relationships/hyperlink" Target="https://www.bankingday.com/redbelly-announces-paytech-co-founder-christian-westerlind-wigstrom-as-ceo-to-push-into-tokenisation" TargetMode="External"/><Relationship Id="rIdl1xymh-oifo06lpb50p7n" Type="http://schemas.openxmlformats.org/officeDocument/2006/relationships/hyperlink" Target="https://redbelly.network/blog/redbelly-new-CEO-is-a-payments-pioneer-betting-on-regulated-tokenisation" TargetMode="External"/><Relationship Id="rIdtpemmhhj_t-mrpoft03lk" Type="http://schemas.openxmlformats.org/officeDocument/2006/relationships/hyperlink" Target="https://www.bankingday.com/redbelly-announces-paytech-co-founder-christian-westerlind-wigstrom-as-ceo-to-push-into-tokenisation" TargetMode="External"/><Relationship Id="rId_zznq4khhz2cqvu7zh2jj" Type="http://schemas.openxmlformats.org/officeDocument/2006/relationships/hyperlink" Target="https://www.linkedin.com/in/christian-westerlind-wigstrom/" TargetMode="External"/><Relationship Id="rIdgdwxdllavd_xibhfz6c6t" Type="http://schemas.openxmlformats.org/officeDocument/2006/relationships/hyperlink" Target="https://redbelly.network/blog/redbelly-new-CEO-is-a-payments-pioneer-betting-on-regulated-tokenisation" TargetMode="External"/><Relationship Id="rIdvdnvcmyfu2wcowrpq8l0z" Type="http://schemas.openxmlformats.org/officeDocument/2006/relationships/hyperlink" Target="https://smbtech.au/news/redbelly-network-taps-monoova-co-founder-as-chief-executive-to-lead-regulated-tokenisation-push/" TargetMode="External"/><Relationship Id="rIdv4q42zaz_s4glv4kubvir" Type="http://schemas.openxmlformats.org/officeDocument/2006/relationships/hyperlink" Target="https://redbelly.network/blog/redbelly-new-CEO-is-a-payments-pioneer-betting-on-regulated-tokenisation" TargetMode="External"/><Relationship Id="rId5gauxe79xy7i1bsp3aybi" Type="http://schemas.openxmlformats.org/officeDocument/2006/relationships/hyperlink" Target="https://www.monoova.com/blog/who-are-monova-and-what-do-we-do-a-chat-with-christian-westerlind-wigstrom" TargetMode="External"/><Relationship Id="rIddakzm4c_3tt9e1x298tdx" Type="http://schemas.openxmlformats.org/officeDocument/2006/relationships/hyperlink" Target="https://tokeniser.com/product/superpowers/instant-settlement" TargetMode="External"/><Relationship Id="rIdzuqc9wkcqg0gynrxui0zs" Type="http://schemas.openxmlformats.org/officeDocument/2006/relationships/hyperlink" Target="https://www.monoova.com/blog/who-are-monova-and-what-do-we-do-a-chat-with-christian-westerlind-wigstrom" TargetMode="External"/><Relationship Id="rIdiyckyr7ucitsgltjifnli" Type="http://schemas.openxmlformats.org/officeDocument/2006/relationships/hyperlink" Target="https://www.auspayplus.com.au/solutions/nppa-using-api-integration-to-match-fast-payments-with-fast-reconciliation" TargetMode="External"/><Relationship Id="rId27l6rvzbj1spuasmowbuh" Type="http://schemas.openxmlformats.org/officeDocument/2006/relationships/hyperlink" Target="https://www.monoova.com/blog/who-are-monova-and-what-do-we-do-a-chat-with-christian-westerlind-wigstrom" TargetMode="External"/><Relationship Id="rId1wuvtzd6nhcqbispbh1b0" Type="http://schemas.openxmlformats.org/officeDocument/2006/relationships/hyperlink" Target="https://www.monoova.com/blog/who-are-monova-and-what-do-we-do-a-chat-with-christian-westerlind-wigstrom" TargetMode="External"/><Relationship Id="rIdbpjgpbw7aehgjs8jtmyoh" Type="http://schemas.openxmlformats.org/officeDocument/2006/relationships/hyperlink" Target="https://www.auspayplus.com.au/solutions/nppa-using-api-integration-to-match-fast-payments-with-fast-reconciliation" TargetMode="External"/><Relationship Id="rIdz-y6y8joeaac4sbf8je37" Type="http://schemas.openxmlformats.org/officeDocument/2006/relationships/hyperlink" Target="https://www.auspayplus.com.au/solutions/nppa-using-api-integration-to-match-fast-payments-with-fast-reconciliation" TargetMode="External"/><Relationship Id="rIdrtlmprb2wirrmysholrdb" Type="http://schemas.openxmlformats.org/officeDocument/2006/relationships/hyperlink" Target="https://tokeniser.com" TargetMode="External"/><Relationship Id="rIdubmgnjbg5kcbdxddlokae" Type="http://schemas.openxmlformats.org/officeDocument/2006/relationships/hyperlink" Target="https://tokeniser.com/product/superpowers/instant-settlement" TargetMode="External"/><Relationship Id="rIdzombjp9xjxolmkttcylxf" Type="http://schemas.openxmlformats.org/officeDocument/2006/relationships/hyperlink" Target="https://www.monoova.com/blog/who-are-monova-and-what-do-we-do-a-chat-with-christian-westerlind-wigstrom" TargetMode="External"/><Relationship Id="rIdwajolq6elokj-c-0hyniz" Type="http://schemas.openxmlformats.org/officeDocument/2006/relationships/hyperlink" Target="https://redbelly.network/blog/redbelly-new-CEO-is-a-payments-pioneer-betting-on-regulated-tokenisation" TargetMode="External"/><Relationship Id="rIdbvpphjk-dfa7eoo6j8jek" Type="http://schemas.openxmlformats.org/officeDocument/2006/relationships/hyperlink" Target="https://redbelly.network/blog/redbelly-new-CEO-is-a-payments-pioneer-betting-on-regulated-tokenisation" TargetMode="External"/><Relationship Id="rIdp9saxltfqztoak4srcuom" Type="http://schemas.openxmlformats.org/officeDocument/2006/relationships/hyperlink" Target="https://redbelly.network/blog/redbelly-new-CEO-is-a-payments-pioneer-betting-on-regulated-tokenisation" TargetMode="External"/><Relationship Id="rIddw7-f4dratbxzmz5ezuuk" Type="http://schemas.openxmlformats.org/officeDocument/2006/relationships/hyperlink" Target="https://omny.fm/shows/talking-business/christian-westerlind-wigstrom-head-of-monoova" TargetMode="External"/><Relationship Id="rIdguomlwusc5t4dmxstdfpx" Type="http://schemas.openxmlformats.org/officeDocument/2006/relationships/hyperlink" Target="https://www.auspayplus.com.au/solutions/nppa-using-api-integration-to-match-fast-payments-with-fast-reconciliation" TargetMode="External"/><Relationship Id="rIdsyluu9fikb5texb-ditvx" Type="http://schemas.openxmlformats.org/officeDocument/2006/relationships/hyperlink" Target="https://www.auspayplus.com.au/solutions/nppa-using-api-integration-to-match-fast-payments-with-fast-reconciliation" TargetMode="External"/><Relationship Id="rIdvuhgla8abhzrtmkcaffgs" Type="http://schemas.openxmlformats.org/officeDocument/2006/relationships/hyperlink" Target="https://redbelly.network/blog/redbelly-new-CEO-is-a-payments-pioneer-betting-on-regulated-tokenisation" TargetMode="External"/><Relationship Id="rIdtlss7mdmtqrhpgqgezrtk" Type="http://schemas.openxmlformats.org/officeDocument/2006/relationships/hyperlink" Target="https://smbtech.au/news/redbelly-network-taps-monoova-co-founder-as-chief-executive-to-lead-regulated-tokenisation-push/" TargetMode="External"/><Relationship Id="rIdb3u668qwk8ubiermwvh9r" Type="http://schemas.openxmlformats.org/officeDocument/2006/relationships/hyperlink" Target="https://www.linkedin.com/in/christian-westerlind-wigstrom/" TargetMode="External"/><Relationship Id="rId-ovfosj6ufp7htnlklzok" Type="http://schemas.openxmlformats.org/officeDocument/2006/relationships/hyperlink" Target="https://www.bankingday.com/redbelly-announces-paytech-co-founder-christian-westerlind-wigstrom-as-ceo-to-push-into-tokenisation" TargetMode="External"/><Relationship Id="rIdifepu3wwz-fppivvrcpno" Type="http://schemas.openxmlformats.org/officeDocument/2006/relationships/hyperlink" Target="https://www.linkedin.com/in/christian-westerlind-wigstrom/" TargetMode="External"/><Relationship Id="rIdzzmbgypjfc4lkdejtkgq8" Type="http://schemas.openxmlformats.org/officeDocument/2006/relationships/hyperlink" Target="https://auspaynet.com.au/about" TargetMode="External"/><Relationship Id="rIdhthdymxbydmmj5xleeeny" Type="http://schemas.openxmlformats.org/officeDocument/2006/relationships/hyperlink" Target="https://www.thebusinessconversation.com.au/contributor/christian-westerlind-wigstrom" TargetMode="External"/><Relationship Id="rId9rogsze5ldws9mvshii6v" Type="http://schemas.openxmlformats.org/officeDocument/2006/relationships/hyperlink" Target="https://omny.fm/shows/talking-business/christian-westerlind-wigstrom-head-of-monoova" TargetMode="External"/><Relationship Id="rId80aow4nbxvtg-n3904hgs" Type="http://schemas.openxmlformats.org/officeDocument/2006/relationships/hyperlink" Target="https://prospectmagazine.co.uk/author/4761/christian-westerlind-wigstrom" TargetMode="External"/><Relationship Id="rIdffy3ippgkh0g3fapniyoe" Type="http://schemas.openxmlformats.org/officeDocument/2006/relationships/hyperlink" Target="https://www.linkedin.com/in/christian-westerlind-wigstrom/" TargetMode="External"/><Relationship Id="rIdltc4ynanxsbxotja1sdvm" Type="http://schemas.openxmlformats.org/officeDocument/2006/relationships/hyperlink" Target="https://ineteconomics.org/research/experts/cwwigstrom" TargetMode="External"/><Relationship Id="rIdkuw0jy4i3ssg1sibd1-xg" Type="http://schemas.openxmlformats.org/officeDocument/2006/relationships/hyperlink" Target="https://www.thebusinessconversation.com.au/contributor/christian-westerlind-wigstrom" TargetMode="External"/><Relationship Id="rIdgnud9wfst1ahf-paijz7n" Type="http://schemas.openxmlformats.org/officeDocument/2006/relationships/hyperlink" Target="https://omny.fm/shows/talking-business/christian-westerlind-wigstrom-head-of-monoova" TargetMode="External"/><Relationship Id="rIdjlyw9lqsadk1zujhvsusj" Type="http://schemas.openxmlformats.org/officeDocument/2006/relationships/hyperlink" Target="https://www.thebusinessconversation.com.au/contributor/christian-westerlind-wigstrom" TargetMode="External"/><Relationship Id="rIdjrrn9j3yrxgqol9fisvrw" Type="http://schemas.openxmlformats.org/officeDocument/2006/relationships/hyperlink" Target="https://omny.fm/shows/talking-business/christian-westerlind-wigstrom-head-of-monoova" TargetMode="External"/><Relationship Id="rId8fkkyoouahx5d00qwce96" Type="http://schemas.openxmlformats.org/officeDocument/2006/relationships/hyperlink" Target="https://prospectmagazine.co.uk/author/4761/christian-westerlind-wigstrom" TargetMode="External"/><Relationship Id="rId_l2naoc7d3_k0jyt6wys9" Type="http://schemas.openxmlformats.org/officeDocument/2006/relationships/hyperlink" Target="https://omny.fm/shows/talking-business/christian-westerlind-wigstrom-head-of-monoova" TargetMode="External"/><Relationship Id="rIdllax19lijcfytutdl3mb8" Type="http://schemas.openxmlformats.org/officeDocument/2006/relationships/hyperlink" Target="https://redbelly.network/blog/redbelly-new-CEO-is-a-payments-pioneer-betting-on-regulated-tokenisation" TargetMode="External"/><Relationship Id="rIdejfsgwav0azusc0haio6d" Type="http://schemas.openxmlformats.org/officeDocument/2006/relationships/hyperlink" Target="https://redbelly.network/blog/redbelly-new-CEO-is-a-payments-pioneer-betting-on-regulated-tokenisation" TargetMode="External"/><Relationship Id="rIdnybdzksd_ownuqjavfiri" Type="http://schemas.openxmlformats.org/officeDocument/2006/relationships/hyperlink" Target="https://redbelly.network/blog/redbelly-new-CEO-is-a-payments-pioneer-betting-on-regulated-tokenisation" TargetMode="External"/><Relationship Id="rIdij4bbbveee6apyvosjai4" Type="http://schemas.openxmlformats.org/officeDocument/2006/relationships/hyperlink" Target="https://redbelly.network/blog/redbelly-new-CEO-is-a-payments-pioneer-betting-on-regulated-tokenisation" TargetMode="External"/><Relationship Id="rIdqgtfg5qtki8a571tee0ae" Type="http://schemas.openxmlformats.org/officeDocument/2006/relationships/hyperlink" Target="https://redbelly.network/blog/redbelly-new-CEO-is-a-payments-pioneer-betting-on-regulated-tokenisation" TargetMode="External"/><Relationship Id="rIdcnd0q3jde_ttvgggi7oj_" Type="http://schemas.openxmlformats.org/officeDocument/2006/relationships/hyperlink" Target="https://redbelly.network/blog/redbelly-new-CEO-is-a-payments-pioneer-betting-on-regulated-tokenisation" TargetMode="External"/><Relationship Id="rIdpx3pjam5yldz3zrlrterf" Type="http://schemas.openxmlformats.org/officeDocument/2006/relationships/hyperlink" Target="https://redbelly.network/blog/redbelly-new-CEO-is-a-payments-pioneer-betting-on-regulated-tokenisation" TargetMode="External"/><Relationship Id="rIde4c28vwewwoxuciwc2dzo" Type="http://schemas.openxmlformats.org/officeDocument/2006/relationships/hyperlink" Target="https://newshub.medianet.com.au/2026/09/redbellys-new-ceo-is-a-payments-pioneer-betting-on-regulated-tokenisation/171783/" TargetMode="External"/><Relationship Id="rIds4dgk9ltvilapotum43ha" Type="http://schemas.openxmlformats.org/officeDocument/2006/relationships/hyperlink" Target="https://redbelly.network/blog/redbelly-new-CEO-is-a-payments-pioneer-betting-on-regulated-tokenisation" TargetMode="External"/><Relationship Id="rId4jdpub8t3uzbio7s6apmx" Type="http://schemas.openxmlformats.org/officeDocument/2006/relationships/hyperlink" Target="https://tokeniser.com/why-tokenise" TargetMode="External"/><Relationship Id="rId8z4s0pwy1t51ok_nkxede" Type="http://schemas.openxmlformats.org/officeDocument/2006/relationships/hyperlink" Target="https://redbelly.network/blog/redbelly-new-CEO-is-a-payments-pioneer-betting-on-regulated-tokenisation" TargetMode="External"/><Relationship Id="rIdzi0jsjeednufp9nip13_a" Type="http://schemas.openxmlformats.org/officeDocument/2006/relationships/hyperlink" Target="https://redbelly.network/blog/redbelly-new-CEO-is-a-payments-pioneer-betting-on-regulated-tokenisation" TargetMode="External"/><Relationship Id="rIdzowegeekrdqouiywgsanj" Type="http://schemas.openxmlformats.org/officeDocument/2006/relationships/hyperlink" Target="https://tokeniser.com/technology" TargetMode="External"/><Relationship Id="rIdiy65occ29hdkj7xby0546" Type="http://schemas.openxmlformats.org/officeDocument/2006/relationships/hyperlink" Target="https://www.bankingday.com/redbelly-announces-paytech-co-founder-christian-westerlind-wigstrom-as-ceo-to-push-into-tokenisation" TargetMode="External"/><Relationship Id="rIdkas9iv_xtqss3gesilvp0" Type="http://schemas.openxmlformats.org/officeDocument/2006/relationships/hyperlink" Target="https://www.bankingday.com/redbelly-announces-paytech-co-founder-christian-westerlind-wigstrom-as-ceo-to-push-into-tokenisation" TargetMode="External"/><Relationship Id="rId46ksxw3yrtjchtqaryj6-" Type="http://schemas.openxmlformats.org/officeDocument/2006/relationships/hyperlink" Target="https://tokeniser.com/technology" TargetMode="External"/><Relationship Id="rId15cubeckq5jjfyhvgoo7t" Type="http://schemas.openxmlformats.org/officeDocument/2006/relationships/hyperlink" Target="https://tokeniser.com" TargetMode="External"/><Relationship Id="rIdqgpiz18atopzl9kwbnh9y" Type="http://schemas.openxmlformats.org/officeDocument/2006/relationships/hyperlink" Target="https://tokeniser.com" TargetMode="External"/><Relationship Id="rId7smjmnwga33asjh_k544c" Type="http://schemas.openxmlformats.org/officeDocument/2006/relationships/hyperlink" Target="https://tokeniser.com/product/superpowers/instant-settlement" TargetMode="External"/><Relationship Id="rId4ngxopk5vnwjvvcbo2j5-" Type="http://schemas.openxmlformats.org/officeDocument/2006/relationships/hyperlink" Target="https://tokeniser.com/product/efficiency" TargetMode="External"/><Relationship Id="rIdiulmdtjnh6bgpgg-_tddv" Type="http://schemas.openxmlformats.org/officeDocument/2006/relationships/hyperlink" Target="https://tokeniser.com" TargetMode="External"/><Relationship Id="rIdcspfxnqibnsg4dmcv5ars" Type="http://schemas.openxmlformats.org/officeDocument/2006/relationships/hyperlink" Target="https://tokeniser.com" TargetMode="External"/><Relationship Id="rIddqqccgded_wxgdlxo3r3e" Type="http://schemas.openxmlformats.org/officeDocument/2006/relationships/hyperlink" Target="https://tokeniser.com/product/superpowers/instant-settlement" TargetMode="External"/><Relationship Id="rIdg3wrrlj-jt7ljpje1x6_e" Type="http://schemas.openxmlformats.org/officeDocument/2006/relationships/hyperlink" Target="https://tokeniser.com/product/efficiency" TargetMode="External"/><Relationship Id="rIdan1mjnnsm7lsr_cdk2tna" Type="http://schemas.openxmlformats.org/officeDocument/2006/relationships/hyperlink" Target="https://www.monoova.com/blog/who-are-monova-and-what-do-we-do-a-chat-with-christian-westerlind-wigstrom" TargetMode="External"/><Relationship Id="rIdwzmbjrg2obola8k_nltja" Type="http://schemas.openxmlformats.org/officeDocument/2006/relationships/hyperlink" Target="https://www.auspayplus.com.au/solutions/nppa-using-api-integration-to-match-fast-payments-with-fast-reconciliation" TargetMode="External"/><Relationship Id="rIdrk5lmn_xotta8hvhjjwvg" Type="http://schemas.openxmlformats.org/officeDocument/2006/relationships/hyperlink" Target="https://redbelly.network/blog/redbelly-new-CEO-is-a-payments-pioneer-betting-on-regulated-tokenisation" TargetMode="External"/><Relationship Id="rIdpvgsiqvh0wrhwcqtv06ye" Type="http://schemas.openxmlformats.org/officeDocument/2006/relationships/hyperlink" Target="https://tokeniser.com" TargetMode="External"/><Relationship Id="rIdb_tbmkrx9t82wap9iyyki" Type="http://schemas.openxmlformats.org/officeDocument/2006/relationships/hyperlink" Target="https://tokeniser.com/solutions/funds" TargetMode="External"/><Relationship Id="rId4zgl1naqx5y5zj3fghgw5" Type="http://schemas.openxmlformats.org/officeDocument/2006/relationships/hyperlink" Target="https://redbelly.network/blog/redbelly-new-CEO-is-a-payments-pioneer-betting-on-regulated-tokenisation" TargetMode="External"/><Relationship Id="rIdve-r0h7bwci0qpswx7enq" Type="http://schemas.openxmlformats.org/officeDocument/2006/relationships/hyperlink" Target="https://tokeniser.com" TargetMode="External"/><Relationship Id="rIdohcgkktvfpfadlezwbu-9" Type="http://schemas.openxmlformats.org/officeDocument/2006/relationships/hyperlink" Target="https://tokeniser.com/why-tokenise" TargetMode="External"/><Relationship Id="rIdewyvmawb2z0n9awjeenoa" Type="http://schemas.openxmlformats.org/officeDocument/2006/relationships/hyperlink" Target="https://redbelly.network/blog/redbelly-new-CEO-is-a-payments-pioneer-betting-on-regulated-tokenisation" TargetMode="External"/><Relationship Id="rIdi_hpwnigsunf1do3ep1j-" Type="http://schemas.openxmlformats.org/officeDocument/2006/relationships/hyperlink" Target="https://smbtech.au/news/redbelly-network-taps-monoova-co-founder-as-chief-executive-to-lead-regulated-tokenisation-push/" TargetMode="External"/><Relationship Id="rId17djhzkbfpsl0spktn3lr" Type="http://schemas.openxmlformats.org/officeDocument/2006/relationships/hyperlink" Target="https://auspaynet.com.au/about" TargetMode="External"/><Relationship Id="rIdk7w79vqtq2kcsae2wnjak" Type="http://schemas.openxmlformats.org/officeDocument/2006/relationships/hyperlink" Target="https://redbelly.network/blog/redbelly-new-CEO-is-a-payments-pioneer-betting-on-regulated-tokenisation" TargetMode="External"/><Relationship Id="rIdwjsj3k7lyxeblvvhf9vcp" Type="http://schemas.openxmlformats.org/officeDocument/2006/relationships/hyperlink" Target="https://redbelly.network/blog/redbelly-new-CEO-is-a-payments-pioneer-betting-on-regulated-tokenisation" TargetMode="External"/><Relationship Id="rIdqcyvfyitckphonpjhtz06" Type="http://schemas.openxmlformats.org/officeDocument/2006/relationships/hyperlink" Target="https://www.bankingday.com/redbelly-announces-paytech-co-founder-christian-westerlind-wigstrom-as-ceo-to-push-into-tokenisation" TargetMode="External"/><Relationship Id="rId11" Type="http://schemas.openxmlformats.org/officeDocument/2006/relationships/image" Target="media/4298d49f718fc85d296ced08cbda94352c3700f1.png"/><Relationship Id="rId9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Christian Westerlind Wigstrom, Redbelly’s incoming CEO: briefing</dc:title>
  <dc:creator>Redbelly DAO TASK-28</dc:creator>
  <dc:description>Who he is, what Redbelly announced, and what his payments track record could mean for Tokeniser</dc:description>
  <cp:lastModifiedBy>Redbelly DAO TASK-28</cp:lastModifiedBy>
  <cp:revision>1</cp:revision>
  <dcterms:created xsi:type="dcterms:W3CDTF">2026-10-29T17:59:33.224Z</dcterms:created>
  <dcterms:modified xsi:type="dcterms:W3CDTF">2026-10-29T17:59:33.224Z</dcterms:modified>
</cp:coreProperties>
</file>

<file path=docProps/custom.xml><?xml version="1.0" encoding="utf-8"?>
<Properties xmlns="http://schemas.openxmlformats.org/officeDocument/2006/custom-properties" xmlns:vt="http://schemas.openxmlformats.org/officeDocument/2006/docPropsVTypes"/>
</file>