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Montserrat" w:cs="Montserrat" w:eastAsia="Montserrat" w:hAnsi="Montserrat"/>
          <w:color w:val="009C9C"/>
          <w:sz w:val="16"/>
          <w:szCs w:val="16"/>
        </w:rPr>
        <w:t xml:space="preserve">Script document · TASK-26 Tokenisation Explainer Animation</w:t>
      </w:r>
    </w:p>
    <w:p>
      <w:pPr>
        <w:pStyle w:val="Title"/>
      </w:pPr>
      <w:r>
        <w:rPr>
          <w:rFonts w:ascii="Montserrat" w:cs="Montserrat" w:eastAsia="Montserrat" w:hAnsi="Montserrat"/>
          <w:b/>
          <w:bCs/>
          <w:color w:val="343740"/>
          <w:sz w:val="48"/>
          <w:szCs w:val="48"/>
        </w:rPr>
        <w:t xml:space="preserve">One building, one token</w:t>
      </w:r>
    </w:p>
    <w:p>
      <w:pPr>
        <w:spacing w:after="240"/>
      </w:pPr>
      <w:r>
        <w:rPr>
          <w:rFonts w:ascii="Montserrat" w:cs="Montserrat" w:eastAsia="Montserrat" w:hAnsi="Montserrat"/>
          <w:color w:val="5E6270"/>
          <w:sz w:val="22"/>
          <w:szCs w:val="22"/>
        </w:rPr>
        <w:t xml:space="preserve">How a commercial property fund becomes a compliant token on Redbelly Network, through Tokeniser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Mar>
              <w:top w:type="dxa" w:w="80"/>
              <w:left w:type="dxa" w:w="100"/>
              <w:bottom w:type="dxa" w:w="80"/>
              <w:right w:type="dxa" w:w="100"/>
            </w:tcMar>
          </w:tcPr>
          <w:p>
            <w:pPr>
              <w:spacing w:after="0"/>
            </w:pPr>
            <w:r>
              <w:rPr>
                <w:rFonts w:ascii="Montserrat" w:cs="Montserrat" w:eastAsia="Montserrat" w:hAnsi="Montserrat"/>
                <w:b/>
                <w:bCs/>
                <w:color w:val="343740"/>
                <w:sz w:val="20"/>
                <w:szCs w:val="20"/>
              </w:rPr>
              <w:t xml:space="preserve">Asset</w:t>
            </w:r>
          </w:p>
        </w:tc>
        <w:tc>
          <w:tcPr>
            <w:tcW w:type="pct" w:w="75%"/>
            <w:tcMar>
              <w:top w:type="dxa" w:w="80"/>
              <w:left w:type="dxa" w:w="100"/>
              <w:bottom w:type="dxa" w:w="80"/>
              <w:right w:type="dxa" w:w="100"/>
            </w:tcMar>
          </w:tcPr>
          <w:p>
            <w:pPr>
              <w:spacing w:after="0"/>
            </w:pPr>
            <w:r>
              <w:rPr>
                <w:rFonts w:ascii="Montserrat" w:cs="Montserrat" w:eastAsia="Montserrat" w:hAnsi="Montserrat"/>
                <w:color w:val="343740"/>
                <w:sz w:val="20"/>
                <w:szCs w:val="20"/>
              </w:rPr>
              <w:t xml:space="preserve">An illustrative Australian commercial property fund (a unit trust that owns an office building)</w:t>
            </w:r>
          </w:p>
        </w:tc>
      </w:tr>
      <w:tr>
        <w:tc>
          <w:tcPr>
            <w:tcW w:type="pct" w:w="25%"/>
            <w:tcMar>
              <w:top w:type="dxa" w:w="80"/>
              <w:left w:type="dxa" w:w="100"/>
              <w:bottom w:type="dxa" w:w="80"/>
              <w:right w:type="dxa" w:w="100"/>
            </w:tcMar>
          </w:tcPr>
          <w:p>
            <w:pPr>
              <w:spacing w:after="0"/>
            </w:pPr>
            <w:r>
              <w:rPr>
                <w:rFonts w:ascii="Montserrat" w:cs="Montserrat" w:eastAsia="Montserrat" w:hAnsi="Montserrat"/>
                <w:b/>
                <w:bCs/>
                <w:color w:val="343740"/>
                <w:sz w:val="20"/>
                <w:szCs w:val="20"/>
              </w:rPr>
              <w:t xml:space="preserve">Runtime</w:t>
            </w:r>
          </w:p>
        </w:tc>
        <w:tc>
          <w:tcPr>
            <w:tcW w:type="pct" w:w="75%"/>
            <w:tcMar>
              <w:top w:type="dxa" w:w="80"/>
              <w:left w:type="dxa" w:w="100"/>
              <w:bottom w:type="dxa" w:w="80"/>
              <w:right w:type="dxa" w:w="100"/>
            </w:tcMar>
          </w:tcPr>
          <w:p>
            <w:pPr>
              <w:spacing w:after="0"/>
            </w:pPr>
            <w:r>
              <w:rPr>
                <w:rFonts w:ascii="Montserrat" w:cs="Montserrat" w:eastAsia="Montserrat" w:hAnsi="Montserrat"/>
                <w:color w:val="343740"/>
                <w:sz w:val="20"/>
                <w:szCs w:val="20"/>
              </w:rPr>
              <w:t xml:space="preserve">86.9 seconds, 1920 x 1080, 60 fps, H.264 MP4</w:t>
            </w:r>
          </w:p>
        </w:tc>
      </w:tr>
      <w:tr>
        <w:tc>
          <w:tcPr>
            <w:tcW w:type="pct" w:w="25%"/>
            <w:tcMar>
              <w:top w:type="dxa" w:w="80"/>
              <w:left w:type="dxa" w:w="100"/>
              <w:bottom w:type="dxa" w:w="80"/>
              <w:right w:type="dxa" w:w="100"/>
            </w:tcMar>
          </w:tcPr>
          <w:p>
            <w:pPr>
              <w:spacing w:after="0"/>
            </w:pPr>
            <w:r>
              <w:rPr>
                <w:rFonts w:ascii="Montserrat" w:cs="Montserrat" w:eastAsia="Montserrat" w:hAnsi="Montserrat"/>
                <w:b/>
                <w:bCs/>
                <w:color w:val="343740"/>
                <w:sz w:val="20"/>
                <w:szCs w:val="20"/>
              </w:rPr>
              <w:t xml:space="preserve">Voiceover</w:t>
            </w:r>
          </w:p>
        </w:tc>
        <w:tc>
          <w:tcPr>
            <w:tcW w:type="pct" w:w="75%"/>
            <w:tcMar>
              <w:top w:type="dxa" w:w="80"/>
              <w:left w:type="dxa" w:w="100"/>
              <w:bottom w:type="dxa" w:w="80"/>
              <w:right w:type="dxa" w:w="100"/>
            </w:tcMar>
          </w:tcPr>
          <w:p>
            <w:pPr>
              <w:spacing w:after="0"/>
            </w:pPr>
            <w:r>
              <w:rPr>
                <w:rFonts w:ascii="Montserrat" w:cs="Montserrat" w:eastAsia="Montserrat" w:hAnsi="Montserrat"/>
                <w:color w:val="343740"/>
                <w:sz w:val="20"/>
                <w:szCs w:val="20"/>
              </w:rPr>
              <w:t xml:space="preserve">British English, male, 197 words, generated with Kokoro-82M v1.0 (ONNX) (voice bm_george, Apache 2.0)</w:t>
            </w:r>
          </w:p>
        </w:tc>
      </w:tr>
      <w:tr>
        <w:tc>
          <w:tcPr>
            <w:tcW w:type="pct" w:w="25%"/>
            <w:tcMar>
              <w:top w:type="dxa" w:w="80"/>
              <w:left w:type="dxa" w:w="100"/>
              <w:bottom w:type="dxa" w:w="80"/>
              <w:right w:type="dxa" w:w="100"/>
            </w:tcMar>
          </w:tcPr>
          <w:p>
            <w:pPr>
              <w:spacing w:after="0"/>
            </w:pPr>
            <w:r>
              <w:rPr>
                <w:rFonts w:ascii="Montserrat" w:cs="Montserrat" w:eastAsia="Montserrat" w:hAnsi="Montserrat"/>
                <w:b/>
                <w:bCs/>
                <w:color w:val="343740"/>
                <w:sz w:val="20"/>
                <w:szCs w:val="20"/>
              </w:rPr>
              <w:t xml:space="preserve">Subtitles</w:t>
            </w:r>
          </w:p>
        </w:tc>
        <w:tc>
          <w:tcPr>
            <w:tcW w:type="pct" w:w="75%"/>
            <w:tcMar>
              <w:top w:type="dxa" w:w="80"/>
              <w:left w:type="dxa" w:w="100"/>
              <w:bottom w:type="dxa" w:w="80"/>
              <w:right w:type="dxa" w:w="100"/>
            </w:tcMar>
          </w:tcPr>
          <w:p>
            <w:pPr>
              <w:spacing w:after="0"/>
            </w:pPr>
            <w:r>
              <w:rPr>
                <w:rFonts w:ascii="Montserrat" w:cs="Montserrat" w:eastAsia="Montserrat" w:hAnsi="Montserrat"/>
                <w:color w:val="343740"/>
                <w:sz w:val="20"/>
                <w:szCs w:val="20"/>
              </w:rPr>
              <w:t xml:space="preserve">Burned into the main video, and supplied as SRT and WebVTT files</w:t>
            </w:r>
          </w:p>
        </w:tc>
      </w:tr>
      <w:tr>
        <w:tc>
          <w:tcPr>
            <w:tcW w:type="pct" w:w="25%"/>
            <w:tcMar>
              <w:top w:type="dxa" w:w="80"/>
              <w:left w:type="dxa" w:w="100"/>
              <w:bottom w:type="dxa" w:w="80"/>
              <w:right w:type="dxa" w:w="100"/>
            </w:tcMar>
          </w:tcPr>
          <w:p>
            <w:pPr>
              <w:spacing w:after="0"/>
            </w:pPr>
            <w:r>
              <w:rPr>
                <w:rFonts w:ascii="Montserrat" w:cs="Montserrat" w:eastAsia="Montserrat" w:hAnsi="Montserrat"/>
                <w:b/>
                <w:bCs/>
                <w:color w:val="343740"/>
                <w:sz w:val="20"/>
                <w:szCs w:val="20"/>
              </w:rPr>
              <w:t xml:space="preserve">Spelling</w:t>
            </w:r>
          </w:p>
        </w:tc>
        <w:tc>
          <w:tcPr>
            <w:tcW w:type="pct" w:w="75%"/>
            <w:tcMar>
              <w:top w:type="dxa" w:w="80"/>
              <w:left w:type="dxa" w:w="100"/>
              <w:bottom w:type="dxa" w:w="80"/>
              <w:right w:type="dxa" w:w="100"/>
            </w:tcMar>
          </w:tcPr>
          <w:p>
            <w:pPr>
              <w:spacing w:after="0"/>
            </w:pPr>
            <w:r>
              <w:rPr>
                <w:rFonts w:ascii="Montserrat" w:cs="Montserrat" w:eastAsia="Montserrat" w:hAnsi="Montserrat"/>
                <w:color w:val="343740"/>
                <w:sz w:val="20"/>
                <w:szCs w:val="20"/>
              </w:rPr>
              <w:t xml:space="preserve">Australian and British English</w:t>
            </w:r>
          </w:p>
        </w:tc>
      </w:tr>
      <w:tr>
        <w:tc>
          <w:tcPr>
            <w:tcW w:type="pct" w:w="25%"/>
            <w:tcMar>
              <w:top w:type="dxa" w:w="80"/>
              <w:left w:type="dxa" w:w="100"/>
              <w:bottom w:type="dxa" w:w="80"/>
              <w:right w:type="dxa" w:w="100"/>
            </w:tcMar>
          </w:tcPr>
          <w:p>
            <w:pPr>
              <w:spacing w:after="0"/>
            </w:pPr>
            <w:r>
              <w:rPr>
                <w:rFonts w:ascii="Montserrat" w:cs="Montserrat" w:eastAsia="Montserrat" w:hAnsi="Montserrat"/>
                <w:b/>
                <w:bCs/>
                <w:color w:val="343740"/>
                <w:sz w:val="20"/>
                <w:szCs w:val="20"/>
              </w:rPr>
              <w:t xml:space="preserve">Last verified</w:t>
            </w:r>
          </w:p>
        </w:tc>
        <w:tc>
          <w:tcPr>
            <w:tcW w:type="pct" w:w="75%"/>
            <w:tcMar>
              <w:top w:type="dxa" w:w="80"/>
              <w:left w:type="dxa" w:w="100"/>
              <w:bottom w:type="dxa" w:w="80"/>
              <w:right w:type="dxa" w:w="100"/>
            </w:tcMar>
          </w:tcPr>
          <w:p>
            <w:pPr>
              <w:spacing w:after="0"/>
            </w:pPr>
            <w:r>
              <w:rPr>
                <w:rFonts w:ascii="Montserrat" w:cs="Montserrat" w:eastAsia="Montserrat" w:hAnsi="Montserrat"/>
                <w:color w:val="343740"/>
                <w:sz w:val="20"/>
                <w:szCs w:val="20"/>
              </w:rPr>
              <w:t xml:space="preserve">22 October 2026, against the source snapshots in evidence/ (capture times in evidence/manifest.json)</w:t>
            </w:r>
          </w:p>
        </w:tc>
      </w:tr>
      <w:tr>
        <w:tc>
          <w:tcPr>
            <w:tcW w:type="pct" w:w="25%"/>
            <w:tcMar>
              <w:top w:type="dxa" w:w="80"/>
              <w:left w:type="dxa" w:w="100"/>
              <w:bottom w:type="dxa" w:w="80"/>
              <w:right w:type="dxa" w:w="100"/>
            </w:tcMar>
          </w:tcPr>
          <w:p>
            <w:pPr>
              <w:spacing w:after="0"/>
            </w:pPr>
            <w:r>
              <w:rPr>
                <w:rFonts w:ascii="Montserrat" w:cs="Montserrat" w:eastAsia="Montserrat" w:hAnsi="Montserrat"/>
                <w:b/>
                <w:bCs/>
                <w:color w:val="343740"/>
                <w:sz w:val="20"/>
                <w:szCs w:val="20"/>
              </w:rPr>
              <w:t xml:space="preserve">Fact rule</w:t>
            </w:r>
          </w:p>
        </w:tc>
        <w:tc>
          <w:tcPr>
            <w:tcW w:type="pct" w:w="75%"/>
            <w:tcMar>
              <w:top w:type="dxa" w:w="80"/>
              <w:left w:type="dxa" w:w="100"/>
              <w:bottom w:type="dxa" w:w="80"/>
              <w:right w:type="dxa" w:w="100"/>
            </w:tcMar>
          </w:tcPr>
          <w:p>
            <w:pPr>
              <w:spacing w:after="0"/>
            </w:pPr>
            <w:r>
              <w:rPr>
                <w:rFonts w:ascii="Montserrat" w:cs="Montserrat" w:eastAsia="Montserrat" w:hAnsi="Montserrat"/>
                <w:color w:val="343740"/>
                <w:sz w:val="20"/>
                <w:szCs w:val="20"/>
              </w:rPr>
              <w:t xml:space="preserve">Every statement about Redbelly Network or Tokeniser below is matched to a verbatim quote from the supplied resources. No price talk, no returns, no investment advice.</w:t>
            </w:r>
          </w:p>
        </w:tc>
      </w:tr>
    </w:tbl>
    <w:p>
      <w:pPr>
        <w:pStyle w:val="Heading1"/>
        <w:spacing w:before="300"/>
      </w:pPr>
      <w:r>
        <w:rPr>
          <w:rFonts w:ascii="Montserrat" w:cs="Montserrat" w:eastAsia="Montserrat" w:hAnsi="Montserrat"/>
          <w:b/>
          <w:bCs/>
          <w:sz w:val="26"/>
          <w:szCs w:val="26"/>
        </w:rPr>
        <w:t xml:space="preserve">Full voiceover</w:t>
      </w:r>
    </w:p>
    <w:p>
      <w:pPr>
        <w:spacing w:after="120"/>
      </w:pPr>
      <w:r>
        <w:rPr>
          <w:rFonts w:ascii="Montserrat" w:cs="Montserrat" w:eastAsia="Montserrat" w:hAnsi="Montserrat"/>
          <w:color w:val="343740"/>
          <w:sz w:val="20"/>
          <w:szCs w:val="20"/>
        </w:rPr>
        <w:t xml:space="preserve">This is an office building, owned through a commercial property fund. Its register of owners is kept during business hours. Tokenisation records ownership as digital tokens, and lets you program the rules of the asset. The fund stays a unit trust. Step one, set up. The fund manager verifies the entity, adds the fund details, and sets the rules on who can hold. Those rules are encoded into the token's smart contract. Step two, investors. Each investor completes identity checks and investor classification. No verified wallet, no tokens. Step three, issue. Tokens are minted on Redbelly Network and sent to verified wallets. Each is a fractional ownership interest, and the register updates immediately. Step four, transfer. Every transfer is checked against the rules first. A transfer to an ineligible investor is rejected. A compliant one settles in seconds. Distributions are paid to verified wallets in a single on-chain transaction. Records stay current for administrators, auditors and regulators. The fund manager uses a familiar platform, with no blockchain expertise required. Underneath runs Redbelly Network, Australia's public digital token infrastructure. One building, one fund, now a compliant token on Redbelly Network, through Tokeniser. Learn more at tokeniser dot com.</w:t>
      </w:r>
    </w:p>
    <w:p>
      <w:pPr>
        <w:pStyle w:val="Heading1"/>
        <w:spacing w:before="300"/>
      </w:pPr>
      <w:r>
        <w:rPr>
          <w:rFonts w:ascii="Montserrat" w:cs="Montserrat" w:eastAsia="Montserrat" w:hAnsi="Montserrat"/>
          <w:b/>
          <w:bCs/>
          <w:sz w:val="26"/>
          <w:szCs w:val="26"/>
        </w:rPr>
        <w:t xml:space="preserve">Scene by scene</w:t>
      </w:r>
    </w:p>
    <w:p>
      <w:pPr>
        <w:pStyle w:val="Heading2"/>
        <w:spacing w:before="240"/>
      </w:pPr>
      <w:r>
        <w:rPr>
          <w:rFonts w:ascii="Montserrat" w:cs="Montserrat" w:eastAsia="Montserrat" w:hAnsi="Montserrat"/>
          <w:b/>
          <w:bCs/>
          <w:sz w:val="23"/>
          <w:szCs w:val="23"/>
        </w:rPr>
        <w:t xml:space="preserve">The asset  (0:00.0 to 0:07.6)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F2FFF7" w:color="auto" w:val="clear"/>
            <w:tcMar>
              <w:top w:type="dxa" w:w="80"/>
              <w:left w:type="dxa" w:w="100"/>
              <w:bottom w:type="dxa" w:w="80"/>
              <w:right w:type="dxa" w:w="100"/>
            </w:tcMar>
          </w:tcPr>
          <w:p>
            <w:pPr>
              <w:spacing w:after="0"/>
            </w:pPr>
            <w:r>
              <w:rPr>
                <w:rFonts w:ascii="Montserrat" w:cs="Montserrat" w:eastAsia="Montserrat" w:hAnsi="Montserrat"/>
                <w:b/>
                <w:bCs/>
                <w:color w:val="343740"/>
                <w:sz w:val="20"/>
                <w:szCs w:val="20"/>
              </w:rPr>
              <w:t xml:space="preserve">Voiceover</w:t>
            </w:r>
          </w:p>
        </w:tc>
        <w:tc>
          <w:tcPr>
            <w:tcW w:type="pct" w:w="78%"/>
            <w:shd w:fill="F2FFF7" w:color="auto" w:val="clear"/>
            <w:tcMar>
              <w:top w:type="dxa" w:w="80"/>
              <w:left w:type="dxa" w:w="100"/>
              <w:bottom w:type="dxa" w:w="80"/>
              <w:right w:type="dxa" w:w="100"/>
            </w:tcMar>
          </w:tcPr>
          <w:p>
            <w:pPr>
              <w:spacing w:after="0"/>
            </w:pPr>
            <w:r>
              <w:rPr>
                <w:rFonts w:ascii="Montserrat" w:cs="Montserrat" w:eastAsia="Montserrat" w:hAnsi="Montserrat"/>
                <w:color w:val="343740"/>
                <w:sz w:val="21"/>
                <w:szCs w:val="21"/>
              </w:rPr>
              <w:t xml:space="preserve">This is an office building, owned through a commercial property fund. Its register of owners is kept during business hours.</w:t>
            </w:r>
          </w:p>
        </w:tc>
      </w:tr>
      <w:tr>
        <w:tc>
          <w:tcPr>
            <w:tcW w:type="pct" w:w="22%"/>
            <w:tcMar>
              <w:top w:type="dxa" w:w="80"/>
              <w:left w:type="dxa" w:w="100"/>
              <w:bottom w:type="dxa" w:w="80"/>
              <w:right w:type="dxa" w:w="100"/>
            </w:tcMar>
          </w:tcPr>
          <w:p>
            <w:pPr>
              <w:spacing w:after="0"/>
            </w:pPr>
            <w:r>
              <w:rPr>
                <w:rFonts w:ascii="Montserrat" w:cs="Montserrat" w:eastAsia="Montserrat" w:hAnsi="Montserrat"/>
                <w:b/>
                <w:bCs/>
                <w:color w:val="343740"/>
                <w:sz w:val="20"/>
                <w:szCs w:val="20"/>
              </w:rPr>
              <w:t xml:space="preserve">On screen text</w:t>
            </w:r>
          </w:p>
        </w:tc>
        <w:tc>
          <w:tcPr>
            <w:tcW w:type="pct" w:w="78%"/>
            <w:tcMar>
              <w:top w:type="dxa" w:w="80"/>
              <w:left w:type="dxa" w:w="100"/>
              <w:bottom w:type="dxa" w:w="80"/>
              <w:right w:type="dxa" w:w="100"/>
            </w:tcMar>
          </w:tcPr>
          <w:p>
            <w:pPr>
              <w:spacing w:after="40"/>
            </w:pPr>
            <w:r>
              <w:rPr>
                <w:rFonts w:ascii="Montserrat" w:cs="Montserrat" w:eastAsia="Montserrat" w:hAnsi="Montserrat"/>
                <w:color w:val="343740"/>
                <w:sz w:val="20"/>
                <w:szCs w:val="20"/>
              </w:rPr>
              <w:t xml:space="preserve">A commercial property fund</w:t>
            </w:r>
          </w:p>
          <w:p>
            <w:pPr>
              <w:spacing w:after="40"/>
            </w:pPr>
            <w:r>
              <w:rPr>
                <w:rFonts w:ascii="Montserrat" w:cs="Montserrat" w:eastAsia="Montserrat" w:hAnsi="Montserrat"/>
                <w:color w:val="343740"/>
                <w:sz w:val="20"/>
                <w:szCs w:val="20"/>
              </w:rPr>
              <w:t xml:space="preserve">Illustrative example</w:t>
            </w:r>
          </w:p>
          <w:p>
            <w:pPr>
              <w:spacing w:after="40"/>
            </w:pPr>
            <w:r>
              <w:rPr>
                <w:rFonts w:ascii="Montserrat" w:cs="Montserrat" w:eastAsia="Montserrat" w:hAnsi="Montserrat"/>
                <w:color w:val="343740"/>
                <w:sz w:val="20"/>
                <w:szCs w:val="20"/>
              </w:rPr>
              <w:t xml:space="preserve">Register of owners</w:t>
            </w:r>
          </w:p>
          <w:p>
            <w:pPr>
              <w:spacing w:after="40"/>
            </w:pPr>
            <w:r>
              <w:rPr>
                <w:rFonts w:ascii="Montserrat" w:cs="Montserrat" w:eastAsia="Montserrat" w:hAnsi="Montserrat"/>
                <w:color w:val="343740"/>
                <w:sz w:val="20"/>
                <w:szCs w:val="20"/>
              </w:rPr>
              <w:t xml:space="preserve">Kept during business hours</w:t>
            </w:r>
          </w:p>
        </w:tc>
      </w:tr>
      <w:tr>
        <w:tc>
          <w:tcPr>
            <w:tcW w:type="pct" w:w="22%"/>
            <w:tcMar>
              <w:top w:type="dxa" w:w="80"/>
              <w:left w:type="dxa" w:w="100"/>
              <w:bottom w:type="dxa" w:w="80"/>
              <w:right w:type="dxa" w:w="100"/>
            </w:tcMar>
          </w:tcPr>
          <w:p>
            <w:pPr>
              <w:spacing w:after="0"/>
            </w:pPr>
            <w:r>
              <w:rPr>
                <w:rFonts w:ascii="Montserrat" w:cs="Montserrat" w:eastAsia="Montserrat" w:hAnsi="Montserrat"/>
                <w:b/>
                <w:bCs/>
                <w:color w:val="343740"/>
                <w:sz w:val="20"/>
                <w:szCs w:val="20"/>
              </w:rPr>
              <w:t xml:space="preserve">Visual</w:t>
            </w:r>
          </w:p>
        </w:tc>
        <w:tc>
          <w:tcPr>
            <w:tcW w:type="pct" w:w="78%"/>
            <w:tcMar>
              <w:top w:type="dxa" w:w="80"/>
              <w:left w:type="dxa" w:w="100"/>
              <w:bottom w:type="dxa" w:w="80"/>
              <w:right w:type="dxa" w:w="100"/>
            </w:tcMar>
          </w:tcPr>
          <w:p>
            <w:pPr>
              <w:spacing w:after="0"/>
            </w:pPr>
            <w:r>
              <w:rPr>
                <w:rFonts w:ascii="Montserrat" w:cs="Montserrat" w:eastAsia="Montserrat" w:hAnsi="Montserrat"/>
                <w:color w:val="343740"/>
                <w:sz w:val="20"/>
                <w:szCs w:val="20"/>
              </w:rPr>
              <w:t xml:space="preserve">An office building draws itself in thin ink lines on a warm off white background. A label tags it as a commercial property fund, marked as an illustrative example. A paper style register of owners slides in beside it with a small clock reading business hours.</w:t>
            </w:r>
          </w:p>
        </w:tc>
      </w:tr>
      <w:tr>
        <w:tc>
          <w:tcPr>
            <w:tcW w:type="pct" w:w="22%"/>
            <w:tcMar>
              <w:top w:type="dxa" w:w="80"/>
              <w:left w:type="dxa" w:w="100"/>
              <w:bottom w:type="dxa" w:w="80"/>
              <w:right w:type="dxa" w:w="100"/>
            </w:tcMar>
          </w:tcPr>
          <w:p>
            <w:pPr>
              <w:spacing w:after="0"/>
            </w:pPr>
            <w:r>
              <w:rPr>
                <w:rFonts w:ascii="Montserrat" w:cs="Montserrat" w:eastAsia="Montserrat" w:hAnsi="Montserrat"/>
                <w:b/>
                <w:bCs/>
                <w:color w:val="343740"/>
                <w:sz w:val="18"/>
                <w:szCs w:val="18"/>
              </w:rPr>
              <w:t xml:space="preserve">Claim: a commercial property fund</w:t>
            </w:r>
          </w:p>
        </w:tc>
        <w:tc>
          <w:tcPr>
            <w:tcW w:type="pct" w:w="78%"/>
            <w:tcMar>
              <w:top w:type="dxa" w:w="80"/>
              <w:left w:type="dxa" w:w="100"/>
              <w:bottom w:type="dxa" w:w="80"/>
              <w:right w:type="dxa" w:w="100"/>
            </w:tcMar>
          </w:tcPr>
          <w:p>
            <w:pPr>
              <w:spacing w:after="40"/>
            </w:pPr>
            <w:r>
              <w:rPr>
                <w:rFonts w:ascii="Montserrat" w:cs="Montserrat" w:eastAsia="Montserrat" w:hAnsi="Montserrat"/>
                <w:i/>
                <w:iCs/>
                <w:color w:val="343740"/>
                <w:sz w:val="18"/>
                <w:szCs w:val="18"/>
              </w:rPr>
              <w:t xml:space="preserve">“High-value assets, a commercial property fund, a private equity vehicle, a loan note, have traditionally required large minimum investments”</w:t>
            </w:r>
          </w:p>
          <w:p>
            <w:pPr>
              <w:spacing w:after="0"/>
            </w:pPr>
            <w:r>
              <w:rPr>
                <w:rFonts w:ascii="Montserrat" w:cs="Montserrat" w:eastAsia="Montserrat" w:hAnsi="Montserrat"/>
                <w:color w:val="009C9C"/>
                <w:sz w:val="16"/>
                <w:szCs w:val="16"/>
              </w:rPr>
              <w:t xml:space="preserve">Tokeniser knowledge hub: What does tokenising your assets enable?, https://tokeniser.com/resources/knowledge-hub/business-case/what-does-tokenising-your-assets-enable</w:t>
            </w:r>
          </w:p>
        </w:tc>
      </w:tr>
      <w:tr>
        <w:tc>
          <w:tcPr>
            <w:tcW w:type="pct" w:w="22%"/>
            <w:tcMar>
              <w:top w:type="dxa" w:w="80"/>
              <w:left w:type="dxa" w:w="100"/>
              <w:bottom w:type="dxa" w:w="80"/>
              <w:right w:type="dxa" w:w="100"/>
            </w:tcMar>
          </w:tcPr>
          <w:p>
            <w:pPr>
              <w:spacing w:after="0"/>
            </w:pPr>
            <w:r>
              <w:rPr>
                <w:rFonts w:ascii="Montserrat" w:cs="Montserrat" w:eastAsia="Montserrat" w:hAnsi="Montserrat"/>
                <w:b/>
                <w:bCs/>
                <w:color w:val="343740"/>
                <w:sz w:val="18"/>
                <w:szCs w:val="18"/>
              </w:rPr>
              <w:t xml:space="preserve">Claim: Tokeniser supports real estate funds structured as a unit trust</w:t>
            </w:r>
          </w:p>
        </w:tc>
        <w:tc>
          <w:tcPr>
            <w:tcW w:type="pct" w:w="78%"/>
            <w:tcMar>
              <w:top w:type="dxa" w:w="80"/>
              <w:left w:type="dxa" w:w="100"/>
              <w:bottom w:type="dxa" w:w="80"/>
              <w:right w:type="dxa" w:w="100"/>
            </w:tcMar>
          </w:tcPr>
          <w:p>
            <w:pPr>
              <w:spacing w:after="40"/>
            </w:pPr>
            <w:r>
              <w:rPr>
                <w:rFonts w:ascii="Montserrat" w:cs="Montserrat" w:eastAsia="Montserrat" w:hAnsi="Montserrat"/>
                <w:i/>
                <w:iCs/>
                <w:color w:val="343740"/>
                <w:sz w:val="18"/>
                <w:szCs w:val="18"/>
              </w:rPr>
              <w:t xml:space="preserve">“Tokeniser supports cash funds, money market funds, DeFi asset funds, private credit funds, private equity funds, real estate funds, VC funds (GPLP structure), and any other funds structured as an MIS or unit trust.”</w:t>
            </w:r>
          </w:p>
          <w:p>
            <w:pPr>
              <w:spacing w:after="0"/>
            </w:pPr>
            <w:r>
              <w:rPr>
                <w:rFonts w:ascii="Montserrat" w:cs="Montserrat" w:eastAsia="Montserrat" w:hAnsi="Montserrat"/>
                <w:color w:val="009C9C"/>
                <w:sz w:val="16"/>
                <w:szCs w:val="16"/>
              </w:rPr>
              <w:t xml:space="preserve">Tokeniser knowledge hub: Is asset tokenisation right for my fund?, https://tokeniser.com/resources/knowledge-hub/business-case/is-asset-tokenisation-right-for-my-fund</w:t>
            </w:r>
          </w:p>
        </w:tc>
      </w:tr>
      <w:tr>
        <w:tc>
          <w:tcPr>
            <w:tcW w:type="pct" w:w="22%"/>
            <w:tcMar>
              <w:top w:type="dxa" w:w="80"/>
              <w:left w:type="dxa" w:w="100"/>
              <w:bottom w:type="dxa" w:w="80"/>
              <w:right w:type="dxa" w:w="100"/>
            </w:tcMar>
          </w:tcPr>
          <w:p>
            <w:pPr>
              <w:spacing w:after="0"/>
            </w:pPr>
            <w:r>
              <w:rPr>
                <w:rFonts w:ascii="Montserrat" w:cs="Montserrat" w:eastAsia="Montserrat" w:hAnsi="Montserrat"/>
                <w:b/>
                <w:bCs/>
                <w:color w:val="343740"/>
                <w:sz w:val="18"/>
                <w:szCs w:val="18"/>
              </w:rPr>
              <w:t xml:space="preserve">Claim: register kept during business hours</w:t>
            </w:r>
          </w:p>
        </w:tc>
        <w:tc>
          <w:tcPr>
            <w:tcW w:type="pct" w:w="78%"/>
            <w:tcMar>
              <w:top w:type="dxa" w:w="80"/>
              <w:left w:type="dxa" w:w="100"/>
              <w:bottom w:type="dxa" w:w="80"/>
              <w:right w:type="dxa" w:w="100"/>
            </w:tcMar>
          </w:tcPr>
          <w:p>
            <w:pPr>
              <w:spacing w:after="40"/>
            </w:pPr>
            <w:r>
              <w:rPr>
                <w:rFonts w:ascii="Montserrat" w:cs="Montserrat" w:eastAsia="Montserrat" w:hAnsi="Montserrat"/>
                <w:i/>
                <w:iCs/>
                <w:color w:val="343740"/>
                <w:sz w:val="18"/>
                <w:szCs w:val="18"/>
              </w:rPr>
              <w:t xml:space="preserve">“Share registries and fund administration platforms operate during business hours.”</w:t>
            </w:r>
          </w:p>
          <w:p>
            <w:pPr>
              <w:spacing w:after="0"/>
            </w:pPr>
            <w:r>
              <w:rPr>
                <w:rFonts w:ascii="Montserrat" w:cs="Montserrat" w:eastAsia="Montserrat" w:hAnsi="Montserrat"/>
                <w:color w:val="009C9C"/>
                <w:sz w:val="16"/>
                <w:szCs w:val="16"/>
              </w:rPr>
              <w:t xml:space="preserve">Tokeniser knowledge hub: What does tokenising your assets enable?, https://tokeniser.com/resources/knowledge-hub/business-case/what-does-tokenising-your-assets-enable</w:t>
            </w:r>
          </w:p>
        </w:tc>
      </w:tr>
    </w:tbl>
    <w:p>
      <w:pPr>
        <w:pStyle w:val="Heading2"/>
        <w:spacing w:before="240"/>
      </w:pPr>
      <w:r>
        <w:rPr>
          <w:rFonts w:ascii="Montserrat" w:cs="Montserrat" w:eastAsia="Montserrat" w:hAnsi="Montserrat"/>
          <w:b/>
          <w:bCs/>
          <w:sz w:val="23"/>
          <w:szCs w:val="23"/>
        </w:rPr>
        <w:t xml:space="preserve">What tokenisation means  (0:07.6 to 0:15.9)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F2FFF7" w:color="auto" w:val="clear"/>
            <w:tcMar>
              <w:top w:type="dxa" w:w="80"/>
              <w:left w:type="dxa" w:w="100"/>
              <w:bottom w:type="dxa" w:w="80"/>
              <w:right w:type="dxa" w:w="100"/>
            </w:tcMar>
          </w:tcPr>
          <w:p>
            <w:pPr>
              <w:spacing w:after="0"/>
            </w:pPr>
            <w:r>
              <w:rPr>
                <w:rFonts w:ascii="Montserrat" w:cs="Montserrat" w:eastAsia="Montserrat" w:hAnsi="Montserrat"/>
                <w:b/>
                <w:bCs/>
                <w:color w:val="343740"/>
                <w:sz w:val="20"/>
                <w:szCs w:val="20"/>
              </w:rPr>
              <w:t xml:space="preserve">Voiceover</w:t>
            </w:r>
          </w:p>
        </w:tc>
        <w:tc>
          <w:tcPr>
            <w:tcW w:type="pct" w:w="78%"/>
            <w:shd w:fill="F2FFF7" w:color="auto" w:val="clear"/>
            <w:tcMar>
              <w:top w:type="dxa" w:w="80"/>
              <w:left w:type="dxa" w:w="100"/>
              <w:bottom w:type="dxa" w:w="80"/>
              <w:right w:type="dxa" w:w="100"/>
            </w:tcMar>
          </w:tcPr>
          <w:p>
            <w:pPr>
              <w:spacing w:after="0"/>
            </w:pPr>
            <w:r>
              <w:rPr>
                <w:rFonts w:ascii="Montserrat" w:cs="Montserrat" w:eastAsia="Montserrat" w:hAnsi="Montserrat"/>
                <w:color w:val="343740"/>
                <w:sz w:val="21"/>
                <w:szCs w:val="21"/>
              </w:rPr>
              <w:t xml:space="preserve">Tokenisation records ownership as digital tokens, and lets you program the rules of the asset. The fund stays a unit trust.</w:t>
            </w:r>
          </w:p>
        </w:tc>
      </w:tr>
      <w:tr>
        <w:tc>
          <w:tcPr>
            <w:tcW w:type="pct" w:w="22%"/>
            <w:tcMar>
              <w:top w:type="dxa" w:w="80"/>
              <w:left w:type="dxa" w:w="100"/>
              <w:bottom w:type="dxa" w:w="80"/>
              <w:right w:type="dxa" w:w="100"/>
            </w:tcMar>
          </w:tcPr>
          <w:p>
            <w:pPr>
              <w:spacing w:after="0"/>
            </w:pPr>
            <w:r>
              <w:rPr>
                <w:rFonts w:ascii="Montserrat" w:cs="Montserrat" w:eastAsia="Montserrat" w:hAnsi="Montserrat"/>
                <w:b/>
                <w:bCs/>
                <w:color w:val="343740"/>
                <w:sz w:val="20"/>
                <w:szCs w:val="20"/>
              </w:rPr>
              <w:t xml:space="preserve">On screen text</w:t>
            </w:r>
          </w:p>
        </w:tc>
        <w:tc>
          <w:tcPr>
            <w:tcW w:type="pct" w:w="78%"/>
            <w:tcMar>
              <w:top w:type="dxa" w:w="80"/>
              <w:left w:type="dxa" w:w="100"/>
              <w:bottom w:type="dxa" w:w="80"/>
              <w:right w:type="dxa" w:w="100"/>
            </w:tcMar>
          </w:tcPr>
          <w:p>
            <w:pPr>
              <w:spacing w:after="40"/>
            </w:pPr>
            <w:r>
              <w:rPr>
                <w:rFonts w:ascii="Montserrat" w:cs="Montserrat" w:eastAsia="Montserrat" w:hAnsi="Montserrat"/>
                <w:color w:val="343740"/>
                <w:sz w:val="20"/>
                <w:szCs w:val="20"/>
              </w:rPr>
              <w:t xml:space="preserve">Ownership, recorded as digital tokens</w:t>
            </w:r>
          </w:p>
          <w:p>
            <w:pPr>
              <w:spacing w:after="40"/>
            </w:pPr>
            <w:r>
              <w:rPr>
                <w:rFonts w:ascii="Montserrat" w:cs="Montserrat" w:eastAsia="Montserrat" w:hAnsi="Montserrat"/>
                <w:color w:val="343740"/>
                <w:sz w:val="20"/>
                <w:szCs w:val="20"/>
              </w:rPr>
              <w:t xml:space="preserve">Rules, programmed into the asset</w:t>
            </w:r>
          </w:p>
          <w:p>
            <w:pPr>
              <w:spacing w:after="40"/>
            </w:pPr>
            <w:r>
              <w:rPr>
                <w:rFonts w:ascii="Montserrat" w:cs="Montserrat" w:eastAsia="Montserrat" w:hAnsi="Montserrat"/>
                <w:color w:val="343740"/>
                <w:sz w:val="20"/>
                <w:szCs w:val="20"/>
              </w:rPr>
              <w:t xml:space="preserve">The fund stays a unit trust</w:t>
            </w:r>
          </w:p>
        </w:tc>
      </w:tr>
      <w:tr>
        <w:tc>
          <w:tcPr>
            <w:tcW w:type="pct" w:w="22%"/>
            <w:tcMar>
              <w:top w:type="dxa" w:w="80"/>
              <w:left w:type="dxa" w:w="100"/>
              <w:bottom w:type="dxa" w:w="80"/>
              <w:right w:type="dxa" w:w="100"/>
            </w:tcMar>
          </w:tcPr>
          <w:p>
            <w:pPr>
              <w:spacing w:after="0"/>
            </w:pPr>
            <w:r>
              <w:rPr>
                <w:rFonts w:ascii="Montserrat" w:cs="Montserrat" w:eastAsia="Montserrat" w:hAnsi="Montserrat"/>
                <w:b/>
                <w:bCs/>
                <w:color w:val="343740"/>
                <w:sz w:val="20"/>
                <w:szCs w:val="20"/>
              </w:rPr>
              <w:t xml:space="preserve">Visual</w:t>
            </w:r>
          </w:p>
        </w:tc>
        <w:tc>
          <w:tcPr>
            <w:tcW w:type="pct" w:w="78%"/>
            <w:tcMar>
              <w:top w:type="dxa" w:w="80"/>
              <w:left w:type="dxa" w:w="100"/>
              <w:bottom w:type="dxa" w:w="80"/>
              <w:right w:type="dxa" w:w="100"/>
            </w:tcMar>
          </w:tcPr>
          <w:p>
            <w:pPr>
              <w:spacing w:after="0"/>
            </w:pPr>
            <w:r>
              <w:rPr>
                <w:rFonts w:ascii="Montserrat" w:cs="Montserrat" w:eastAsia="Montserrat" w:hAnsi="Montserrat"/>
                <w:color w:val="343740"/>
                <w:sz w:val="20"/>
                <w:szCs w:val="20"/>
              </w:rPr>
              <w:t xml:space="preserve">The building moves to the left and stays the same. The register rows lift off the card and turn into round mint tokens, and a small rules tag clips onto each token. A unit trust badge appears on the building.</w:t>
            </w:r>
          </w:p>
        </w:tc>
      </w:tr>
      <w:tr>
        <w:tc>
          <w:tcPr>
            <w:tcW w:type="pct" w:w="22%"/>
            <w:tcMar>
              <w:top w:type="dxa" w:w="80"/>
              <w:left w:type="dxa" w:w="100"/>
              <w:bottom w:type="dxa" w:w="80"/>
              <w:right w:type="dxa" w:w="100"/>
            </w:tcMar>
          </w:tcPr>
          <w:p>
            <w:pPr>
              <w:spacing w:after="0"/>
            </w:pPr>
            <w:r>
              <w:rPr>
                <w:rFonts w:ascii="Montserrat" w:cs="Montserrat" w:eastAsia="Montserrat" w:hAnsi="Montserrat"/>
                <w:b/>
                <w:bCs/>
                <w:color w:val="343740"/>
                <w:sz w:val="18"/>
                <w:szCs w:val="18"/>
              </w:rPr>
              <w:t xml:space="preserve">Claim: records ownership as digital tokens, and lets you program the rules of the asset</w:t>
            </w:r>
          </w:p>
        </w:tc>
        <w:tc>
          <w:tcPr>
            <w:tcW w:type="pct" w:w="78%"/>
            <w:tcMar>
              <w:top w:type="dxa" w:w="80"/>
              <w:left w:type="dxa" w:w="100"/>
              <w:bottom w:type="dxa" w:w="80"/>
              <w:right w:type="dxa" w:w="100"/>
            </w:tcMar>
          </w:tcPr>
          <w:p>
            <w:pPr>
              <w:spacing w:after="40"/>
            </w:pPr>
            <w:r>
              <w:rPr>
                <w:rFonts w:ascii="Montserrat" w:cs="Montserrat" w:eastAsia="Montserrat" w:hAnsi="Montserrat"/>
                <w:i/>
                <w:iCs/>
                <w:color w:val="343740"/>
                <w:sz w:val="18"/>
                <w:szCs w:val="18"/>
              </w:rPr>
              <w:t xml:space="preserve">“Tokenisation records ownership of financial products and services as digital tokens, and lets you program the rules of the asset.”</w:t>
            </w:r>
          </w:p>
          <w:p>
            <w:pPr>
              <w:spacing w:after="0"/>
            </w:pPr>
            <w:r>
              <w:rPr>
                <w:rFonts w:ascii="Montserrat" w:cs="Montserrat" w:eastAsia="Montserrat" w:hAnsi="Montserrat"/>
                <w:color w:val="009C9C"/>
                <w:sz w:val="16"/>
                <w:szCs w:val="16"/>
              </w:rPr>
              <w:t xml:space="preserve">Tokeniser, home page and FAQ, https://tokeniser.com/</w:t>
            </w:r>
          </w:p>
        </w:tc>
      </w:tr>
      <w:tr>
        <w:tc>
          <w:tcPr>
            <w:tcW w:type="pct" w:w="22%"/>
            <w:tcMar>
              <w:top w:type="dxa" w:w="80"/>
              <w:left w:type="dxa" w:w="100"/>
              <w:bottom w:type="dxa" w:w="80"/>
              <w:right w:type="dxa" w:w="100"/>
            </w:tcMar>
          </w:tcPr>
          <w:p>
            <w:pPr>
              <w:spacing w:after="0"/>
            </w:pPr>
            <w:r>
              <w:rPr>
                <w:rFonts w:ascii="Montserrat" w:cs="Montserrat" w:eastAsia="Montserrat" w:hAnsi="Montserrat"/>
                <w:b/>
                <w:bCs/>
                <w:color w:val="343740"/>
                <w:sz w:val="18"/>
                <w:szCs w:val="18"/>
              </w:rPr>
              <w:t xml:space="preserve">Claim: The fund itself does not change</w:t>
            </w:r>
          </w:p>
        </w:tc>
        <w:tc>
          <w:tcPr>
            <w:tcW w:type="pct" w:w="78%"/>
            <w:tcMar>
              <w:top w:type="dxa" w:w="80"/>
              <w:left w:type="dxa" w:w="100"/>
              <w:bottom w:type="dxa" w:w="80"/>
              <w:right w:type="dxa" w:w="100"/>
            </w:tcMar>
          </w:tcPr>
          <w:p>
            <w:pPr>
              <w:spacing w:after="40"/>
            </w:pPr>
            <w:r>
              <w:rPr>
                <w:rFonts w:ascii="Montserrat" w:cs="Montserrat" w:eastAsia="Montserrat" w:hAnsi="Montserrat"/>
                <w:i/>
                <w:iCs/>
                <w:color w:val="343740"/>
                <w:sz w:val="18"/>
                <w:szCs w:val="18"/>
              </w:rPr>
              <w:t xml:space="preserve">“Tokenisation changes how ownership is recorded and administered, not the legal structure of the underlying asset or fund.”</w:t>
            </w:r>
          </w:p>
          <w:p>
            <w:pPr>
              <w:spacing w:after="0"/>
            </w:pPr>
            <w:r>
              <w:rPr>
                <w:rFonts w:ascii="Montserrat" w:cs="Montserrat" w:eastAsia="Montserrat" w:hAnsi="Montserrat"/>
                <w:color w:val="009C9C"/>
                <w:sz w:val="16"/>
                <w:szCs w:val="16"/>
              </w:rPr>
              <w:t xml:space="preserve">Tokeniser knowledge hub: What does tokenising your assets enable?, https://tokeniser.com/resources/knowledge-hub/business-case/what-does-tokenising-your-assets-enable</w:t>
            </w:r>
          </w:p>
        </w:tc>
      </w:tr>
      <w:tr>
        <w:tc>
          <w:tcPr>
            <w:tcW w:type="pct" w:w="22%"/>
            <w:tcMar>
              <w:top w:type="dxa" w:w="80"/>
              <w:left w:type="dxa" w:w="100"/>
              <w:bottom w:type="dxa" w:w="80"/>
              <w:right w:type="dxa" w:w="100"/>
            </w:tcMar>
          </w:tcPr>
          <w:p>
            <w:pPr>
              <w:spacing w:after="0"/>
            </w:pPr>
            <w:r>
              <w:rPr>
                <w:rFonts w:ascii="Montserrat" w:cs="Montserrat" w:eastAsia="Montserrat" w:hAnsi="Montserrat"/>
                <w:b/>
                <w:bCs/>
                <w:color w:val="343740"/>
                <w:sz w:val="18"/>
                <w:szCs w:val="18"/>
              </w:rPr>
              <w:t xml:space="preserve">Claim: A tokenised unit trust remains a unit trust</w:t>
            </w:r>
          </w:p>
        </w:tc>
        <w:tc>
          <w:tcPr>
            <w:tcW w:type="pct" w:w="78%"/>
            <w:tcMar>
              <w:top w:type="dxa" w:w="80"/>
              <w:left w:type="dxa" w:w="100"/>
              <w:bottom w:type="dxa" w:w="80"/>
              <w:right w:type="dxa" w:w="100"/>
            </w:tcMar>
          </w:tcPr>
          <w:p>
            <w:pPr>
              <w:spacing w:after="40"/>
            </w:pPr>
            <w:r>
              <w:rPr>
                <w:rFonts w:ascii="Montserrat" w:cs="Montserrat" w:eastAsia="Montserrat" w:hAnsi="Montserrat"/>
                <w:i/>
                <w:iCs/>
                <w:color w:val="343740"/>
                <w:sz w:val="18"/>
                <w:szCs w:val="18"/>
              </w:rPr>
              <w:t xml:space="preserve">“A tokenised unit trust remains a unit trust.”</w:t>
            </w:r>
          </w:p>
          <w:p>
            <w:pPr>
              <w:spacing w:after="0"/>
            </w:pPr>
            <w:r>
              <w:rPr>
                <w:rFonts w:ascii="Montserrat" w:cs="Montserrat" w:eastAsia="Montserrat" w:hAnsi="Montserrat"/>
                <w:color w:val="009C9C"/>
                <w:sz w:val="16"/>
                <w:szCs w:val="16"/>
              </w:rPr>
              <w:t xml:space="preserve">Tokeniser knowledge hub: What does tokenising your assets enable?, https://tokeniser.com/resources/knowledge-hub/business-case/what-does-tokenising-your-assets-enable</w:t>
            </w:r>
          </w:p>
        </w:tc>
      </w:tr>
    </w:tbl>
    <w:p>
      <w:pPr>
        <w:pStyle w:val="Heading2"/>
        <w:spacing w:before="240"/>
      </w:pPr>
      <w:r>
        <w:rPr>
          <w:rFonts w:ascii="Montserrat" w:cs="Montserrat" w:eastAsia="Montserrat" w:hAnsi="Montserrat"/>
          <w:b/>
          <w:bCs/>
          <w:sz w:val="23"/>
          <w:szCs w:val="23"/>
        </w:rPr>
        <w:t xml:space="preserve">Step 1, set up  (0:15.9 to 0:27.2)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F2FFF7" w:color="auto" w:val="clear"/>
            <w:tcMar>
              <w:top w:type="dxa" w:w="80"/>
              <w:left w:type="dxa" w:w="100"/>
              <w:bottom w:type="dxa" w:w="80"/>
              <w:right w:type="dxa" w:w="100"/>
            </w:tcMar>
          </w:tcPr>
          <w:p>
            <w:pPr>
              <w:spacing w:after="0"/>
            </w:pPr>
            <w:r>
              <w:rPr>
                <w:rFonts w:ascii="Montserrat" w:cs="Montserrat" w:eastAsia="Montserrat" w:hAnsi="Montserrat"/>
                <w:b/>
                <w:bCs/>
                <w:color w:val="343740"/>
                <w:sz w:val="20"/>
                <w:szCs w:val="20"/>
              </w:rPr>
              <w:t xml:space="preserve">Voiceover</w:t>
            </w:r>
          </w:p>
        </w:tc>
        <w:tc>
          <w:tcPr>
            <w:tcW w:type="pct" w:w="78%"/>
            <w:shd w:fill="F2FFF7" w:color="auto" w:val="clear"/>
            <w:tcMar>
              <w:top w:type="dxa" w:w="80"/>
              <w:left w:type="dxa" w:w="100"/>
              <w:bottom w:type="dxa" w:w="80"/>
              <w:right w:type="dxa" w:w="100"/>
            </w:tcMar>
          </w:tcPr>
          <w:p>
            <w:pPr>
              <w:spacing w:after="0"/>
            </w:pPr>
            <w:r>
              <w:rPr>
                <w:rFonts w:ascii="Montserrat" w:cs="Montserrat" w:eastAsia="Montserrat" w:hAnsi="Montserrat"/>
                <w:color w:val="343740"/>
                <w:sz w:val="21"/>
                <w:szCs w:val="21"/>
              </w:rPr>
              <w:t xml:space="preserve">Step one, set up. The fund manager verifies the entity, adds the fund details, and sets the rules on who can hold. Those rules are encoded into the token's smart contract.</w:t>
            </w:r>
          </w:p>
        </w:tc>
      </w:tr>
      <w:tr>
        <w:tc>
          <w:tcPr>
            <w:tcW w:type="pct" w:w="22%"/>
            <w:tcMar>
              <w:top w:type="dxa" w:w="80"/>
              <w:left w:type="dxa" w:w="100"/>
              <w:bottom w:type="dxa" w:w="80"/>
              <w:right w:type="dxa" w:w="100"/>
            </w:tcMar>
          </w:tcPr>
          <w:p>
            <w:pPr>
              <w:spacing w:after="0"/>
            </w:pPr>
            <w:r>
              <w:rPr>
                <w:rFonts w:ascii="Montserrat" w:cs="Montserrat" w:eastAsia="Montserrat" w:hAnsi="Montserrat"/>
                <w:b/>
                <w:bCs/>
                <w:color w:val="343740"/>
                <w:sz w:val="20"/>
                <w:szCs w:val="20"/>
              </w:rPr>
              <w:t xml:space="preserve">On screen text</w:t>
            </w:r>
          </w:p>
        </w:tc>
        <w:tc>
          <w:tcPr>
            <w:tcW w:type="pct" w:w="78%"/>
            <w:tcMar>
              <w:top w:type="dxa" w:w="80"/>
              <w:left w:type="dxa" w:w="100"/>
              <w:bottom w:type="dxa" w:w="80"/>
              <w:right w:type="dxa" w:w="100"/>
            </w:tcMar>
          </w:tcPr>
          <w:p>
            <w:pPr>
              <w:spacing w:after="40"/>
            </w:pPr>
            <w:r>
              <w:rPr>
                <w:rFonts w:ascii="Montserrat" w:cs="Montserrat" w:eastAsia="Montserrat" w:hAnsi="Montserrat"/>
                <w:color w:val="343740"/>
                <w:sz w:val="20"/>
                <w:szCs w:val="20"/>
              </w:rPr>
              <w:t xml:space="preserve">Step 1 of 4</w:t>
            </w:r>
          </w:p>
          <w:p>
            <w:pPr>
              <w:spacing w:after="40"/>
            </w:pPr>
            <w:r>
              <w:rPr>
                <w:rFonts w:ascii="Montserrat" w:cs="Montserrat" w:eastAsia="Montserrat" w:hAnsi="Montserrat"/>
                <w:color w:val="343740"/>
                <w:sz w:val="20"/>
                <w:szCs w:val="20"/>
              </w:rPr>
              <w:t xml:space="preserve">Set up</w:t>
            </w:r>
          </w:p>
          <w:p>
            <w:pPr>
              <w:spacing w:after="40"/>
            </w:pPr>
            <w:r>
              <w:rPr>
                <w:rFonts w:ascii="Montserrat" w:cs="Montserrat" w:eastAsia="Montserrat" w:hAnsi="Montserrat"/>
                <w:color w:val="343740"/>
                <w:sz w:val="20"/>
                <w:szCs w:val="20"/>
              </w:rPr>
              <w:t xml:space="preserve">Entity verification</w:t>
            </w:r>
          </w:p>
          <w:p>
            <w:pPr>
              <w:spacing w:after="40"/>
            </w:pPr>
            <w:r>
              <w:rPr>
                <w:rFonts w:ascii="Montserrat" w:cs="Montserrat" w:eastAsia="Montserrat" w:hAnsi="Montserrat"/>
                <w:color w:val="343740"/>
                <w:sz w:val="20"/>
                <w:szCs w:val="20"/>
              </w:rPr>
              <w:t xml:space="preserve">Fund details</w:t>
            </w:r>
          </w:p>
          <w:p>
            <w:pPr>
              <w:spacing w:after="40"/>
            </w:pPr>
            <w:r>
              <w:rPr>
                <w:rFonts w:ascii="Montserrat" w:cs="Montserrat" w:eastAsia="Montserrat" w:hAnsi="Montserrat"/>
                <w:color w:val="343740"/>
                <w:sz w:val="20"/>
                <w:szCs w:val="20"/>
              </w:rPr>
              <w:t xml:space="preserve">Eligibility rules</w:t>
            </w:r>
          </w:p>
          <w:p>
            <w:pPr>
              <w:spacing w:after="40"/>
            </w:pPr>
            <w:r>
              <w:rPr>
                <w:rFonts w:ascii="Montserrat" w:cs="Montserrat" w:eastAsia="Montserrat" w:hAnsi="Montserrat"/>
                <w:color w:val="343740"/>
                <w:sz w:val="20"/>
                <w:szCs w:val="20"/>
              </w:rPr>
              <w:t xml:space="preserve">Encoded into the smart contract</w:t>
            </w:r>
          </w:p>
        </w:tc>
      </w:tr>
      <w:tr>
        <w:tc>
          <w:tcPr>
            <w:tcW w:type="pct" w:w="22%"/>
            <w:tcMar>
              <w:top w:type="dxa" w:w="80"/>
              <w:left w:type="dxa" w:w="100"/>
              <w:bottom w:type="dxa" w:w="80"/>
              <w:right w:type="dxa" w:w="100"/>
            </w:tcMar>
          </w:tcPr>
          <w:p>
            <w:pPr>
              <w:spacing w:after="0"/>
            </w:pPr>
            <w:r>
              <w:rPr>
                <w:rFonts w:ascii="Montserrat" w:cs="Montserrat" w:eastAsia="Montserrat" w:hAnsi="Montserrat"/>
                <w:b/>
                <w:bCs/>
                <w:color w:val="343740"/>
                <w:sz w:val="20"/>
                <w:szCs w:val="20"/>
              </w:rPr>
              <w:t xml:space="preserve">Visual</w:t>
            </w:r>
          </w:p>
        </w:tc>
        <w:tc>
          <w:tcPr>
            <w:tcW w:type="pct" w:w="78%"/>
            <w:tcMar>
              <w:top w:type="dxa" w:w="80"/>
              <w:left w:type="dxa" w:w="100"/>
              <w:bottom w:type="dxa" w:w="80"/>
              <w:right w:type="dxa" w:w="100"/>
            </w:tcMar>
          </w:tcPr>
          <w:p>
            <w:pPr>
              <w:spacing w:after="0"/>
            </w:pPr>
            <w:r>
              <w:rPr>
                <w:rFonts w:ascii="Montserrat" w:cs="Montserrat" w:eastAsia="Montserrat" w:hAnsi="Montserrat"/>
                <w:color w:val="343740"/>
                <w:sz w:val="20"/>
                <w:szCs w:val="20"/>
              </w:rPr>
              <w:t xml:space="preserve">A clean Tokeniser style platform window opens. Three checklist rows tick in turn: entity verification, fund details, eligibility rules. An eligibility rules card flies across and becomes a token, labelled encoded into the smart contract.</w:t>
            </w:r>
          </w:p>
        </w:tc>
      </w:tr>
      <w:tr>
        <w:tc>
          <w:tcPr>
            <w:tcW w:type="pct" w:w="22%"/>
            <w:tcMar>
              <w:top w:type="dxa" w:w="80"/>
              <w:left w:type="dxa" w:w="100"/>
              <w:bottom w:type="dxa" w:w="80"/>
              <w:right w:type="dxa" w:w="100"/>
            </w:tcMar>
          </w:tcPr>
          <w:p>
            <w:pPr>
              <w:spacing w:after="0"/>
            </w:pPr>
            <w:r>
              <w:rPr>
                <w:rFonts w:ascii="Montserrat" w:cs="Montserrat" w:eastAsia="Montserrat" w:hAnsi="Montserrat"/>
                <w:b/>
                <w:bCs/>
                <w:color w:val="343740"/>
                <w:sz w:val="18"/>
                <w:szCs w:val="18"/>
              </w:rPr>
              <w:t xml:space="preserve">Claim: verifies the entity, enters the fund details, and sets the rules</w:t>
            </w:r>
          </w:p>
        </w:tc>
        <w:tc>
          <w:tcPr>
            <w:tcW w:type="pct" w:w="78%"/>
            <w:tcMar>
              <w:top w:type="dxa" w:w="80"/>
              <w:left w:type="dxa" w:w="100"/>
              <w:bottom w:type="dxa" w:w="80"/>
              <w:right w:type="dxa" w:w="100"/>
            </w:tcMar>
          </w:tcPr>
          <w:p>
            <w:pPr>
              <w:spacing w:after="40"/>
            </w:pPr>
            <w:r>
              <w:rPr>
                <w:rFonts w:ascii="Montserrat" w:cs="Montserrat" w:eastAsia="Montserrat" w:hAnsi="Montserrat"/>
                <w:i/>
                <w:iCs/>
                <w:color w:val="343740"/>
                <w:sz w:val="18"/>
                <w:szCs w:val="18"/>
              </w:rPr>
              <w:t xml:space="preserve">“This includes entity verification, configuration of the fund or company details, and definition of the token parameters: the asset class, the compliance rules to be enforced, the corporate action schedule, and any fund-specific restrictions.”</w:t>
            </w:r>
          </w:p>
          <w:p>
            <w:pPr>
              <w:spacing w:after="0"/>
            </w:pPr>
            <w:r>
              <w:rPr>
                <w:rFonts w:ascii="Montserrat" w:cs="Montserrat" w:eastAsia="Montserrat" w:hAnsi="Montserrat"/>
                <w:color w:val="009C9C"/>
                <w:sz w:val="16"/>
                <w:szCs w:val="16"/>
              </w:rPr>
              <w:t xml:space="preserve">Tokeniser knowledge hub: How does Tokeniser work?, https://tokeniser.com/resources/knowledge-hub/platform/how-does-tokeniser-work</w:t>
            </w:r>
          </w:p>
        </w:tc>
      </w:tr>
      <w:tr>
        <w:tc>
          <w:tcPr>
            <w:tcW w:type="pct" w:w="22%"/>
            <w:tcMar>
              <w:top w:type="dxa" w:w="80"/>
              <w:left w:type="dxa" w:w="100"/>
              <w:bottom w:type="dxa" w:w="80"/>
              <w:right w:type="dxa" w:w="100"/>
            </w:tcMar>
          </w:tcPr>
          <w:p>
            <w:pPr>
              <w:spacing w:after="0"/>
            </w:pPr>
            <w:r>
              <w:rPr>
                <w:rFonts w:ascii="Montserrat" w:cs="Montserrat" w:eastAsia="Montserrat" w:hAnsi="Montserrat"/>
                <w:b/>
                <w:bCs/>
                <w:color w:val="343740"/>
                <w:sz w:val="18"/>
                <w:szCs w:val="18"/>
              </w:rPr>
              <w:t xml:space="preserve">Claim: such as who is eligible to hold</w:t>
            </w:r>
          </w:p>
        </w:tc>
        <w:tc>
          <w:tcPr>
            <w:tcW w:type="pct" w:w="78%"/>
            <w:tcMar>
              <w:top w:type="dxa" w:w="80"/>
              <w:left w:type="dxa" w:w="100"/>
              <w:bottom w:type="dxa" w:w="80"/>
              <w:right w:type="dxa" w:w="100"/>
            </w:tcMar>
          </w:tcPr>
          <w:p>
            <w:pPr>
              <w:spacing w:after="40"/>
            </w:pPr>
            <w:r>
              <w:rPr>
                <w:rFonts w:ascii="Montserrat" w:cs="Montserrat" w:eastAsia="Montserrat" w:hAnsi="Montserrat"/>
                <w:i/>
                <w:iCs/>
                <w:color w:val="343740"/>
                <w:sz w:val="18"/>
                <w:szCs w:val="18"/>
              </w:rPr>
              <w:t xml:space="preserve">“investor eligibility criteria (configured to the fund's applicable investor classifications)”</w:t>
            </w:r>
          </w:p>
          <w:p>
            <w:pPr>
              <w:spacing w:after="0"/>
            </w:pPr>
            <w:r>
              <w:rPr>
                <w:rFonts w:ascii="Montserrat" w:cs="Montserrat" w:eastAsia="Montserrat" w:hAnsi="Montserrat"/>
                <w:color w:val="009C9C"/>
                <w:sz w:val="16"/>
                <w:szCs w:val="16"/>
              </w:rPr>
              <w:t xml:space="preserve">Tokeniser knowledge hub: How does Tokeniser handle investor compliance?, https://tokeniser.com/resources/knowledge-hub/australia/how-tokeniser-handles-investor-compliance</w:t>
            </w:r>
          </w:p>
        </w:tc>
      </w:tr>
      <w:tr>
        <w:tc>
          <w:tcPr>
            <w:tcW w:type="pct" w:w="22%"/>
            <w:tcMar>
              <w:top w:type="dxa" w:w="80"/>
              <w:left w:type="dxa" w:w="100"/>
              <w:bottom w:type="dxa" w:w="80"/>
              <w:right w:type="dxa" w:w="100"/>
            </w:tcMar>
          </w:tcPr>
          <w:p>
            <w:pPr>
              <w:spacing w:after="0"/>
            </w:pPr>
            <w:r>
              <w:rPr>
                <w:rFonts w:ascii="Montserrat" w:cs="Montserrat" w:eastAsia="Montserrat" w:hAnsi="Montserrat"/>
                <w:b/>
                <w:bCs/>
                <w:color w:val="343740"/>
                <w:sz w:val="18"/>
                <w:szCs w:val="18"/>
              </w:rPr>
              <w:t xml:space="preserve">Claim: Those rules are encoded into the token's smart contract</w:t>
            </w:r>
          </w:p>
        </w:tc>
        <w:tc>
          <w:tcPr>
            <w:tcW w:type="pct" w:w="78%"/>
            <w:tcMar>
              <w:top w:type="dxa" w:w="80"/>
              <w:left w:type="dxa" w:w="100"/>
              <w:bottom w:type="dxa" w:w="80"/>
              <w:right w:type="dxa" w:w="100"/>
            </w:tcMar>
          </w:tcPr>
          <w:p>
            <w:pPr>
              <w:spacing w:after="40"/>
            </w:pPr>
            <w:r>
              <w:rPr>
                <w:rFonts w:ascii="Montserrat" w:cs="Montserrat" w:eastAsia="Montserrat" w:hAnsi="Montserrat"/>
                <w:i/>
                <w:iCs/>
                <w:color w:val="343740"/>
                <w:sz w:val="18"/>
                <w:szCs w:val="18"/>
              </w:rPr>
              <w:t xml:space="preserve">“The compliance parameters configured at this stage are encoded into the token's smart contract.”</w:t>
            </w:r>
          </w:p>
          <w:p>
            <w:pPr>
              <w:spacing w:after="0"/>
            </w:pPr>
            <w:r>
              <w:rPr>
                <w:rFonts w:ascii="Montserrat" w:cs="Montserrat" w:eastAsia="Montserrat" w:hAnsi="Montserrat"/>
                <w:color w:val="009C9C"/>
                <w:sz w:val="16"/>
                <w:szCs w:val="16"/>
              </w:rPr>
              <w:t xml:space="preserve">Tokeniser knowledge hub: How does Tokeniser work?, https://tokeniser.com/resources/knowledge-hub/platform/how-does-tokeniser-work</w:t>
            </w:r>
          </w:p>
        </w:tc>
      </w:tr>
    </w:tbl>
    <w:p>
      <w:pPr>
        <w:pStyle w:val="Heading2"/>
        <w:spacing w:before="240"/>
      </w:pPr>
      <w:r>
        <w:rPr>
          <w:rFonts w:ascii="Montserrat" w:cs="Montserrat" w:eastAsia="Montserrat" w:hAnsi="Montserrat"/>
          <w:b/>
          <w:bCs/>
          <w:sz w:val="23"/>
          <w:szCs w:val="23"/>
        </w:rPr>
        <w:t xml:space="preserve">Step 2, investors  (0:27.2 to 0:35.6)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F2FFF7" w:color="auto" w:val="clear"/>
            <w:tcMar>
              <w:top w:type="dxa" w:w="80"/>
              <w:left w:type="dxa" w:w="100"/>
              <w:bottom w:type="dxa" w:w="80"/>
              <w:right w:type="dxa" w:w="100"/>
            </w:tcMar>
          </w:tcPr>
          <w:p>
            <w:pPr>
              <w:spacing w:after="0"/>
            </w:pPr>
            <w:r>
              <w:rPr>
                <w:rFonts w:ascii="Montserrat" w:cs="Montserrat" w:eastAsia="Montserrat" w:hAnsi="Montserrat"/>
                <w:b/>
                <w:bCs/>
                <w:color w:val="343740"/>
                <w:sz w:val="20"/>
                <w:szCs w:val="20"/>
              </w:rPr>
              <w:t xml:space="preserve">Voiceover</w:t>
            </w:r>
          </w:p>
        </w:tc>
        <w:tc>
          <w:tcPr>
            <w:tcW w:type="pct" w:w="78%"/>
            <w:shd w:fill="F2FFF7" w:color="auto" w:val="clear"/>
            <w:tcMar>
              <w:top w:type="dxa" w:w="80"/>
              <w:left w:type="dxa" w:w="100"/>
              <w:bottom w:type="dxa" w:w="80"/>
              <w:right w:type="dxa" w:w="100"/>
            </w:tcMar>
          </w:tcPr>
          <w:p>
            <w:pPr>
              <w:spacing w:after="0"/>
            </w:pPr>
            <w:r>
              <w:rPr>
                <w:rFonts w:ascii="Montserrat" w:cs="Montserrat" w:eastAsia="Montserrat" w:hAnsi="Montserrat"/>
                <w:color w:val="343740"/>
                <w:sz w:val="21"/>
                <w:szCs w:val="21"/>
              </w:rPr>
              <w:t xml:space="preserve">Step two, investors. Each investor completes identity checks and investor classification. No verified wallet, no tokens.</w:t>
            </w:r>
          </w:p>
        </w:tc>
      </w:tr>
      <w:tr>
        <w:tc>
          <w:tcPr>
            <w:tcW w:type="pct" w:w="22%"/>
            <w:tcMar>
              <w:top w:type="dxa" w:w="80"/>
              <w:left w:type="dxa" w:w="100"/>
              <w:bottom w:type="dxa" w:w="80"/>
              <w:right w:type="dxa" w:w="100"/>
            </w:tcMar>
          </w:tcPr>
          <w:p>
            <w:pPr>
              <w:spacing w:after="0"/>
            </w:pPr>
            <w:r>
              <w:rPr>
                <w:rFonts w:ascii="Montserrat" w:cs="Montserrat" w:eastAsia="Montserrat" w:hAnsi="Montserrat"/>
                <w:b/>
                <w:bCs/>
                <w:color w:val="343740"/>
                <w:sz w:val="20"/>
                <w:szCs w:val="20"/>
              </w:rPr>
              <w:t xml:space="preserve">On screen text</w:t>
            </w:r>
          </w:p>
        </w:tc>
        <w:tc>
          <w:tcPr>
            <w:tcW w:type="pct" w:w="78%"/>
            <w:tcMar>
              <w:top w:type="dxa" w:w="80"/>
              <w:left w:type="dxa" w:w="100"/>
              <w:bottom w:type="dxa" w:w="80"/>
              <w:right w:type="dxa" w:w="100"/>
            </w:tcMar>
          </w:tcPr>
          <w:p>
            <w:pPr>
              <w:spacing w:after="40"/>
            </w:pPr>
            <w:r>
              <w:rPr>
                <w:rFonts w:ascii="Montserrat" w:cs="Montserrat" w:eastAsia="Montserrat" w:hAnsi="Montserrat"/>
                <w:color w:val="343740"/>
                <w:sz w:val="20"/>
                <w:szCs w:val="20"/>
              </w:rPr>
              <w:t xml:space="preserve">Step 2 of 4</w:t>
            </w:r>
          </w:p>
          <w:p>
            <w:pPr>
              <w:spacing w:after="40"/>
            </w:pPr>
            <w:r>
              <w:rPr>
                <w:rFonts w:ascii="Montserrat" w:cs="Montserrat" w:eastAsia="Montserrat" w:hAnsi="Montserrat"/>
                <w:color w:val="343740"/>
                <w:sz w:val="20"/>
                <w:szCs w:val="20"/>
              </w:rPr>
              <w:t xml:space="preserve">Investors</w:t>
            </w:r>
          </w:p>
          <w:p>
            <w:pPr>
              <w:spacing w:after="40"/>
            </w:pPr>
            <w:r>
              <w:rPr>
                <w:rFonts w:ascii="Montserrat" w:cs="Montserrat" w:eastAsia="Montserrat" w:hAnsi="Montserrat"/>
                <w:color w:val="343740"/>
                <w:sz w:val="20"/>
                <w:szCs w:val="20"/>
              </w:rPr>
              <w:t xml:space="preserve">Identity verification</w:t>
            </w:r>
          </w:p>
          <w:p>
            <w:pPr>
              <w:spacing w:after="40"/>
            </w:pPr>
            <w:r>
              <w:rPr>
                <w:rFonts w:ascii="Montserrat" w:cs="Montserrat" w:eastAsia="Montserrat" w:hAnsi="Montserrat"/>
                <w:color w:val="343740"/>
                <w:sz w:val="20"/>
                <w:szCs w:val="20"/>
              </w:rPr>
              <w:t xml:space="preserve">Investor classification</w:t>
            </w:r>
          </w:p>
          <w:p>
            <w:pPr>
              <w:spacing w:after="40"/>
            </w:pPr>
            <w:r>
              <w:rPr>
                <w:rFonts w:ascii="Montserrat" w:cs="Montserrat" w:eastAsia="Montserrat" w:hAnsi="Montserrat"/>
                <w:color w:val="343740"/>
                <w:sz w:val="20"/>
                <w:szCs w:val="20"/>
              </w:rPr>
              <w:t xml:space="preserve">No verified wallet, no tokens</w:t>
            </w:r>
          </w:p>
        </w:tc>
      </w:tr>
      <w:tr>
        <w:tc>
          <w:tcPr>
            <w:tcW w:type="pct" w:w="22%"/>
            <w:tcMar>
              <w:top w:type="dxa" w:w="80"/>
              <w:left w:type="dxa" w:w="100"/>
              <w:bottom w:type="dxa" w:w="80"/>
              <w:right w:type="dxa" w:w="100"/>
            </w:tcMar>
          </w:tcPr>
          <w:p>
            <w:pPr>
              <w:spacing w:after="0"/>
            </w:pPr>
            <w:r>
              <w:rPr>
                <w:rFonts w:ascii="Montserrat" w:cs="Montserrat" w:eastAsia="Montserrat" w:hAnsi="Montserrat"/>
                <w:b/>
                <w:bCs/>
                <w:color w:val="343740"/>
                <w:sz w:val="20"/>
                <w:szCs w:val="20"/>
              </w:rPr>
              <w:t xml:space="preserve">Visual</w:t>
            </w:r>
          </w:p>
        </w:tc>
        <w:tc>
          <w:tcPr>
            <w:tcW w:type="pct" w:w="78%"/>
            <w:tcMar>
              <w:top w:type="dxa" w:w="80"/>
              <w:left w:type="dxa" w:w="100"/>
              <w:bottom w:type="dxa" w:w="80"/>
              <w:right w:type="dxa" w:w="100"/>
            </w:tcMar>
          </w:tcPr>
          <w:p>
            <w:pPr>
              <w:spacing w:after="0"/>
            </w:pPr>
            <w:r>
              <w:rPr>
                <w:rFonts w:ascii="Montserrat" w:cs="Montserrat" w:eastAsia="Montserrat" w:hAnsi="Montserrat"/>
                <w:color w:val="343740"/>
                <w:sz w:val="20"/>
                <w:szCs w:val="20"/>
              </w:rPr>
              <w:t xml:space="preserve">Four investor cards appear. Investors A, B and C pass the identity verification and investor classification checks, and each wallet turns mint as verified. Investor D is not verified: a token above that card stops at a closed bar.</w:t>
            </w:r>
          </w:p>
        </w:tc>
      </w:tr>
      <w:tr>
        <w:tc>
          <w:tcPr>
            <w:tcW w:type="pct" w:w="22%"/>
            <w:tcMar>
              <w:top w:type="dxa" w:w="80"/>
              <w:left w:type="dxa" w:w="100"/>
              <w:bottom w:type="dxa" w:w="80"/>
              <w:right w:type="dxa" w:w="100"/>
            </w:tcMar>
          </w:tcPr>
          <w:p>
            <w:pPr>
              <w:spacing w:after="0"/>
            </w:pPr>
            <w:r>
              <w:rPr>
                <w:rFonts w:ascii="Montserrat" w:cs="Montserrat" w:eastAsia="Montserrat" w:hAnsi="Montserrat"/>
                <w:b/>
                <w:bCs/>
                <w:color w:val="343740"/>
                <w:sz w:val="18"/>
                <w:szCs w:val="18"/>
              </w:rPr>
              <w:t xml:space="preserve">Claim: identity verification and investor classification</w:t>
            </w:r>
          </w:p>
        </w:tc>
        <w:tc>
          <w:tcPr>
            <w:tcW w:type="pct" w:w="78%"/>
            <w:tcMar>
              <w:top w:type="dxa" w:w="80"/>
              <w:left w:type="dxa" w:w="100"/>
              <w:bottom w:type="dxa" w:w="80"/>
              <w:right w:type="dxa" w:w="100"/>
            </w:tcMar>
          </w:tcPr>
          <w:p>
            <w:pPr>
              <w:spacing w:after="40"/>
            </w:pPr>
            <w:r>
              <w:rPr>
                <w:rFonts w:ascii="Montserrat" w:cs="Montserrat" w:eastAsia="Montserrat" w:hAnsi="Montserrat"/>
                <w:i/>
                <w:iCs/>
                <w:color w:val="343740"/>
                <w:sz w:val="18"/>
                <w:szCs w:val="18"/>
              </w:rPr>
              <w:t xml:space="preserve">“Investors complete identity verification and investor classification under the Corporations Act.”</w:t>
            </w:r>
          </w:p>
          <w:p>
            <w:pPr>
              <w:spacing w:after="0"/>
            </w:pPr>
            <w:r>
              <w:rPr>
                <w:rFonts w:ascii="Montserrat" w:cs="Montserrat" w:eastAsia="Montserrat" w:hAnsi="Montserrat"/>
                <w:color w:val="009C9C"/>
                <w:sz w:val="16"/>
                <w:szCs w:val="16"/>
              </w:rPr>
              <w:t xml:space="preserve">Tokeniser knowledge hub: How does Tokeniser work?, https://tokeniser.com/resources/knowledge-hub/platform/how-does-tokeniser-work</w:t>
            </w:r>
          </w:p>
        </w:tc>
      </w:tr>
      <w:tr>
        <w:tc>
          <w:tcPr>
            <w:tcW w:type="pct" w:w="22%"/>
            <w:tcMar>
              <w:top w:type="dxa" w:w="80"/>
              <w:left w:type="dxa" w:w="100"/>
              <w:bottom w:type="dxa" w:w="80"/>
              <w:right w:type="dxa" w:w="100"/>
            </w:tcMar>
          </w:tcPr>
          <w:p>
            <w:pPr>
              <w:spacing w:after="0"/>
            </w:pPr>
            <w:r>
              <w:rPr>
                <w:rFonts w:ascii="Montserrat" w:cs="Montserrat" w:eastAsia="Montserrat" w:hAnsi="Montserrat"/>
                <w:b/>
                <w:bCs/>
                <w:color w:val="343740"/>
                <w:sz w:val="18"/>
                <w:szCs w:val="18"/>
              </w:rPr>
              <w:t xml:space="preserve">Claim: Until their wallet is verified, no tokens can be issued to it</w:t>
            </w:r>
          </w:p>
        </w:tc>
        <w:tc>
          <w:tcPr>
            <w:tcW w:type="pct" w:w="78%"/>
            <w:tcMar>
              <w:top w:type="dxa" w:w="80"/>
              <w:left w:type="dxa" w:w="100"/>
              <w:bottom w:type="dxa" w:w="80"/>
              <w:right w:type="dxa" w:w="100"/>
            </w:tcMar>
          </w:tcPr>
          <w:p>
            <w:pPr>
              <w:spacing w:after="40"/>
            </w:pPr>
            <w:r>
              <w:rPr>
                <w:rFonts w:ascii="Montserrat" w:cs="Montserrat" w:eastAsia="Montserrat" w:hAnsi="Montserrat"/>
                <w:i/>
                <w:iCs/>
                <w:color w:val="343740"/>
                <w:sz w:val="18"/>
                <w:szCs w:val="18"/>
              </w:rPr>
              <w:t xml:space="preserve">“Until onboarding is complete and the wallet is verified, tokens cannot be issued to or transferred to that investor.”</w:t>
            </w:r>
          </w:p>
          <w:p>
            <w:pPr>
              <w:spacing w:after="0"/>
            </w:pPr>
            <w:r>
              <w:rPr>
                <w:rFonts w:ascii="Montserrat" w:cs="Montserrat" w:eastAsia="Montserrat" w:hAnsi="Montserrat"/>
                <w:color w:val="009C9C"/>
                <w:sz w:val="16"/>
                <w:szCs w:val="16"/>
              </w:rPr>
              <w:t xml:space="preserve">Tokeniser knowledge hub: How does Tokeniser work?, https://tokeniser.com/resources/knowledge-hub/platform/how-does-tokeniser-work</w:t>
            </w:r>
          </w:p>
        </w:tc>
      </w:tr>
    </w:tbl>
    <w:p>
      <w:pPr>
        <w:pStyle w:val="Heading2"/>
        <w:spacing w:before="240"/>
      </w:pPr>
      <w:r>
        <w:rPr>
          <w:rFonts w:ascii="Montserrat" w:cs="Montserrat" w:eastAsia="Montserrat" w:hAnsi="Montserrat"/>
          <w:b/>
          <w:bCs/>
          <w:sz w:val="23"/>
          <w:szCs w:val="23"/>
        </w:rPr>
        <w:t xml:space="preserve">Step 3, issue tokens  (0:35.6 to 0:46.2)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F2FFF7" w:color="auto" w:val="clear"/>
            <w:tcMar>
              <w:top w:type="dxa" w:w="80"/>
              <w:left w:type="dxa" w:w="100"/>
              <w:bottom w:type="dxa" w:w="80"/>
              <w:right w:type="dxa" w:w="100"/>
            </w:tcMar>
          </w:tcPr>
          <w:p>
            <w:pPr>
              <w:spacing w:after="0"/>
            </w:pPr>
            <w:r>
              <w:rPr>
                <w:rFonts w:ascii="Montserrat" w:cs="Montserrat" w:eastAsia="Montserrat" w:hAnsi="Montserrat"/>
                <w:b/>
                <w:bCs/>
                <w:color w:val="343740"/>
                <w:sz w:val="20"/>
                <w:szCs w:val="20"/>
              </w:rPr>
              <w:t xml:space="preserve">Voiceover</w:t>
            </w:r>
          </w:p>
        </w:tc>
        <w:tc>
          <w:tcPr>
            <w:tcW w:type="pct" w:w="78%"/>
            <w:shd w:fill="F2FFF7" w:color="auto" w:val="clear"/>
            <w:tcMar>
              <w:top w:type="dxa" w:w="80"/>
              <w:left w:type="dxa" w:w="100"/>
              <w:bottom w:type="dxa" w:w="80"/>
              <w:right w:type="dxa" w:w="100"/>
            </w:tcMar>
          </w:tcPr>
          <w:p>
            <w:pPr>
              <w:spacing w:after="0"/>
            </w:pPr>
            <w:r>
              <w:rPr>
                <w:rFonts w:ascii="Montserrat" w:cs="Montserrat" w:eastAsia="Montserrat" w:hAnsi="Montserrat"/>
                <w:color w:val="343740"/>
                <w:sz w:val="21"/>
                <w:szCs w:val="21"/>
              </w:rPr>
              <w:t xml:space="preserve">Step three, issue. Tokens are minted on Redbelly Network and sent to verified wallets. Each is a fractional ownership interest, and the register updates immediately.</w:t>
            </w:r>
          </w:p>
        </w:tc>
      </w:tr>
      <w:tr>
        <w:tc>
          <w:tcPr>
            <w:tcW w:type="pct" w:w="22%"/>
            <w:tcMar>
              <w:top w:type="dxa" w:w="80"/>
              <w:left w:type="dxa" w:w="100"/>
              <w:bottom w:type="dxa" w:w="80"/>
              <w:right w:type="dxa" w:w="100"/>
            </w:tcMar>
          </w:tcPr>
          <w:p>
            <w:pPr>
              <w:spacing w:after="0"/>
            </w:pPr>
            <w:r>
              <w:rPr>
                <w:rFonts w:ascii="Montserrat" w:cs="Montserrat" w:eastAsia="Montserrat" w:hAnsi="Montserrat"/>
                <w:b/>
                <w:bCs/>
                <w:color w:val="343740"/>
                <w:sz w:val="20"/>
                <w:szCs w:val="20"/>
              </w:rPr>
              <w:t xml:space="preserve">On screen text</w:t>
            </w:r>
          </w:p>
        </w:tc>
        <w:tc>
          <w:tcPr>
            <w:tcW w:type="pct" w:w="78%"/>
            <w:tcMar>
              <w:top w:type="dxa" w:w="80"/>
              <w:left w:type="dxa" w:w="100"/>
              <w:bottom w:type="dxa" w:w="80"/>
              <w:right w:type="dxa" w:w="100"/>
            </w:tcMar>
          </w:tcPr>
          <w:p>
            <w:pPr>
              <w:spacing w:after="40"/>
            </w:pPr>
            <w:r>
              <w:rPr>
                <w:rFonts w:ascii="Montserrat" w:cs="Montserrat" w:eastAsia="Montserrat" w:hAnsi="Montserrat"/>
                <w:color w:val="343740"/>
                <w:sz w:val="20"/>
                <w:szCs w:val="20"/>
              </w:rPr>
              <w:t xml:space="preserve">Step 3 of 4</w:t>
            </w:r>
          </w:p>
          <w:p>
            <w:pPr>
              <w:spacing w:after="40"/>
            </w:pPr>
            <w:r>
              <w:rPr>
                <w:rFonts w:ascii="Montserrat" w:cs="Montserrat" w:eastAsia="Montserrat" w:hAnsi="Montserrat"/>
                <w:color w:val="343740"/>
                <w:sz w:val="20"/>
                <w:szCs w:val="20"/>
              </w:rPr>
              <w:t xml:space="preserve">Issue</w:t>
            </w:r>
          </w:p>
          <w:p>
            <w:pPr>
              <w:spacing w:after="40"/>
            </w:pPr>
            <w:r>
              <w:rPr>
                <w:rFonts w:ascii="Montserrat" w:cs="Montserrat" w:eastAsia="Montserrat" w:hAnsi="Montserrat"/>
                <w:color w:val="343740"/>
                <w:sz w:val="20"/>
                <w:szCs w:val="20"/>
              </w:rPr>
              <w:t xml:space="preserve">Minted on Redbelly Network</w:t>
            </w:r>
          </w:p>
          <w:p>
            <w:pPr>
              <w:spacing w:after="40"/>
            </w:pPr>
            <w:r>
              <w:rPr>
                <w:rFonts w:ascii="Montserrat" w:cs="Montserrat" w:eastAsia="Montserrat" w:hAnsi="Montserrat"/>
                <w:color w:val="343740"/>
                <w:sz w:val="20"/>
                <w:szCs w:val="20"/>
              </w:rPr>
              <w:t xml:space="preserve">Verified</w:t>
            </w:r>
          </w:p>
          <w:p>
            <w:pPr>
              <w:spacing w:after="40"/>
            </w:pPr>
            <w:r>
              <w:rPr>
                <w:rFonts w:ascii="Montserrat" w:cs="Montserrat" w:eastAsia="Montserrat" w:hAnsi="Montserrat"/>
                <w:color w:val="343740"/>
                <w:sz w:val="20"/>
                <w:szCs w:val="20"/>
              </w:rPr>
              <w:t xml:space="preserve">Fractional ownership interest</w:t>
            </w:r>
          </w:p>
          <w:p>
            <w:pPr>
              <w:spacing w:after="40"/>
            </w:pPr>
            <w:r>
              <w:rPr>
                <w:rFonts w:ascii="Montserrat" w:cs="Montserrat" w:eastAsia="Montserrat" w:hAnsi="Montserrat"/>
                <w:color w:val="343740"/>
                <w:sz w:val="20"/>
                <w:szCs w:val="20"/>
              </w:rPr>
              <w:t xml:space="preserve">Register updated</w:t>
            </w:r>
          </w:p>
        </w:tc>
      </w:tr>
      <w:tr>
        <w:tc>
          <w:tcPr>
            <w:tcW w:type="pct" w:w="22%"/>
            <w:tcMar>
              <w:top w:type="dxa" w:w="80"/>
              <w:left w:type="dxa" w:w="100"/>
              <w:bottom w:type="dxa" w:w="80"/>
              <w:right w:type="dxa" w:w="100"/>
            </w:tcMar>
          </w:tcPr>
          <w:p>
            <w:pPr>
              <w:spacing w:after="0"/>
            </w:pPr>
            <w:r>
              <w:rPr>
                <w:rFonts w:ascii="Montserrat" w:cs="Montserrat" w:eastAsia="Montserrat" w:hAnsi="Montserrat"/>
                <w:b/>
                <w:bCs/>
                <w:color w:val="343740"/>
                <w:sz w:val="20"/>
                <w:szCs w:val="20"/>
              </w:rPr>
              <w:t xml:space="preserve">Visual</w:t>
            </w:r>
          </w:p>
        </w:tc>
        <w:tc>
          <w:tcPr>
            <w:tcW w:type="pct" w:w="78%"/>
            <w:tcMar>
              <w:top w:type="dxa" w:w="80"/>
              <w:left w:type="dxa" w:w="100"/>
              <w:bottom w:type="dxa" w:w="80"/>
              <w:right w:type="dxa" w:w="100"/>
            </w:tcMar>
          </w:tcPr>
          <w:p>
            <w:pPr>
              <w:spacing w:after="0"/>
            </w:pPr>
            <w:r>
              <w:rPr>
                <w:rFonts w:ascii="Montserrat" w:cs="Montserrat" w:eastAsia="Montserrat" w:hAnsi="Montserrat"/>
                <w:color w:val="343740"/>
                <w:sz w:val="20"/>
                <w:szCs w:val="20"/>
              </w:rPr>
              <w:t xml:space="preserve">The building divides into nine equal units. Each unit turns mint as its token travels along a Redbelly Network rail into one of three verified wallets. A live register panel fills as each token lands, then shows register updated.</w:t>
            </w:r>
          </w:p>
        </w:tc>
      </w:tr>
      <w:tr>
        <w:tc>
          <w:tcPr>
            <w:tcW w:type="pct" w:w="22%"/>
            <w:tcMar>
              <w:top w:type="dxa" w:w="80"/>
              <w:left w:type="dxa" w:w="100"/>
              <w:bottom w:type="dxa" w:w="80"/>
              <w:right w:type="dxa" w:w="100"/>
            </w:tcMar>
          </w:tcPr>
          <w:p>
            <w:pPr>
              <w:spacing w:after="0"/>
            </w:pPr>
            <w:r>
              <w:rPr>
                <w:rFonts w:ascii="Montserrat" w:cs="Montserrat" w:eastAsia="Montserrat" w:hAnsi="Montserrat"/>
                <w:b/>
                <w:bCs/>
                <w:color w:val="343740"/>
                <w:sz w:val="18"/>
                <w:szCs w:val="18"/>
              </w:rPr>
              <w:t xml:space="preserve">Claim: Tokens are minted on Redbelly Network and sent to verified wallets</w:t>
            </w:r>
          </w:p>
        </w:tc>
        <w:tc>
          <w:tcPr>
            <w:tcW w:type="pct" w:w="78%"/>
            <w:tcMar>
              <w:top w:type="dxa" w:w="80"/>
              <w:left w:type="dxa" w:w="100"/>
              <w:bottom w:type="dxa" w:w="80"/>
              <w:right w:type="dxa" w:w="100"/>
            </w:tcMar>
          </w:tcPr>
          <w:p>
            <w:pPr>
              <w:spacing w:after="40"/>
            </w:pPr>
            <w:r>
              <w:rPr>
                <w:rFonts w:ascii="Montserrat" w:cs="Montserrat" w:eastAsia="Montserrat" w:hAnsi="Montserrat"/>
                <w:i/>
                <w:iCs/>
                <w:color w:val="343740"/>
                <w:sz w:val="18"/>
                <w:szCs w:val="18"/>
              </w:rPr>
              <w:t xml:space="preserve">“Tokens are minted on Redbelly Network and transferred to verified investor wallets.”</w:t>
            </w:r>
          </w:p>
          <w:p>
            <w:pPr>
              <w:spacing w:after="0"/>
            </w:pPr>
            <w:r>
              <w:rPr>
                <w:rFonts w:ascii="Montserrat" w:cs="Montserrat" w:eastAsia="Montserrat" w:hAnsi="Montserrat"/>
                <w:color w:val="009C9C"/>
                <w:sz w:val="16"/>
                <w:szCs w:val="16"/>
              </w:rPr>
              <w:t xml:space="preserve">Tokeniser knowledge hub: How does Tokeniser work?, https://tokeniser.com/resources/knowledge-hub/platform/how-does-tokeniser-work</w:t>
            </w:r>
          </w:p>
        </w:tc>
      </w:tr>
      <w:tr>
        <w:tc>
          <w:tcPr>
            <w:tcW w:type="pct" w:w="22%"/>
            <w:tcMar>
              <w:top w:type="dxa" w:w="80"/>
              <w:left w:type="dxa" w:w="100"/>
              <w:bottom w:type="dxa" w:w="80"/>
              <w:right w:type="dxa" w:w="100"/>
            </w:tcMar>
          </w:tcPr>
          <w:p>
            <w:pPr>
              <w:spacing w:after="0"/>
            </w:pPr>
            <w:r>
              <w:rPr>
                <w:rFonts w:ascii="Montserrat" w:cs="Montserrat" w:eastAsia="Montserrat" w:hAnsi="Montserrat"/>
                <w:b/>
                <w:bCs/>
                <w:color w:val="343740"/>
                <w:sz w:val="18"/>
                <w:szCs w:val="18"/>
              </w:rPr>
              <w:t xml:space="preserve">Claim: Each one is a fractional ownership interest</w:t>
            </w:r>
          </w:p>
        </w:tc>
        <w:tc>
          <w:tcPr>
            <w:tcW w:type="pct" w:w="78%"/>
            <w:tcMar>
              <w:top w:type="dxa" w:w="80"/>
              <w:left w:type="dxa" w:w="100"/>
              <w:bottom w:type="dxa" w:w="80"/>
              <w:right w:type="dxa" w:w="100"/>
            </w:tcMar>
          </w:tcPr>
          <w:p>
            <w:pPr>
              <w:spacing w:after="40"/>
            </w:pPr>
            <w:r>
              <w:rPr>
                <w:rFonts w:ascii="Montserrat" w:cs="Montserrat" w:eastAsia="Montserrat" w:hAnsi="Montserrat"/>
                <w:i/>
                <w:iCs/>
                <w:color w:val="343740"/>
                <w:sz w:val="18"/>
                <w:szCs w:val="18"/>
              </w:rPr>
              <w:t xml:space="preserve">“Tokenisation allows the same asset to be divided into any number of units, each representing a verified fractional ownership interest.”</w:t>
            </w:r>
          </w:p>
          <w:p>
            <w:pPr>
              <w:spacing w:after="0"/>
            </w:pPr>
            <w:r>
              <w:rPr>
                <w:rFonts w:ascii="Montserrat" w:cs="Montserrat" w:eastAsia="Montserrat" w:hAnsi="Montserrat"/>
                <w:color w:val="009C9C"/>
                <w:sz w:val="16"/>
                <w:szCs w:val="16"/>
              </w:rPr>
              <w:t xml:space="preserve">Tokeniser knowledge hub: What does tokenising your assets enable?, https://tokeniser.com/resources/knowledge-hub/business-case/what-does-tokenising-your-assets-enable</w:t>
            </w:r>
          </w:p>
        </w:tc>
      </w:tr>
      <w:tr>
        <w:tc>
          <w:tcPr>
            <w:tcW w:type="pct" w:w="22%"/>
            <w:tcMar>
              <w:top w:type="dxa" w:w="80"/>
              <w:left w:type="dxa" w:w="100"/>
              <w:bottom w:type="dxa" w:w="80"/>
              <w:right w:type="dxa" w:w="100"/>
            </w:tcMar>
          </w:tcPr>
          <w:p>
            <w:pPr>
              <w:spacing w:after="0"/>
            </w:pPr>
            <w:r>
              <w:rPr>
                <w:rFonts w:ascii="Montserrat" w:cs="Montserrat" w:eastAsia="Montserrat" w:hAnsi="Montserrat"/>
                <w:b/>
                <w:bCs/>
                <w:color w:val="343740"/>
                <w:sz w:val="18"/>
                <w:szCs w:val="18"/>
              </w:rPr>
              <w:t xml:space="preserve">Claim: the register updates immediately</w:t>
            </w:r>
          </w:p>
        </w:tc>
        <w:tc>
          <w:tcPr>
            <w:tcW w:type="pct" w:w="78%"/>
            <w:tcMar>
              <w:top w:type="dxa" w:w="80"/>
              <w:left w:type="dxa" w:w="100"/>
              <w:bottom w:type="dxa" w:w="80"/>
              <w:right w:type="dxa" w:w="100"/>
            </w:tcMar>
          </w:tcPr>
          <w:p>
            <w:pPr>
              <w:spacing w:after="40"/>
            </w:pPr>
            <w:r>
              <w:rPr>
                <w:rFonts w:ascii="Montserrat" w:cs="Montserrat" w:eastAsia="Montserrat" w:hAnsi="Montserrat"/>
                <w:i/>
                <w:iCs/>
                <w:color w:val="343740"/>
                <w:sz w:val="18"/>
                <w:szCs w:val="18"/>
              </w:rPr>
              <w:t xml:space="preserve">“The on-chain register updates immediately to reflect each issuance.”</w:t>
            </w:r>
          </w:p>
          <w:p>
            <w:pPr>
              <w:spacing w:after="0"/>
            </w:pPr>
            <w:r>
              <w:rPr>
                <w:rFonts w:ascii="Montserrat" w:cs="Montserrat" w:eastAsia="Montserrat" w:hAnsi="Montserrat"/>
                <w:color w:val="009C9C"/>
                <w:sz w:val="16"/>
                <w:szCs w:val="16"/>
              </w:rPr>
              <w:t xml:space="preserve">Tokeniser knowledge hub: How does Tokeniser work?, https://tokeniser.com/resources/knowledge-hub/platform/how-does-tokeniser-work</w:t>
            </w:r>
          </w:p>
        </w:tc>
      </w:tr>
    </w:tbl>
    <w:p>
      <w:pPr>
        <w:pStyle w:val="Heading2"/>
        <w:spacing w:before="240"/>
      </w:pPr>
      <w:r>
        <w:rPr>
          <w:rFonts w:ascii="Montserrat" w:cs="Montserrat" w:eastAsia="Montserrat" w:hAnsi="Montserrat"/>
          <w:b/>
          <w:bCs/>
          <w:sz w:val="23"/>
          <w:szCs w:val="23"/>
        </w:rPr>
        <w:t xml:space="preserve">Step 4, transfer  (0:46.2 to 0:56.6)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F2FFF7" w:color="auto" w:val="clear"/>
            <w:tcMar>
              <w:top w:type="dxa" w:w="80"/>
              <w:left w:type="dxa" w:w="100"/>
              <w:bottom w:type="dxa" w:w="80"/>
              <w:right w:type="dxa" w:w="100"/>
            </w:tcMar>
          </w:tcPr>
          <w:p>
            <w:pPr>
              <w:spacing w:after="0"/>
            </w:pPr>
            <w:r>
              <w:rPr>
                <w:rFonts w:ascii="Montserrat" w:cs="Montserrat" w:eastAsia="Montserrat" w:hAnsi="Montserrat"/>
                <w:b/>
                <w:bCs/>
                <w:color w:val="343740"/>
                <w:sz w:val="20"/>
                <w:szCs w:val="20"/>
              </w:rPr>
              <w:t xml:space="preserve">Voiceover</w:t>
            </w:r>
          </w:p>
        </w:tc>
        <w:tc>
          <w:tcPr>
            <w:tcW w:type="pct" w:w="78%"/>
            <w:shd w:fill="F2FFF7" w:color="auto" w:val="clear"/>
            <w:tcMar>
              <w:top w:type="dxa" w:w="80"/>
              <w:left w:type="dxa" w:w="100"/>
              <w:bottom w:type="dxa" w:w="80"/>
              <w:right w:type="dxa" w:w="100"/>
            </w:tcMar>
          </w:tcPr>
          <w:p>
            <w:pPr>
              <w:spacing w:after="0"/>
            </w:pPr>
            <w:r>
              <w:rPr>
                <w:rFonts w:ascii="Montserrat" w:cs="Montserrat" w:eastAsia="Montserrat" w:hAnsi="Montserrat"/>
                <w:color w:val="343740"/>
                <w:sz w:val="21"/>
                <w:szCs w:val="21"/>
              </w:rPr>
              <w:t xml:space="preserve">Step four, transfer. Every transfer is checked against the rules first. A transfer to an ineligible investor is rejected. A compliant one settles in seconds.</w:t>
            </w:r>
          </w:p>
        </w:tc>
      </w:tr>
      <w:tr>
        <w:tc>
          <w:tcPr>
            <w:tcW w:type="pct" w:w="22%"/>
            <w:tcMar>
              <w:top w:type="dxa" w:w="80"/>
              <w:left w:type="dxa" w:w="100"/>
              <w:bottom w:type="dxa" w:w="80"/>
              <w:right w:type="dxa" w:w="100"/>
            </w:tcMar>
          </w:tcPr>
          <w:p>
            <w:pPr>
              <w:spacing w:after="0"/>
            </w:pPr>
            <w:r>
              <w:rPr>
                <w:rFonts w:ascii="Montserrat" w:cs="Montserrat" w:eastAsia="Montserrat" w:hAnsi="Montserrat"/>
                <w:b/>
                <w:bCs/>
                <w:color w:val="343740"/>
                <w:sz w:val="20"/>
                <w:szCs w:val="20"/>
              </w:rPr>
              <w:t xml:space="preserve">On screen text</w:t>
            </w:r>
          </w:p>
        </w:tc>
        <w:tc>
          <w:tcPr>
            <w:tcW w:type="pct" w:w="78%"/>
            <w:tcMar>
              <w:top w:type="dxa" w:w="80"/>
              <w:left w:type="dxa" w:w="100"/>
              <w:bottom w:type="dxa" w:w="80"/>
              <w:right w:type="dxa" w:w="100"/>
            </w:tcMar>
          </w:tcPr>
          <w:p>
            <w:pPr>
              <w:spacing w:after="40"/>
            </w:pPr>
            <w:r>
              <w:rPr>
                <w:rFonts w:ascii="Montserrat" w:cs="Montserrat" w:eastAsia="Montserrat" w:hAnsi="Montserrat"/>
                <w:color w:val="343740"/>
                <w:sz w:val="20"/>
                <w:szCs w:val="20"/>
              </w:rPr>
              <w:t xml:space="preserve">Step 4 of 4</w:t>
            </w:r>
          </w:p>
          <w:p>
            <w:pPr>
              <w:spacing w:after="40"/>
            </w:pPr>
            <w:r>
              <w:rPr>
                <w:rFonts w:ascii="Montserrat" w:cs="Montserrat" w:eastAsia="Montserrat" w:hAnsi="Montserrat"/>
                <w:color w:val="343740"/>
                <w:sz w:val="20"/>
                <w:szCs w:val="20"/>
              </w:rPr>
              <w:t xml:space="preserve">Transfer</w:t>
            </w:r>
          </w:p>
          <w:p>
            <w:pPr>
              <w:spacing w:after="40"/>
            </w:pPr>
            <w:r>
              <w:rPr>
                <w:rFonts w:ascii="Montserrat" w:cs="Montserrat" w:eastAsia="Montserrat" w:hAnsi="Montserrat"/>
                <w:color w:val="343740"/>
                <w:sz w:val="20"/>
                <w:szCs w:val="20"/>
              </w:rPr>
              <w:t xml:space="preserve">Checked against the rules</w:t>
            </w:r>
          </w:p>
          <w:p>
            <w:pPr>
              <w:spacing w:after="40"/>
            </w:pPr>
            <w:r>
              <w:rPr>
                <w:rFonts w:ascii="Montserrat" w:cs="Montserrat" w:eastAsia="Montserrat" w:hAnsi="Montserrat"/>
                <w:color w:val="343740"/>
                <w:sz w:val="20"/>
                <w:szCs w:val="20"/>
              </w:rPr>
              <w:t xml:space="preserve">Ineligible</w:t>
            </w:r>
          </w:p>
          <w:p>
            <w:pPr>
              <w:spacing w:after="40"/>
            </w:pPr>
            <w:r>
              <w:rPr>
                <w:rFonts w:ascii="Montserrat" w:cs="Montserrat" w:eastAsia="Montserrat" w:hAnsi="Montserrat"/>
                <w:color w:val="343740"/>
                <w:sz w:val="20"/>
                <w:szCs w:val="20"/>
              </w:rPr>
              <w:t xml:space="preserve">Rejected</w:t>
            </w:r>
          </w:p>
          <w:p>
            <w:pPr>
              <w:spacing w:after="40"/>
            </w:pPr>
            <w:r>
              <w:rPr>
                <w:rFonts w:ascii="Montserrat" w:cs="Montserrat" w:eastAsia="Montserrat" w:hAnsi="Montserrat"/>
                <w:color w:val="343740"/>
                <w:sz w:val="20"/>
                <w:szCs w:val="20"/>
              </w:rPr>
              <w:t xml:space="preserve">Settled in seconds</w:t>
            </w:r>
          </w:p>
        </w:tc>
      </w:tr>
      <w:tr>
        <w:tc>
          <w:tcPr>
            <w:tcW w:type="pct" w:w="22%"/>
            <w:tcMar>
              <w:top w:type="dxa" w:w="80"/>
              <w:left w:type="dxa" w:w="100"/>
              <w:bottom w:type="dxa" w:w="80"/>
              <w:right w:type="dxa" w:w="100"/>
            </w:tcMar>
          </w:tcPr>
          <w:p>
            <w:pPr>
              <w:spacing w:after="0"/>
            </w:pPr>
            <w:r>
              <w:rPr>
                <w:rFonts w:ascii="Montserrat" w:cs="Montserrat" w:eastAsia="Montserrat" w:hAnsi="Montserrat"/>
                <w:b/>
                <w:bCs/>
                <w:color w:val="343740"/>
                <w:sz w:val="20"/>
                <w:szCs w:val="20"/>
              </w:rPr>
              <w:t xml:space="preserve">Visual</w:t>
            </w:r>
          </w:p>
        </w:tc>
        <w:tc>
          <w:tcPr>
            <w:tcW w:type="pct" w:w="78%"/>
            <w:tcMar>
              <w:top w:type="dxa" w:w="80"/>
              <w:left w:type="dxa" w:w="100"/>
              <w:bottom w:type="dxa" w:w="80"/>
              <w:right w:type="dxa" w:w="100"/>
            </w:tcMar>
          </w:tcPr>
          <w:p>
            <w:pPr>
              <w:spacing w:after="0"/>
            </w:pPr>
            <w:r>
              <w:rPr>
                <w:rFonts w:ascii="Montserrat" w:cs="Montserrat" w:eastAsia="Montserrat" w:hAnsi="Montserrat"/>
                <w:color w:val="343740"/>
                <w:sz w:val="20"/>
                <w:szCs w:val="20"/>
              </w:rPr>
              <w:t xml:space="preserve">A token leaves Investor A for a rules check. Heading for an ineligible investor, it is stopped at the check with a calm rejected label. A second token passes the check to an eligible, verified investor and a settled in seconds label appears.</w:t>
            </w:r>
          </w:p>
        </w:tc>
      </w:tr>
      <w:tr>
        <w:tc>
          <w:tcPr>
            <w:tcW w:type="pct" w:w="22%"/>
            <w:tcMar>
              <w:top w:type="dxa" w:w="80"/>
              <w:left w:type="dxa" w:w="100"/>
              <w:bottom w:type="dxa" w:w="80"/>
              <w:right w:type="dxa" w:w="100"/>
            </w:tcMar>
          </w:tcPr>
          <w:p>
            <w:pPr>
              <w:spacing w:after="0"/>
            </w:pPr>
            <w:r>
              <w:rPr>
                <w:rFonts w:ascii="Montserrat" w:cs="Montserrat" w:eastAsia="Montserrat" w:hAnsi="Montserrat"/>
                <w:b/>
                <w:bCs/>
                <w:color w:val="343740"/>
                <w:sz w:val="18"/>
                <w:szCs w:val="18"/>
              </w:rPr>
              <w:t xml:space="preserve">Claim: Every transfer is checked against the rules first</w:t>
            </w:r>
          </w:p>
        </w:tc>
        <w:tc>
          <w:tcPr>
            <w:tcW w:type="pct" w:w="78%"/>
            <w:tcMar>
              <w:top w:type="dxa" w:w="80"/>
              <w:left w:type="dxa" w:w="100"/>
              <w:bottom w:type="dxa" w:w="80"/>
              <w:right w:type="dxa" w:w="100"/>
            </w:tcMar>
          </w:tcPr>
          <w:p>
            <w:pPr>
              <w:spacing w:after="40"/>
            </w:pPr>
            <w:r>
              <w:rPr>
                <w:rFonts w:ascii="Montserrat" w:cs="Montserrat" w:eastAsia="Montserrat" w:hAnsi="Montserrat"/>
                <w:i/>
                <w:iCs/>
                <w:color w:val="343740"/>
                <w:sz w:val="18"/>
                <w:szCs w:val="18"/>
              </w:rPr>
              <w:t xml:space="preserve">“Every transfer is checked against configured compliance parameters before submission.”</w:t>
            </w:r>
          </w:p>
          <w:p>
            <w:pPr>
              <w:spacing w:after="0"/>
            </w:pPr>
            <w:r>
              <w:rPr>
                <w:rFonts w:ascii="Montserrat" w:cs="Montserrat" w:eastAsia="Montserrat" w:hAnsi="Montserrat"/>
                <w:color w:val="009C9C"/>
                <w:sz w:val="16"/>
                <w:szCs w:val="16"/>
              </w:rPr>
              <w:t xml:space="preserve">Tokeniser knowledge hub: How does Tokeniser work?, https://tokeniser.com/resources/knowledge-hub/platform/how-does-tokeniser-work</w:t>
            </w:r>
          </w:p>
        </w:tc>
      </w:tr>
      <w:tr>
        <w:tc>
          <w:tcPr>
            <w:tcW w:type="pct" w:w="22%"/>
            <w:tcMar>
              <w:top w:type="dxa" w:w="80"/>
              <w:left w:type="dxa" w:w="100"/>
              <w:bottom w:type="dxa" w:w="80"/>
              <w:right w:type="dxa" w:w="100"/>
            </w:tcMar>
          </w:tcPr>
          <w:p>
            <w:pPr>
              <w:spacing w:after="0"/>
            </w:pPr>
            <w:r>
              <w:rPr>
                <w:rFonts w:ascii="Montserrat" w:cs="Montserrat" w:eastAsia="Montserrat" w:hAnsi="Montserrat"/>
                <w:b/>
                <w:bCs/>
                <w:color w:val="343740"/>
                <w:sz w:val="18"/>
                <w:szCs w:val="18"/>
              </w:rPr>
              <w:t xml:space="preserve">Claim: A transfer to an ineligible investor is rejected</w:t>
            </w:r>
          </w:p>
        </w:tc>
        <w:tc>
          <w:tcPr>
            <w:tcW w:type="pct" w:w="78%"/>
            <w:tcMar>
              <w:top w:type="dxa" w:w="80"/>
              <w:left w:type="dxa" w:w="100"/>
              <w:bottom w:type="dxa" w:w="80"/>
              <w:right w:type="dxa" w:w="100"/>
            </w:tcMar>
          </w:tcPr>
          <w:p>
            <w:pPr>
              <w:spacing w:after="40"/>
            </w:pPr>
            <w:r>
              <w:rPr>
                <w:rFonts w:ascii="Montserrat" w:cs="Montserrat" w:eastAsia="Montserrat" w:hAnsi="Montserrat"/>
                <w:i/>
                <w:iCs/>
                <w:color w:val="343740"/>
                <w:sz w:val="18"/>
                <w:szCs w:val="18"/>
              </w:rPr>
              <w:t xml:space="preserve">“Transfers to unverified wallets, ineligible investors, or in breach of restrictions are rejected.”</w:t>
            </w:r>
          </w:p>
          <w:p>
            <w:pPr>
              <w:spacing w:after="0"/>
            </w:pPr>
            <w:r>
              <w:rPr>
                <w:rFonts w:ascii="Montserrat" w:cs="Montserrat" w:eastAsia="Montserrat" w:hAnsi="Montserrat"/>
                <w:color w:val="009C9C"/>
                <w:sz w:val="16"/>
                <w:szCs w:val="16"/>
              </w:rPr>
              <w:t xml:space="preserve">Tokeniser knowledge hub: How does Tokeniser work?, https://tokeniser.com/resources/knowledge-hub/platform/how-does-tokeniser-work</w:t>
            </w:r>
          </w:p>
        </w:tc>
      </w:tr>
      <w:tr>
        <w:tc>
          <w:tcPr>
            <w:tcW w:type="pct" w:w="22%"/>
            <w:tcMar>
              <w:top w:type="dxa" w:w="80"/>
              <w:left w:type="dxa" w:w="100"/>
              <w:bottom w:type="dxa" w:w="80"/>
              <w:right w:type="dxa" w:w="100"/>
            </w:tcMar>
          </w:tcPr>
          <w:p>
            <w:pPr>
              <w:spacing w:after="0"/>
            </w:pPr>
            <w:r>
              <w:rPr>
                <w:rFonts w:ascii="Montserrat" w:cs="Montserrat" w:eastAsia="Montserrat" w:hAnsi="Montserrat"/>
                <w:b/>
                <w:bCs/>
                <w:color w:val="343740"/>
                <w:sz w:val="18"/>
                <w:szCs w:val="18"/>
              </w:rPr>
              <w:t xml:space="preserve">Claim: A compliant one settles on Redbelly Network in seconds</w:t>
            </w:r>
          </w:p>
        </w:tc>
        <w:tc>
          <w:tcPr>
            <w:tcW w:type="pct" w:w="78%"/>
            <w:tcMar>
              <w:top w:type="dxa" w:w="80"/>
              <w:left w:type="dxa" w:w="100"/>
              <w:bottom w:type="dxa" w:w="80"/>
              <w:right w:type="dxa" w:w="100"/>
            </w:tcMar>
          </w:tcPr>
          <w:p>
            <w:pPr>
              <w:spacing w:after="40"/>
            </w:pPr>
            <w:r>
              <w:rPr>
                <w:rFonts w:ascii="Montserrat" w:cs="Montserrat" w:eastAsia="Montserrat" w:hAnsi="Montserrat"/>
                <w:i/>
                <w:iCs/>
                <w:color w:val="343740"/>
                <w:sz w:val="18"/>
                <w:szCs w:val="18"/>
              </w:rPr>
              <w:t xml:space="preserve">“Compliant transfers settle atomically on Redbelly Network in seconds.”</w:t>
            </w:r>
          </w:p>
          <w:p>
            <w:pPr>
              <w:spacing w:after="0"/>
            </w:pPr>
            <w:r>
              <w:rPr>
                <w:rFonts w:ascii="Montserrat" w:cs="Montserrat" w:eastAsia="Montserrat" w:hAnsi="Montserrat"/>
                <w:color w:val="009C9C"/>
                <w:sz w:val="16"/>
                <w:szCs w:val="16"/>
              </w:rPr>
              <w:t xml:space="preserve">Tokeniser knowledge hub: How does Tokeniser work?, https://tokeniser.com/resources/knowledge-hub/platform/how-does-tokeniser-work</w:t>
            </w:r>
          </w:p>
        </w:tc>
      </w:tr>
    </w:tbl>
    <w:p>
      <w:pPr>
        <w:pStyle w:val="Heading2"/>
        <w:spacing w:before="240"/>
      </w:pPr>
      <w:r>
        <w:rPr>
          <w:rFonts w:ascii="Montserrat" w:cs="Montserrat" w:eastAsia="Montserrat" w:hAnsi="Montserrat"/>
          <w:b/>
          <w:bCs/>
          <w:sz w:val="23"/>
          <w:szCs w:val="23"/>
        </w:rPr>
        <w:t xml:space="preserve">Running the fund  (0:56.6 to 1:05.8)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F2FFF7" w:color="auto" w:val="clear"/>
            <w:tcMar>
              <w:top w:type="dxa" w:w="80"/>
              <w:left w:type="dxa" w:w="100"/>
              <w:bottom w:type="dxa" w:w="80"/>
              <w:right w:type="dxa" w:w="100"/>
            </w:tcMar>
          </w:tcPr>
          <w:p>
            <w:pPr>
              <w:spacing w:after="0"/>
            </w:pPr>
            <w:r>
              <w:rPr>
                <w:rFonts w:ascii="Montserrat" w:cs="Montserrat" w:eastAsia="Montserrat" w:hAnsi="Montserrat"/>
                <w:b/>
                <w:bCs/>
                <w:color w:val="343740"/>
                <w:sz w:val="20"/>
                <w:szCs w:val="20"/>
              </w:rPr>
              <w:t xml:space="preserve">Voiceover</w:t>
            </w:r>
          </w:p>
        </w:tc>
        <w:tc>
          <w:tcPr>
            <w:tcW w:type="pct" w:w="78%"/>
            <w:shd w:fill="F2FFF7" w:color="auto" w:val="clear"/>
            <w:tcMar>
              <w:top w:type="dxa" w:w="80"/>
              <w:left w:type="dxa" w:w="100"/>
              <w:bottom w:type="dxa" w:w="80"/>
              <w:right w:type="dxa" w:w="100"/>
            </w:tcMar>
          </w:tcPr>
          <w:p>
            <w:pPr>
              <w:spacing w:after="0"/>
            </w:pPr>
            <w:r>
              <w:rPr>
                <w:rFonts w:ascii="Montserrat" w:cs="Montserrat" w:eastAsia="Montserrat" w:hAnsi="Montserrat"/>
                <w:color w:val="343740"/>
                <w:sz w:val="21"/>
                <w:szCs w:val="21"/>
              </w:rPr>
              <w:t xml:space="preserve">Distributions are paid to verified wallets in a single on-chain transaction. Records stay current for administrators, auditors and regulators.</w:t>
            </w:r>
          </w:p>
        </w:tc>
      </w:tr>
      <w:tr>
        <w:tc>
          <w:tcPr>
            <w:tcW w:type="pct" w:w="22%"/>
            <w:tcMar>
              <w:top w:type="dxa" w:w="80"/>
              <w:left w:type="dxa" w:w="100"/>
              <w:bottom w:type="dxa" w:w="80"/>
              <w:right w:type="dxa" w:w="100"/>
            </w:tcMar>
          </w:tcPr>
          <w:p>
            <w:pPr>
              <w:spacing w:after="0"/>
            </w:pPr>
            <w:r>
              <w:rPr>
                <w:rFonts w:ascii="Montserrat" w:cs="Montserrat" w:eastAsia="Montserrat" w:hAnsi="Montserrat"/>
                <w:b/>
                <w:bCs/>
                <w:color w:val="343740"/>
                <w:sz w:val="20"/>
                <w:szCs w:val="20"/>
              </w:rPr>
              <w:t xml:space="preserve">On screen text</w:t>
            </w:r>
          </w:p>
        </w:tc>
        <w:tc>
          <w:tcPr>
            <w:tcW w:type="pct" w:w="78%"/>
            <w:tcMar>
              <w:top w:type="dxa" w:w="80"/>
              <w:left w:type="dxa" w:w="100"/>
              <w:bottom w:type="dxa" w:w="80"/>
              <w:right w:type="dxa" w:w="100"/>
            </w:tcMar>
          </w:tcPr>
          <w:p>
            <w:pPr>
              <w:spacing w:after="40"/>
            </w:pPr>
            <w:r>
              <w:rPr>
                <w:rFonts w:ascii="Montserrat" w:cs="Montserrat" w:eastAsia="Montserrat" w:hAnsi="Montserrat"/>
                <w:color w:val="343740"/>
                <w:sz w:val="20"/>
                <w:szCs w:val="20"/>
              </w:rPr>
              <w:t xml:space="preserve">Distributions in a single on-chain transaction</w:t>
            </w:r>
          </w:p>
          <w:p>
            <w:pPr>
              <w:spacing w:after="40"/>
            </w:pPr>
            <w:r>
              <w:rPr>
                <w:rFonts w:ascii="Montserrat" w:cs="Montserrat" w:eastAsia="Montserrat" w:hAnsi="Montserrat"/>
                <w:color w:val="343740"/>
                <w:sz w:val="20"/>
                <w:szCs w:val="20"/>
              </w:rPr>
              <w:t xml:space="preserve">Always current records</w:t>
            </w:r>
          </w:p>
          <w:p>
            <w:pPr>
              <w:spacing w:after="40"/>
            </w:pPr>
            <w:r>
              <w:rPr>
                <w:rFonts w:ascii="Montserrat" w:cs="Montserrat" w:eastAsia="Montserrat" w:hAnsi="Montserrat"/>
                <w:color w:val="343740"/>
                <w:sz w:val="20"/>
                <w:szCs w:val="20"/>
              </w:rPr>
              <w:t xml:space="preserve">Administrators</w:t>
            </w:r>
          </w:p>
          <w:p>
            <w:pPr>
              <w:spacing w:after="40"/>
            </w:pPr>
            <w:r>
              <w:rPr>
                <w:rFonts w:ascii="Montserrat" w:cs="Montserrat" w:eastAsia="Montserrat" w:hAnsi="Montserrat"/>
                <w:color w:val="343740"/>
                <w:sz w:val="20"/>
                <w:szCs w:val="20"/>
              </w:rPr>
              <w:t xml:space="preserve">Auditors</w:t>
            </w:r>
          </w:p>
          <w:p>
            <w:pPr>
              <w:spacing w:after="40"/>
            </w:pPr>
            <w:r>
              <w:rPr>
                <w:rFonts w:ascii="Montserrat" w:cs="Montserrat" w:eastAsia="Montserrat" w:hAnsi="Montserrat"/>
                <w:color w:val="343740"/>
                <w:sz w:val="20"/>
                <w:szCs w:val="20"/>
              </w:rPr>
              <w:t xml:space="preserve">Regulators</w:t>
            </w:r>
          </w:p>
        </w:tc>
      </w:tr>
      <w:tr>
        <w:tc>
          <w:tcPr>
            <w:tcW w:type="pct" w:w="22%"/>
            <w:tcMar>
              <w:top w:type="dxa" w:w="80"/>
              <w:left w:type="dxa" w:w="100"/>
              <w:bottom w:type="dxa" w:w="80"/>
              <w:right w:type="dxa" w:w="100"/>
            </w:tcMar>
          </w:tcPr>
          <w:p>
            <w:pPr>
              <w:spacing w:after="0"/>
            </w:pPr>
            <w:r>
              <w:rPr>
                <w:rFonts w:ascii="Montserrat" w:cs="Montserrat" w:eastAsia="Montserrat" w:hAnsi="Montserrat"/>
                <w:b/>
                <w:bCs/>
                <w:color w:val="343740"/>
                <w:sz w:val="20"/>
                <w:szCs w:val="20"/>
              </w:rPr>
              <w:t xml:space="preserve">Visual</w:t>
            </w:r>
          </w:p>
        </w:tc>
        <w:tc>
          <w:tcPr>
            <w:tcW w:type="pct" w:w="78%"/>
            <w:tcMar>
              <w:top w:type="dxa" w:w="80"/>
              <w:left w:type="dxa" w:w="100"/>
              <w:bottom w:type="dxa" w:w="80"/>
              <w:right w:type="dxa" w:w="100"/>
            </w:tcMar>
          </w:tcPr>
          <w:p>
            <w:pPr>
              <w:spacing w:after="0"/>
            </w:pPr>
            <w:r>
              <w:rPr>
                <w:rFonts w:ascii="Montserrat" w:cs="Montserrat" w:eastAsia="Montserrat" w:hAnsi="Montserrat"/>
                <w:color w:val="343740"/>
                <w:sz w:val="20"/>
                <w:szCs w:val="20"/>
              </w:rPr>
              <w:t xml:space="preserve">One pulse leaves the fund and reaches every verified wallet at the same moment. A records panel lists the investor register, transaction history, distribution records and compliance log, each marked current, with badges for administrators, auditors and regulators.</w:t>
            </w:r>
          </w:p>
        </w:tc>
      </w:tr>
      <w:tr>
        <w:tc>
          <w:tcPr>
            <w:tcW w:type="pct" w:w="22%"/>
            <w:tcMar>
              <w:top w:type="dxa" w:w="80"/>
              <w:left w:type="dxa" w:w="100"/>
              <w:bottom w:type="dxa" w:w="80"/>
              <w:right w:type="dxa" w:w="100"/>
            </w:tcMar>
          </w:tcPr>
          <w:p>
            <w:pPr>
              <w:spacing w:after="0"/>
            </w:pPr>
            <w:r>
              <w:rPr>
                <w:rFonts w:ascii="Montserrat" w:cs="Montserrat" w:eastAsia="Montserrat" w:hAnsi="Montserrat"/>
                <w:b/>
                <w:bCs/>
                <w:color w:val="343740"/>
                <w:sz w:val="18"/>
                <w:szCs w:val="18"/>
              </w:rPr>
              <w:t xml:space="preserve">Claim: Distributions are paid to verified wallets in a single on-chain transaction</w:t>
            </w:r>
          </w:p>
        </w:tc>
        <w:tc>
          <w:tcPr>
            <w:tcW w:type="pct" w:w="78%"/>
            <w:tcMar>
              <w:top w:type="dxa" w:w="80"/>
              <w:left w:type="dxa" w:w="100"/>
              <w:bottom w:type="dxa" w:w="80"/>
              <w:right w:type="dxa" w:w="100"/>
            </w:tcMar>
          </w:tcPr>
          <w:p>
            <w:pPr>
              <w:spacing w:after="40"/>
            </w:pPr>
            <w:r>
              <w:rPr>
                <w:rFonts w:ascii="Montserrat" w:cs="Montserrat" w:eastAsia="Montserrat" w:hAnsi="Montserrat"/>
                <w:i/>
                <w:iCs/>
                <w:color w:val="343740"/>
                <w:sz w:val="18"/>
                <w:szCs w:val="18"/>
              </w:rPr>
              <w:t xml:space="preserve">“Payment is made to verified wallet addresses in a single on-chain transaction.”</w:t>
            </w:r>
          </w:p>
          <w:p>
            <w:pPr>
              <w:spacing w:after="0"/>
            </w:pPr>
            <w:r>
              <w:rPr>
                <w:rFonts w:ascii="Montserrat" w:cs="Montserrat" w:eastAsia="Montserrat" w:hAnsi="Montserrat"/>
                <w:color w:val="009C9C"/>
                <w:sz w:val="16"/>
                <w:szCs w:val="16"/>
              </w:rPr>
              <w:t xml:space="preserve">Tokeniser knowledge hub: How does Tokeniser work?, https://tokeniser.com/resources/knowledge-hub/platform/how-does-tokeniser-work</w:t>
            </w:r>
          </w:p>
        </w:tc>
      </w:tr>
      <w:tr>
        <w:tc>
          <w:tcPr>
            <w:tcW w:type="pct" w:w="22%"/>
            <w:tcMar>
              <w:top w:type="dxa" w:w="80"/>
              <w:left w:type="dxa" w:w="100"/>
              <w:bottom w:type="dxa" w:w="80"/>
              <w:right w:type="dxa" w:w="100"/>
            </w:tcMar>
          </w:tcPr>
          <w:p>
            <w:pPr>
              <w:spacing w:after="0"/>
            </w:pPr>
            <w:r>
              <w:rPr>
                <w:rFonts w:ascii="Montserrat" w:cs="Montserrat" w:eastAsia="Montserrat" w:hAnsi="Montserrat"/>
                <w:b/>
                <w:bCs/>
                <w:color w:val="343740"/>
                <w:sz w:val="18"/>
                <w:szCs w:val="18"/>
              </w:rPr>
              <w:t xml:space="preserve">Claim: records stay current for administrators, auditors and regulators</w:t>
            </w:r>
          </w:p>
        </w:tc>
        <w:tc>
          <w:tcPr>
            <w:tcW w:type="pct" w:w="78%"/>
            <w:tcMar>
              <w:top w:type="dxa" w:w="80"/>
              <w:left w:type="dxa" w:w="100"/>
              <w:bottom w:type="dxa" w:w="80"/>
              <w:right w:type="dxa" w:w="100"/>
            </w:tcMar>
          </w:tcPr>
          <w:p>
            <w:pPr>
              <w:spacing w:after="40"/>
            </w:pPr>
            <w:r>
              <w:rPr>
                <w:rFonts w:ascii="Montserrat" w:cs="Montserrat" w:eastAsia="Montserrat" w:hAnsi="Montserrat"/>
                <w:i/>
                <w:iCs/>
                <w:color w:val="343740"/>
                <w:sz w:val="18"/>
                <w:szCs w:val="18"/>
              </w:rPr>
              <w:t xml:space="preserve">“Cap tables, investor registers, transaction histories, distribution records, and compliance logs are always current and available for administrators, auditors, and regulators.”</w:t>
            </w:r>
          </w:p>
          <w:p>
            <w:pPr>
              <w:spacing w:after="0"/>
            </w:pPr>
            <w:r>
              <w:rPr>
                <w:rFonts w:ascii="Montserrat" w:cs="Montserrat" w:eastAsia="Montserrat" w:hAnsi="Montserrat"/>
                <w:color w:val="009C9C"/>
                <w:sz w:val="16"/>
                <w:szCs w:val="16"/>
              </w:rPr>
              <w:t xml:space="preserve">Tokeniser knowledge hub: How does Tokeniser work?, https://tokeniser.com/resources/knowledge-hub/platform/how-does-tokeniser-work</w:t>
            </w:r>
          </w:p>
        </w:tc>
      </w:tr>
    </w:tbl>
    <w:p>
      <w:pPr>
        <w:pStyle w:val="Heading2"/>
        <w:spacing w:before="240"/>
      </w:pPr>
      <w:r>
        <w:rPr>
          <w:rFonts w:ascii="Montserrat" w:cs="Montserrat" w:eastAsia="Montserrat" w:hAnsi="Montserrat"/>
          <w:b/>
          <w:bCs/>
          <w:sz w:val="23"/>
          <w:szCs w:val="23"/>
        </w:rPr>
        <w:t xml:space="preserve">What sits underneath  (1:05.8 to 1:16.4)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F2FFF7" w:color="auto" w:val="clear"/>
            <w:tcMar>
              <w:top w:type="dxa" w:w="80"/>
              <w:left w:type="dxa" w:w="100"/>
              <w:bottom w:type="dxa" w:w="80"/>
              <w:right w:type="dxa" w:w="100"/>
            </w:tcMar>
          </w:tcPr>
          <w:p>
            <w:pPr>
              <w:spacing w:after="0"/>
            </w:pPr>
            <w:r>
              <w:rPr>
                <w:rFonts w:ascii="Montserrat" w:cs="Montserrat" w:eastAsia="Montserrat" w:hAnsi="Montserrat"/>
                <w:b/>
                <w:bCs/>
                <w:color w:val="343740"/>
                <w:sz w:val="20"/>
                <w:szCs w:val="20"/>
              </w:rPr>
              <w:t xml:space="preserve">Voiceover</w:t>
            </w:r>
          </w:p>
        </w:tc>
        <w:tc>
          <w:tcPr>
            <w:tcW w:type="pct" w:w="78%"/>
            <w:shd w:fill="F2FFF7" w:color="auto" w:val="clear"/>
            <w:tcMar>
              <w:top w:type="dxa" w:w="80"/>
              <w:left w:type="dxa" w:w="100"/>
              <w:bottom w:type="dxa" w:w="80"/>
              <w:right w:type="dxa" w:w="100"/>
            </w:tcMar>
          </w:tcPr>
          <w:p>
            <w:pPr>
              <w:spacing w:after="0"/>
            </w:pPr>
            <w:r>
              <w:rPr>
                <w:rFonts w:ascii="Montserrat" w:cs="Montserrat" w:eastAsia="Montserrat" w:hAnsi="Montserrat"/>
                <w:color w:val="343740"/>
                <w:sz w:val="21"/>
                <w:szCs w:val="21"/>
              </w:rPr>
              <w:t xml:space="preserve">The fund manager uses a familiar platform, with no blockchain expertise required. Underneath runs Redbelly Network, Australia's public digital token infrastructure.</w:t>
            </w:r>
          </w:p>
        </w:tc>
      </w:tr>
      <w:tr>
        <w:tc>
          <w:tcPr>
            <w:tcW w:type="pct" w:w="22%"/>
            <w:tcMar>
              <w:top w:type="dxa" w:w="80"/>
              <w:left w:type="dxa" w:w="100"/>
              <w:bottom w:type="dxa" w:w="80"/>
              <w:right w:type="dxa" w:w="100"/>
            </w:tcMar>
          </w:tcPr>
          <w:p>
            <w:pPr>
              <w:spacing w:after="0"/>
            </w:pPr>
            <w:r>
              <w:rPr>
                <w:rFonts w:ascii="Montserrat" w:cs="Montserrat" w:eastAsia="Montserrat" w:hAnsi="Montserrat"/>
                <w:b/>
                <w:bCs/>
                <w:color w:val="343740"/>
                <w:sz w:val="20"/>
                <w:szCs w:val="20"/>
              </w:rPr>
              <w:t xml:space="preserve">On screen text</w:t>
            </w:r>
          </w:p>
        </w:tc>
        <w:tc>
          <w:tcPr>
            <w:tcW w:type="pct" w:w="78%"/>
            <w:tcMar>
              <w:top w:type="dxa" w:w="80"/>
              <w:left w:type="dxa" w:w="100"/>
              <w:bottom w:type="dxa" w:w="80"/>
              <w:right w:type="dxa" w:w="100"/>
            </w:tcMar>
          </w:tcPr>
          <w:p>
            <w:pPr>
              <w:spacing w:after="40"/>
            </w:pPr>
            <w:r>
              <w:rPr>
                <w:rFonts w:ascii="Montserrat" w:cs="Montserrat" w:eastAsia="Montserrat" w:hAnsi="Montserrat"/>
                <w:color w:val="343740"/>
                <w:sz w:val="20"/>
                <w:szCs w:val="20"/>
              </w:rPr>
              <w:t xml:space="preserve">Familiar platform</w:t>
            </w:r>
          </w:p>
          <w:p>
            <w:pPr>
              <w:spacing w:after="40"/>
            </w:pPr>
            <w:r>
              <w:rPr>
                <w:rFonts w:ascii="Montserrat" w:cs="Montserrat" w:eastAsia="Montserrat" w:hAnsi="Montserrat"/>
                <w:color w:val="343740"/>
                <w:sz w:val="20"/>
                <w:szCs w:val="20"/>
              </w:rPr>
              <w:t xml:space="preserve">No blockchain expertise required</w:t>
            </w:r>
          </w:p>
          <w:p>
            <w:pPr>
              <w:spacing w:after="40"/>
            </w:pPr>
            <w:r>
              <w:rPr>
                <w:rFonts w:ascii="Montserrat" w:cs="Montserrat" w:eastAsia="Montserrat" w:hAnsi="Montserrat"/>
                <w:color w:val="343740"/>
                <w:sz w:val="20"/>
                <w:szCs w:val="20"/>
              </w:rPr>
              <w:t xml:space="preserve">Redbelly Network</w:t>
            </w:r>
          </w:p>
          <w:p>
            <w:pPr>
              <w:spacing w:after="40"/>
            </w:pPr>
            <w:r>
              <w:rPr>
                <w:rFonts w:ascii="Montserrat" w:cs="Montserrat" w:eastAsia="Montserrat" w:hAnsi="Montserrat"/>
                <w:color w:val="343740"/>
                <w:sz w:val="20"/>
                <w:szCs w:val="20"/>
              </w:rPr>
              <w:t xml:space="preserve">Australia's public digital token infrastructure</w:t>
            </w:r>
          </w:p>
        </w:tc>
      </w:tr>
      <w:tr>
        <w:tc>
          <w:tcPr>
            <w:tcW w:type="pct" w:w="22%"/>
            <w:tcMar>
              <w:top w:type="dxa" w:w="80"/>
              <w:left w:type="dxa" w:w="100"/>
              <w:bottom w:type="dxa" w:w="80"/>
              <w:right w:type="dxa" w:w="100"/>
            </w:tcMar>
          </w:tcPr>
          <w:p>
            <w:pPr>
              <w:spacing w:after="0"/>
            </w:pPr>
            <w:r>
              <w:rPr>
                <w:rFonts w:ascii="Montserrat" w:cs="Montserrat" w:eastAsia="Montserrat" w:hAnsi="Montserrat"/>
                <w:b/>
                <w:bCs/>
                <w:color w:val="343740"/>
                <w:sz w:val="20"/>
                <w:szCs w:val="20"/>
              </w:rPr>
              <w:t xml:space="preserve">Visual</w:t>
            </w:r>
          </w:p>
        </w:tc>
        <w:tc>
          <w:tcPr>
            <w:tcW w:type="pct" w:w="78%"/>
            <w:tcMar>
              <w:top w:type="dxa" w:w="80"/>
              <w:left w:type="dxa" w:w="100"/>
              <w:bottom w:type="dxa" w:w="80"/>
              <w:right w:type="dxa" w:w="100"/>
            </w:tcMar>
          </w:tcPr>
          <w:p>
            <w:pPr>
              <w:spacing w:after="0"/>
            </w:pPr>
            <w:r>
              <w:rPr>
                <w:rFonts w:ascii="Montserrat" w:cs="Montserrat" w:eastAsia="Montserrat" w:hAnsi="Montserrat"/>
                <w:color w:val="343740"/>
                <w:sz w:val="20"/>
                <w:szCs w:val="20"/>
              </w:rPr>
              <w:t xml:space="preserve">Two layers stack: the Tokeniser platform window on top, the Redbelly Network layer below, linked by a thin line. The fund's tokens sit on the Redbelly layer.</w:t>
            </w:r>
          </w:p>
        </w:tc>
      </w:tr>
      <w:tr>
        <w:tc>
          <w:tcPr>
            <w:tcW w:type="pct" w:w="22%"/>
            <w:tcMar>
              <w:top w:type="dxa" w:w="80"/>
              <w:left w:type="dxa" w:w="100"/>
              <w:bottom w:type="dxa" w:w="80"/>
              <w:right w:type="dxa" w:w="100"/>
            </w:tcMar>
          </w:tcPr>
          <w:p>
            <w:pPr>
              <w:spacing w:after="0"/>
            </w:pPr>
            <w:r>
              <w:rPr>
                <w:rFonts w:ascii="Montserrat" w:cs="Montserrat" w:eastAsia="Montserrat" w:hAnsi="Montserrat"/>
                <w:b/>
                <w:bCs/>
                <w:color w:val="343740"/>
                <w:sz w:val="18"/>
                <w:szCs w:val="18"/>
              </w:rPr>
              <w:t xml:space="preserve">Claim: a familiar platform</w:t>
            </w:r>
          </w:p>
        </w:tc>
        <w:tc>
          <w:tcPr>
            <w:tcW w:type="pct" w:w="78%"/>
            <w:tcMar>
              <w:top w:type="dxa" w:w="80"/>
              <w:left w:type="dxa" w:w="100"/>
              <w:bottom w:type="dxa" w:w="80"/>
              <w:right w:type="dxa" w:w="100"/>
            </w:tcMar>
          </w:tcPr>
          <w:p>
            <w:pPr>
              <w:spacing w:after="40"/>
            </w:pPr>
            <w:r>
              <w:rPr>
                <w:rFonts w:ascii="Montserrat" w:cs="Montserrat" w:eastAsia="Montserrat" w:hAnsi="Montserrat"/>
                <w:i/>
                <w:iCs/>
                <w:color w:val="343740"/>
                <w:sz w:val="18"/>
                <w:szCs w:val="18"/>
              </w:rPr>
              <w:t xml:space="preserve">“The fund manager administers all of this through Tokeniser's familiar SaaS style platform experience.”</w:t>
            </w:r>
          </w:p>
          <w:p>
            <w:pPr>
              <w:spacing w:after="0"/>
            </w:pPr>
            <w:r>
              <w:rPr>
                <w:rFonts w:ascii="Montserrat" w:cs="Montserrat" w:eastAsia="Montserrat" w:hAnsi="Montserrat"/>
                <w:color w:val="009C9C"/>
                <w:sz w:val="16"/>
                <w:szCs w:val="16"/>
              </w:rPr>
              <w:t xml:space="preserve">Tokeniser knowledge hub: How does Tokeniser work?, https://tokeniser.com/resources/knowledge-hub/platform/how-does-tokeniser-work</w:t>
            </w:r>
          </w:p>
        </w:tc>
      </w:tr>
      <w:tr>
        <w:tc>
          <w:tcPr>
            <w:tcW w:type="pct" w:w="22%"/>
            <w:tcMar>
              <w:top w:type="dxa" w:w="80"/>
              <w:left w:type="dxa" w:w="100"/>
              <w:bottom w:type="dxa" w:w="80"/>
              <w:right w:type="dxa" w:w="100"/>
            </w:tcMar>
          </w:tcPr>
          <w:p>
            <w:pPr>
              <w:spacing w:after="0"/>
            </w:pPr>
            <w:r>
              <w:rPr>
                <w:rFonts w:ascii="Montserrat" w:cs="Montserrat" w:eastAsia="Montserrat" w:hAnsi="Montserrat"/>
                <w:b/>
                <w:bCs/>
                <w:color w:val="343740"/>
                <w:sz w:val="18"/>
                <w:szCs w:val="18"/>
              </w:rPr>
              <w:t xml:space="preserve">Claim: no blockchain expertise required</w:t>
            </w:r>
          </w:p>
        </w:tc>
        <w:tc>
          <w:tcPr>
            <w:tcW w:type="pct" w:w="78%"/>
            <w:tcMar>
              <w:top w:type="dxa" w:w="80"/>
              <w:left w:type="dxa" w:w="100"/>
              <w:bottom w:type="dxa" w:w="80"/>
              <w:right w:type="dxa" w:w="100"/>
            </w:tcMar>
          </w:tcPr>
          <w:p>
            <w:pPr>
              <w:spacing w:after="40"/>
            </w:pPr>
            <w:r>
              <w:rPr>
                <w:rFonts w:ascii="Montserrat" w:cs="Montserrat" w:eastAsia="Montserrat" w:hAnsi="Montserrat"/>
                <w:i/>
                <w:iCs/>
                <w:color w:val="343740"/>
                <w:sz w:val="18"/>
                <w:szCs w:val="18"/>
              </w:rPr>
              <w:t xml:space="preserve">“No blockchain expertise required.”</w:t>
            </w:r>
          </w:p>
          <w:p>
            <w:pPr>
              <w:spacing w:after="0"/>
            </w:pPr>
            <w:r>
              <w:rPr>
                <w:rFonts w:ascii="Montserrat" w:cs="Montserrat" w:eastAsia="Montserrat" w:hAnsi="Montserrat"/>
                <w:color w:val="009C9C"/>
                <w:sz w:val="16"/>
                <w:szCs w:val="16"/>
              </w:rPr>
              <w:t xml:space="preserve">Tokeniser knowledge hub: How does Tokeniser work?, https://tokeniser.com/resources/knowledge-hub/platform/how-does-tokeniser-work</w:t>
            </w:r>
          </w:p>
        </w:tc>
      </w:tr>
      <w:tr>
        <w:tc>
          <w:tcPr>
            <w:tcW w:type="pct" w:w="22%"/>
            <w:tcMar>
              <w:top w:type="dxa" w:w="80"/>
              <w:left w:type="dxa" w:w="100"/>
              <w:bottom w:type="dxa" w:w="80"/>
              <w:right w:type="dxa" w:w="100"/>
            </w:tcMar>
          </w:tcPr>
          <w:p>
            <w:pPr>
              <w:spacing w:after="0"/>
            </w:pPr>
            <w:r>
              <w:rPr>
                <w:rFonts w:ascii="Montserrat" w:cs="Montserrat" w:eastAsia="Montserrat" w:hAnsi="Montserrat"/>
                <w:b/>
                <w:bCs/>
                <w:color w:val="343740"/>
                <w:sz w:val="18"/>
                <w:szCs w:val="18"/>
              </w:rPr>
              <w:t xml:space="preserve">Claim: Redbelly Network, Australia's public digital token infrastructure</w:t>
            </w:r>
          </w:p>
        </w:tc>
        <w:tc>
          <w:tcPr>
            <w:tcW w:type="pct" w:w="78%"/>
            <w:tcMar>
              <w:top w:type="dxa" w:w="80"/>
              <w:left w:type="dxa" w:w="100"/>
              <w:bottom w:type="dxa" w:w="80"/>
              <w:right w:type="dxa" w:w="100"/>
            </w:tcMar>
          </w:tcPr>
          <w:p>
            <w:pPr>
              <w:spacing w:after="40"/>
            </w:pPr>
            <w:r>
              <w:rPr>
                <w:rFonts w:ascii="Montserrat" w:cs="Montserrat" w:eastAsia="Montserrat" w:hAnsi="Montserrat"/>
                <w:i/>
                <w:iCs/>
                <w:color w:val="343740"/>
                <w:sz w:val="18"/>
                <w:szCs w:val="18"/>
              </w:rPr>
              <w:t xml:space="preserve">“Underneath it runs Redbelly Network, Australia's public digital token infrastructure”</w:t>
            </w:r>
          </w:p>
          <w:p>
            <w:pPr>
              <w:spacing w:after="0"/>
            </w:pPr>
            <w:r>
              <w:rPr>
                <w:rFonts w:ascii="Montserrat" w:cs="Montserrat" w:eastAsia="Montserrat" w:hAnsi="Montserrat"/>
                <w:color w:val="009C9C"/>
                <w:sz w:val="16"/>
                <w:szCs w:val="16"/>
              </w:rPr>
              <w:t xml:space="preserve">Tokeniser, Our technology, https://tokeniser.com/technology</w:t>
            </w:r>
          </w:p>
        </w:tc>
      </w:tr>
    </w:tbl>
    <w:p>
      <w:pPr>
        <w:pStyle w:val="Heading2"/>
        <w:spacing w:before="240"/>
      </w:pPr>
      <w:r>
        <w:rPr>
          <w:rFonts w:ascii="Montserrat" w:cs="Montserrat" w:eastAsia="Montserrat" w:hAnsi="Montserrat"/>
          <w:b/>
          <w:bCs/>
          <w:sz w:val="23"/>
          <w:szCs w:val="23"/>
        </w:rPr>
        <w:t xml:space="preserve">Close  (1:16.4 to 1:26.9)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F2FFF7" w:color="auto" w:val="clear"/>
            <w:tcMar>
              <w:top w:type="dxa" w:w="80"/>
              <w:left w:type="dxa" w:w="100"/>
              <w:bottom w:type="dxa" w:w="80"/>
              <w:right w:type="dxa" w:w="100"/>
            </w:tcMar>
          </w:tcPr>
          <w:p>
            <w:pPr>
              <w:spacing w:after="0"/>
            </w:pPr>
            <w:r>
              <w:rPr>
                <w:rFonts w:ascii="Montserrat" w:cs="Montserrat" w:eastAsia="Montserrat" w:hAnsi="Montserrat"/>
                <w:b/>
                <w:bCs/>
                <w:color w:val="343740"/>
                <w:sz w:val="20"/>
                <w:szCs w:val="20"/>
              </w:rPr>
              <w:t xml:space="preserve">Voiceover</w:t>
            </w:r>
          </w:p>
        </w:tc>
        <w:tc>
          <w:tcPr>
            <w:tcW w:type="pct" w:w="78%"/>
            <w:shd w:fill="F2FFF7" w:color="auto" w:val="clear"/>
            <w:tcMar>
              <w:top w:type="dxa" w:w="80"/>
              <w:left w:type="dxa" w:w="100"/>
              <w:bottom w:type="dxa" w:w="80"/>
              <w:right w:type="dxa" w:w="100"/>
            </w:tcMar>
          </w:tcPr>
          <w:p>
            <w:pPr>
              <w:spacing w:after="0"/>
            </w:pPr>
            <w:r>
              <w:rPr>
                <w:rFonts w:ascii="Montserrat" w:cs="Montserrat" w:eastAsia="Montserrat" w:hAnsi="Montserrat"/>
                <w:color w:val="343740"/>
                <w:sz w:val="21"/>
                <w:szCs w:val="21"/>
              </w:rPr>
              <w:t xml:space="preserve">One building, one fund, now a compliant token on Redbelly Network, through Tokeniser. Learn more at tokeniser dot com.</w:t>
            </w:r>
          </w:p>
        </w:tc>
      </w:tr>
      <w:tr>
        <w:tc>
          <w:tcPr>
            <w:tcW w:type="pct" w:w="22%"/>
            <w:tcMar>
              <w:top w:type="dxa" w:w="80"/>
              <w:left w:type="dxa" w:w="100"/>
              <w:bottom w:type="dxa" w:w="80"/>
              <w:right w:type="dxa" w:w="100"/>
            </w:tcMar>
          </w:tcPr>
          <w:p>
            <w:pPr>
              <w:spacing w:after="0"/>
            </w:pPr>
            <w:r>
              <w:rPr>
                <w:rFonts w:ascii="Montserrat" w:cs="Montserrat" w:eastAsia="Montserrat" w:hAnsi="Montserrat"/>
                <w:b/>
                <w:bCs/>
                <w:color w:val="343740"/>
                <w:sz w:val="20"/>
                <w:szCs w:val="20"/>
              </w:rPr>
              <w:t xml:space="preserve">On screen text</w:t>
            </w:r>
          </w:p>
        </w:tc>
        <w:tc>
          <w:tcPr>
            <w:tcW w:type="pct" w:w="78%"/>
            <w:tcMar>
              <w:top w:type="dxa" w:w="80"/>
              <w:left w:type="dxa" w:w="100"/>
              <w:bottom w:type="dxa" w:w="80"/>
              <w:right w:type="dxa" w:w="100"/>
            </w:tcMar>
          </w:tcPr>
          <w:p>
            <w:pPr>
              <w:spacing w:after="40"/>
            </w:pPr>
            <w:r>
              <w:rPr>
                <w:rFonts w:ascii="Montserrat" w:cs="Montserrat" w:eastAsia="Montserrat" w:hAnsi="Montserrat"/>
                <w:color w:val="343740"/>
                <w:sz w:val="20"/>
                <w:szCs w:val="20"/>
              </w:rPr>
              <w:t xml:space="preserve">One building, one fund</w:t>
            </w:r>
          </w:p>
          <w:p>
            <w:pPr>
              <w:spacing w:after="40"/>
            </w:pPr>
            <w:r>
              <w:rPr>
                <w:rFonts w:ascii="Montserrat" w:cs="Montserrat" w:eastAsia="Montserrat" w:hAnsi="Montserrat"/>
                <w:color w:val="343740"/>
                <w:sz w:val="20"/>
                <w:szCs w:val="20"/>
              </w:rPr>
              <w:t xml:space="preserve">Now a compliant token on Redbelly Network, through Tokeniser</w:t>
            </w:r>
          </w:p>
          <w:p>
            <w:pPr>
              <w:spacing w:after="40"/>
            </w:pPr>
            <w:r>
              <w:rPr>
                <w:rFonts w:ascii="Montserrat" w:cs="Montserrat" w:eastAsia="Montserrat" w:hAnsi="Montserrat"/>
                <w:color w:val="343740"/>
                <w:sz w:val="20"/>
                <w:szCs w:val="20"/>
              </w:rPr>
              <w:t xml:space="preserve">tokeniser.com</w:t>
            </w:r>
          </w:p>
          <w:p>
            <w:pPr>
              <w:spacing w:after="40"/>
            </w:pPr>
            <w:r>
              <w:rPr>
                <w:rFonts w:ascii="Montserrat" w:cs="Montserrat" w:eastAsia="Montserrat" w:hAnsi="Montserrat"/>
                <w:color w:val="343740"/>
                <w:sz w:val="20"/>
                <w:szCs w:val="20"/>
              </w:rPr>
              <w:t xml:space="preserve">Illustrative example only. Not investment advice.</w:t>
            </w:r>
          </w:p>
        </w:tc>
      </w:tr>
      <w:tr>
        <w:tc>
          <w:tcPr>
            <w:tcW w:type="pct" w:w="22%"/>
            <w:tcMar>
              <w:top w:type="dxa" w:w="80"/>
              <w:left w:type="dxa" w:w="100"/>
              <w:bottom w:type="dxa" w:w="80"/>
              <w:right w:type="dxa" w:w="100"/>
            </w:tcMar>
          </w:tcPr>
          <w:p>
            <w:pPr>
              <w:spacing w:after="0"/>
            </w:pPr>
            <w:r>
              <w:rPr>
                <w:rFonts w:ascii="Montserrat" w:cs="Montserrat" w:eastAsia="Montserrat" w:hAnsi="Montserrat"/>
                <w:b/>
                <w:bCs/>
                <w:color w:val="343740"/>
                <w:sz w:val="20"/>
                <w:szCs w:val="20"/>
              </w:rPr>
              <w:t xml:space="preserve">Visual</w:t>
            </w:r>
          </w:p>
        </w:tc>
        <w:tc>
          <w:tcPr>
            <w:tcW w:type="pct" w:w="78%"/>
            <w:tcMar>
              <w:top w:type="dxa" w:w="80"/>
              <w:left w:type="dxa" w:w="100"/>
              <w:bottom w:type="dxa" w:w="80"/>
              <w:right w:type="dxa" w:w="100"/>
            </w:tcMar>
          </w:tcPr>
          <w:p>
            <w:pPr>
              <w:spacing w:after="0"/>
            </w:pPr>
            <w:r>
              <w:rPr>
                <w:rFonts w:ascii="Montserrat" w:cs="Montserrat" w:eastAsia="Montserrat" w:hAnsi="Montserrat"/>
                <w:color w:val="343740"/>
                <w:sz w:val="20"/>
                <w:szCs w:val="20"/>
              </w:rPr>
              <w:t xml:space="preserve">The building returns, now outlined in mint, with its token beside it. The Tokeniser and Redbelly Network logos settle under the line, with tokeniser.com and the illustrative example note.</w:t>
            </w:r>
          </w:p>
        </w:tc>
      </w:tr>
      <w:tr>
        <w:tc>
          <w:tcPr>
            <w:tcW w:type="pct" w:w="22%"/>
            <w:tcMar>
              <w:top w:type="dxa" w:w="80"/>
              <w:left w:type="dxa" w:w="100"/>
              <w:bottom w:type="dxa" w:w="80"/>
              <w:right w:type="dxa" w:w="100"/>
            </w:tcMar>
          </w:tcPr>
          <w:p>
            <w:pPr>
              <w:spacing w:after="0"/>
            </w:pPr>
            <w:r>
              <w:rPr>
                <w:rFonts w:ascii="Montserrat" w:cs="Montserrat" w:eastAsia="Montserrat" w:hAnsi="Montserrat"/>
                <w:b/>
                <w:bCs/>
                <w:color w:val="343740"/>
                <w:sz w:val="18"/>
                <w:szCs w:val="18"/>
              </w:rPr>
              <w:t xml:space="preserve">Claim: compliant token on Redbelly Network, through Tokeniser</w:t>
            </w:r>
          </w:p>
        </w:tc>
        <w:tc>
          <w:tcPr>
            <w:tcW w:type="pct" w:w="78%"/>
            <w:tcMar>
              <w:top w:type="dxa" w:w="80"/>
              <w:left w:type="dxa" w:w="100"/>
              <w:bottom w:type="dxa" w:w="80"/>
              <w:right w:type="dxa" w:w="100"/>
            </w:tcMar>
          </w:tcPr>
          <w:p>
            <w:pPr>
              <w:spacing w:after="40"/>
            </w:pPr>
            <w:r>
              <w:rPr>
                <w:rFonts w:ascii="Montserrat" w:cs="Montserrat" w:eastAsia="Montserrat" w:hAnsi="Montserrat"/>
                <w:i/>
                <w:iCs/>
                <w:color w:val="343740"/>
                <w:sz w:val="18"/>
                <w:szCs w:val="18"/>
              </w:rPr>
              <w:t xml:space="preserve">“Tokeniser works by issuing digital tokens representing ownership interests on Redbelly Network, with compliance rules enforced at the protocol layer.”</w:t>
            </w:r>
          </w:p>
          <w:p>
            <w:pPr>
              <w:spacing w:after="0"/>
            </w:pPr>
            <w:r>
              <w:rPr>
                <w:rFonts w:ascii="Montserrat" w:cs="Montserrat" w:eastAsia="Montserrat" w:hAnsi="Montserrat"/>
                <w:color w:val="009C9C"/>
                <w:sz w:val="16"/>
                <w:szCs w:val="16"/>
              </w:rPr>
              <w:t xml:space="preserve">Tokeniser knowledge hub: How does Tokeniser work?, https://tokeniser.com/resources/knowledge-hub/platform/how-does-tokeniser-work</w:t>
            </w:r>
          </w:p>
        </w:tc>
      </w:tr>
    </w:tbl>
    <w:p>
      <w:pPr>
        <w:pStyle w:val="Heading1"/>
        <w:spacing w:before="300"/>
      </w:pPr>
      <w:r>
        <w:rPr>
          <w:rFonts w:ascii="Montserrat" w:cs="Montserrat" w:eastAsia="Montserrat" w:hAnsi="Montserrat"/>
          <w:b/>
          <w:bCs/>
          <w:sz w:val="26"/>
          <w:szCs w:val="26"/>
        </w:rPr>
        <w:t xml:space="preserve">Sources</w:t>
      </w:r>
    </w:p>
    <w:p>
      <w:pPr>
        <w:spacing w:after="120"/>
      </w:pPr>
      <w:r>
        <w:rPr>
          <w:rFonts w:ascii="Montserrat" w:cs="Montserrat" w:eastAsia="Montserrat" w:hAnsi="Montserrat"/>
          <w:color w:val="343740"/>
          <w:sz w:val="18"/>
          <w:szCs w:val="18"/>
        </w:rPr>
        <w:t xml:space="preserve">Tokeniser, home page and FAQ: https://tokeniser.com/ (snapshot evidence/tokeniser-com.txt, captured 2026-10-22T09:03:13.520Z)</w:t>
      </w:r>
    </w:p>
    <w:p>
      <w:pPr>
        <w:spacing w:after="120"/>
      </w:pPr>
      <w:r>
        <w:rPr>
          <w:rFonts w:ascii="Montserrat" w:cs="Montserrat" w:eastAsia="Montserrat" w:hAnsi="Montserrat"/>
          <w:color w:val="343740"/>
          <w:sz w:val="18"/>
          <w:szCs w:val="18"/>
        </w:rPr>
        <w:t xml:space="preserve">Tokeniser knowledge hub: How does Tokeniser work?: https://tokeniser.com/resources/knowledge-hub/platform/how-does-tokeniser-work (snapshot evidence/tokeniser-com-resources-knowledge-hub-platform-how-does-tokeniser-work.txt, captured 2026-10-22T09:04:46.550Z)</w:t>
      </w:r>
    </w:p>
    <w:p>
      <w:pPr>
        <w:spacing w:after="120"/>
      </w:pPr>
      <w:r>
        <w:rPr>
          <w:rFonts w:ascii="Montserrat" w:cs="Montserrat" w:eastAsia="Montserrat" w:hAnsi="Montserrat"/>
          <w:color w:val="343740"/>
          <w:sz w:val="18"/>
          <w:szCs w:val="18"/>
        </w:rPr>
        <w:t xml:space="preserve">Tokeniser knowledge hub: What does tokenising your assets enable?: https://tokeniser.com/resources/knowledge-hub/business-case/what-does-tokenising-your-assets-enable (snapshot evidence/tokeniser-com-resources-knowledge-hub-business-case-what-does-tokenising-your-assets-enable.txt, captured 2026-10-22T09:04:14.307Z)</w:t>
      </w:r>
    </w:p>
    <w:p>
      <w:pPr>
        <w:spacing w:after="120"/>
      </w:pPr>
      <w:r>
        <w:rPr>
          <w:rFonts w:ascii="Montserrat" w:cs="Montserrat" w:eastAsia="Montserrat" w:hAnsi="Montserrat"/>
          <w:color w:val="343740"/>
          <w:sz w:val="18"/>
          <w:szCs w:val="18"/>
        </w:rPr>
        <w:t xml:space="preserve">Tokeniser knowledge hub: How does Tokeniser handle investor compliance?: https://tokeniser.com/resources/knowledge-hub/australia/how-tokeniser-handles-investor-compliance (snapshot evidence/tokeniser-com-resources-knowledge-hub-australia-how-tokeniser-handles-investor-compliance.txt, captured 2026-10-22T09:04:37.373Z)</w:t>
      </w:r>
    </w:p>
    <w:p>
      <w:pPr>
        <w:spacing w:after="120"/>
      </w:pPr>
      <w:r>
        <w:rPr>
          <w:rFonts w:ascii="Montserrat" w:cs="Montserrat" w:eastAsia="Montserrat" w:hAnsi="Montserrat"/>
          <w:color w:val="343740"/>
          <w:sz w:val="18"/>
          <w:szCs w:val="18"/>
        </w:rPr>
        <w:t xml:space="preserve">Tokeniser knowledge hub: Is asset tokenisation right for my fund?: https://tokeniser.com/resources/knowledge-hub/business-case/is-asset-tokenisation-right-for-my-fund (snapshot evidence/tokeniser-com-resources-knowledge-hub-business-case-is-asset-tokenisation-right-for-my-fund.txt, captured 2026-10-22T09:04:23.552Z)</w:t>
      </w:r>
    </w:p>
    <w:p>
      <w:pPr>
        <w:spacing w:after="120"/>
      </w:pPr>
      <w:r>
        <w:rPr>
          <w:rFonts w:ascii="Montserrat" w:cs="Montserrat" w:eastAsia="Montserrat" w:hAnsi="Montserrat"/>
          <w:color w:val="343740"/>
          <w:sz w:val="18"/>
          <w:szCs w:val="18"/>
        </w:rPr>
        <w:t xml:space="preserve">Tokeniser, Our technology: https://tokeniser.com/technology (snapshot evidence/tokeniser-com-technology.txt, captured 2026-10-22T09:03:58.358Z)</w:t>
      </w:r>
    </w:p>
    <w:p>
      <w:pPr>
        <w:pStyle w:val="Heading1"/>
        <w:spacing w:before="300"/>
      </w:pPr>
      <w:r>
        <w:rPr>
          <w:rFonts w:ascii="Montserrat" w:cs="Montserrat" w:eastAsia="Montserrat" w:hAnsi="Montserrat"/>
          <w:b/>
          <w:bCs/>
          <w:sz w:val="26"/>
          <w:szCs w:val="26"/>
        </w:rPr>
        <w:t xml:space="preserve">Notes for reviewers</w:t>
      </w:r>
    </w:p>
    <w:p>
      <w:pPr>
        <w:spacing w:after="120"/>
      </w:pPr>
      <w:r>
        <w:rPr>
          <w:rFonts w:ascii="Montserrat" w:cs="Montserrat" w:eastAsia="Montserrat" w:hAnsi="Montserrat"/>
          <w:color w:val="343740"/>
          <w:sz w:val="20"/>
          <w:szCs w:val="20"/>
        </w:rPr>
        <w:t xml:space="preserve">The fund in the video is an illustrative example, not a real product, and is labelled as such on screen. The closing frame states "Illustrative example only. Not investment advice." The video carries no names, handles, watermarks or credits. Music and all sound effects were generated from code for this project; the voice model and fonts are under licences that allow commercial use (see LICENSES).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building, one token</dc:title>
  <dc:creator>Redbelly DAO Task Board submission</dc:creator>
  <cp:lastModifiedBy>Un-named</cp:lastModifiedBy>
  <cp:revision>1</cp:revision>
  <dcterms:created xsi:type="dcterms:W3CDTF">2026-10-22T10:48:25.779Z</dcterms:created>
  <dcterms:modified xsi:type="dcterms:W3CDTF">2026-10-22T10:48:25.783Z</dcterms:modified>
</cp:coreProperties>
</file>

<file path=docProps/custom.xml><?xml version="1.0" encoding="utf-8"?>
<Properties xmlns="http://schemas.openxmlformats.org/officeDocument/2006/custom-properties" xmlns:vt="http://schemas.openxmlformats.org/officeDocument/2006/docPropsVTypes"/>
</file>