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aps/>
          <w:color w:val="C0392B"/>
          <w:sz w:val="19"/>
          <w:szCs w:val="19"/>
        </w:rPr>
        <w:t xml:space="preserve">ADAM · Antimicrobial Peptide Database Portal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2B2B2B"/>
          <w:sz w:val="40"/>
          <w:szCs w:val="40"/>
        </w:rPr>
        <w:t xml:space="preserve">ESMC Model and Front-End Engineering Report</w:t>
      </w:r>
    </w:p>
    <w:p>
      <w:pPr>
        <w:pBdr>
          <w:bottom w:val="single" w:color="C0392B" w:sz="12"/>
        </w:pBdr>
        <w:spacing w:after="100" w:before="0" w:line="276"/>
      </w:pPr>
      <w:r>
        <w:rPr>
          <w:rFonts w:ascii="Calibri" w:cs="Calibri" w:eastAsia="Calibri" w:hAnsi="Calibri"/>
          <w:color w:val="6B6B6B"/>
          <w:sz w:val="20"/>
          <w:szCs w:val="20"/>
        </w:rPr>
        <w:t xml:space="preserve">National Taiwan Ocean University · 6 October 2026</w:t>
      </w:r>
    </w:p>
    <w:p>
      <w:pPr>
        <w:pStyle w:val="Heading1"/>
        <w:keepNext/>
        <w:spacing w:after="140" w:before="360"/>
      </w:pPr>
      <w:r>
        <w:rPr>
          <w:rFonts w:ascii="Cambria" w:cs="Cambria" w:eastAsia="Cambria" w:hAnsi="Cambria"/>
          <w:b/>
          <w:bCs/>
          <w:color w:val="C0392B"/>
          <w:sz w:val="30"/>
          <w:szCs w:val="30"/>
        </w:rPr>
        <w:t xml:space="preserve">Summary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report covers two strands of work on the ADAM portal: the ESMC protein-language-model classifier, and the front-end engineering of the web application. Both are complete and deployed.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headline research result is negative, and is deliberately reported as such: fine-tuning ESMC was tested against the existing frozen-embedding approach under controlled conditions and performed measurably worse. The frozen approach was retained on that evidence. All accuracy figures below come from stratified 5-fold cross-validation, not from a single favourable train/test split.</w:t>
      </w:r>
    </w:p>
    <w:p>
      <w:pPr>
        <w:pStyle w:val="Heading1"/>
        <w:keepNext/>
        <w:spacing w:after="140" w:before="360"/>
      </w:pPr>
      <w:r>
        <w:rPr>
          <w:rFonts w:ascii="Cambria" w:cs="Cambria" w:eastAsia="Cambria" w:hAnsi="Cambria"/>
          <w:b/>
          <w:bCs/>
          <w:color w:val="C0392B"/>
          <w:sz w:val="30"/>
          <w:szCs w:val="30"/>
        </w:rPr>
        <w:t xml:space="preserve">Part I — The ESMC Classifier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1.1  Model and configuration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ESMC (ESM Cambrian) is EvolutionaryScale's newest protein language model. It is loaded through a community port that is directly usable with the standard transformers library, avoiding a dependency on the upstream native SDK.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Model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Synthyra/ESMplusplus_small (ESM Cambrian)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Parameters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332,997,184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Transformer blocks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30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Embedding dimension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960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Revision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Pinned to commit 3399aae2…</w:t>
            </w:r>
          </w:p>
        </w:tc>
      </w:tr>
      <w:tr>
        <w:trPr>
          <w:tblHeader w:val="off"/>
        </w:trPr>
        <w:tc>
          <w:tcPr>
            <w:tcW w:type="dxa" w:w="3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Mode</w:t>
            </w:r>
          </w:p>
        </w:tc>
        <w:tc>
          <w:tcPr>
            <w:tcW w:type="dxa" w:w="57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Frozen — weights are never updated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The revision is pinned deliberately. Without pinning, the loader resolves to the latest upstream commit, which would silently substitute different weights beneath an already-trained classifier head and invalidate the reported accuracy.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1.2  Method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Classification runs in two stages rather than as one end-to-end network: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Each sequence is passed once through the frozen ESMC model and mean-pooled using the attention mask, converting a variable-length peptide into a fixed 960-dimensional vector.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That vector is classified by a lightweight head: a StandardScaler feeding a support vector machine with an RBF kernel, probability output enabled, and balanced class weighting.</w:t>
      </w:r>
    </w:p>
    <w:p>
      <w:pPr>
        <w:spacing w:after="120" w:before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Because the language model is frozen, every sequence need only be embedded once. The embeddings are cached to disk and reused across all five cross-validation folds and all subsequent experiments.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1.3  Measured accuracy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Cross-validated accuracy: 94.84% ± 0.48%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, from stratified 5-fold cross-validation over 12,000 samples. Each fold trains on 9,600 sequences and is evaluated on the 2,400 it has never seen.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Fold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Accuracy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93.92%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94.96%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94.92%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95.33%</w:t>
            </w:r>
          </w:p>
        </w:tc>
        <w:tc>
          <w:tcPr>
            <w:tcW w:type="dxa" w:w="15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95.08%</w:t>
            </w:r>
          </w:p>
        </w:tc>
      </w:tr>
    </w:tbl>
    <w:p>
      <w:pPr>
        <w:spacing w:after="120" w:before="18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Per-class performance on a representative fold, which confirms the model is not simply exploiting the 58/42 class imbalance: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200"/>
        <w:gridCol w:w="2200"/>
        <w:gridCol w:w="2200"/>
      </w:tblGrid>
      <w:tr>
        <w:trPr>
          <w:tblHeader/>
        </w:trPr>
        <w:tc>
          <w:tcPr>
            <w:tcW w:type="dxa" w:w="2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rPr>
          <w:tblHeader w:val="off"/>
        </w:trPr>
        <w:tc>
          <w:tcPr>
            <w:tcW w:type="dxa" w:w="2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Non-AMP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0.93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0.92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0.93</w:t>
            </w:r>
          </w:p>
        </w:tc>
      </w:tr>
      <w:tr>
        <w:trPr>
          <w:tblHeader w:val="off"/>
        </w:trPr>
        <w:tc>
          <w:tcPr>
            <w:tcW w:type="dxa" w:w="2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AMP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0.94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0.95</w:t>
            </w:r>
          </w:p>
        </w:tc>
        <w:tc>
          <w:tcPr>
            <w:tcW w:type="dxa" w:w="22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0.95</w:t>
            </w:r>
          </w:p>
        </w:tc>
      </w:tr>
    </w:tbl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1.4  Research finding: fine-tuning was tested and rejected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reasonable objection to the frozen approach is that fine-tuning the language model should perform better. This was tested directly rather than assumed. Both arms used identical data and identical train/test splits, so the comparison isolates the single variable: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2300"/>
        <w:gridCol w:w="2300"/>
      </w:tblGrid>
      <w:tr>
        <w:trPr>
          <w:tblHeader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tblHeader w:val="off"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Frozen embeddings + SVM head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95.08%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Retained</w:t>
            </w:r>
          </w:p>
        </w:tc>
      </w:tr>
      <w:tr>
        <w:trPr>
          <w:tblHeader w:val="off"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Fine-tuning last 2 transformer blocks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93.50%</w:t>
            </w:r>
          </w:p>
        </w:tc>
        <w:tc>
          <w:tcPr>
            <w:tcW w:type="dxa" w:w="23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Rejected</w:t>
            </w:r>
          </w:p>
        </w:tc>
      </w:tr>
    </w:tbl>
    <w:p>
      <w:pPr>
        <w:spacing w:after="120" w:before="16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Fine-tuning was 1.58 percentage points worse.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 The cause is model capacity, not faulty implementation. Unfreezing two blocks exposes 22,129,920 trainable parameters to only 4,800 training examples — roughly 4,600 parameters per example. The model memorises instead of generalising, and this is visible in the training curve: training loss fell steadily while held-out accuracy declined.</w:t>
      </w:r>
    </w:p>
    <w:p>
      <w:pPr>
        <w:spacing w:after="120" w:before="12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Full fine-tuning of all 30 blocks was ruled out separately on cost. Benchmarked at 16.183 seconds per sequence on this hardware, a 5-fold cross-validation would require approximately 539 hours.</w:t>
      </w:r>
    </w:p>
    <w:p>
      <w:pPr>
        <w:spacing w:after="120" w:before="12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Conclusion: for a dataset of this size on CPU-only hardware, frozen embeddings with a small trained head is both the more accurate and the more practical choice.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1.5  Computational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4600"/>
      </w:tblGrid>
      <w:tr>
        <w:trPr>
          <w:tblHeader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6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rPr>
          <w:tblHeader w:val="off"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Embedding all sequences (one-off)</w:t>
            </w:r>
          </w:p>
        </w:tc>
        <w:tc>
          <w:tcPr>
            <w:tcW w:type="dxa" w:w="46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8,351.8 s (~2.3 hours), ~0.77 s per sequence</w:t>
            </w:r>
          </w:p>
        </w:tc>
      </w:tr>
      <w:tr>
        <w:trPr>
          <w:tblHeader w:val="off"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Re-embedding for later experiments</w:t>
            </w:r>
          </w:p>
        </w:tc>
        <w:tc>
          <w:tcPr>
            <w:tcW w:type="dxa" w:w="46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0 s — served from cache</w:t>
            </w:r>
          </w:p>
        </w:tc>
      </w:tr>
      <w:tr>
        <w:trPr>
          <w:tblHeader w:val="off"/>
        </w:trPr>
        <w:tc>
          <w:tcPr>
            <w:tcW w:type="dxa" w:w="44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Training the classifier head</w:t>
            </w:r>
          </w:p>
        </w:tc>
        <w:tc>
          <w:tcPr>
            <w:tcW w:type="dxa" w:w="46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~37 s per fold</w:t>
            </w:r>
          </w:p>
        </w:tc>
      </w:tr>
    </w:tbl>
    <w:p>
      <w:pPr>
        <w:spacing w:after="120" w:before="140" w:line="276"/>
      </w:pPr>
      <w:r>
        <w:rPr>
          <w:rFonts w:ascii="Calibri" w:cs="Calibri" w:eastAsia="Calibri" w:hAnsi="Calibri"/>
          <w:i/>
          <w:iCs/>
          <w:color w:val="6B6B6B"/>
          <w:sz w:val="20"/>
          <w:szCs w:val="20"/>
        </w:rPr>
        <w:t xml:space="preserve">Caching the embeddings is what made the fine-tuning comparison affordable: the second experiment reused the first experiment's embeddings instead of recomputing 2.3 hours of work.</w:t>
      </w:r>
    </w:p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Cambria" w:cs="Cambria" w:eastAsia="Cambria" w:hAnsi="Cambria"/>
          <w:b/>
          <w:bCs/>
          <w:color w:val="C0392B"/>
          <w:sz w:val="30"/>
          <w:szCs w:val="30"/>
        </w:rPr>
        <w:t xml:space="preserve">Part II — Front-End Engineering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2.1  Architecture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portal is a React application built with Vite and routed with React Router, served by an Express backend, which in turn calls a persistent Flask service that holds the machine-learning models in memory. Keeping the models resident in a long-running Python process avoids paying model load time on every prediction request.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2.2  Route-level code splitting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Only the landing page is bundled eagerly. All twelve remaining routes — search, clustering, the four model pages, the ensemble, the guide, structure search and sequence search — are split into separate chunks loaded on demand, so a first-time visitor does not download the entire application before seeing anything.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loading placeholder is painted in the page background colour, so a chunk load reads as a brief pause rather than a white flash between the header and footer.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2.3  Component consolidation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four model prediction pages were originally near-identical copies of roughly 308 lines each. They now share a single parameterised component and declare only their differences: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2700"/>
        <w:gridCol w:w="2700"/>
      </w:tblGrid>
      <w:tr>
        <w:trPr>
          <w:tblHeader/>
        </w:trPr>
        <w:tc>
          <w:tcPr>
            <w:tcW w:type="dxa" w:w="36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Per model page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~308 lines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28 lines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Shared component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none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 (552 lines)</w:t>
            </w:r>
          </w:p>
        </w:tc>
      </w:tr>
      <w:tr>
        <w:trPr>
          <w:tblHeader w:val="off"/>
        </w:trPr>
        <w:tc>
          <w:tcPr>
            <w:tcW w:type="dxa" w:w="36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Files to edit to change prediction UI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2.4  Progress reporting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Multi-sequence predictions can take a long time, so the interface reports genuine progress rather than displaying an indeterminate spinner. Sequences are submitted one at a time specifically so that each completed reply is real evidence of work done: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progress bar shows completed sequences against the total.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estimated time remaining is extrapolated from actual measured elapsed time, not from a fixed guess.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Stop button cancels an in-flight run.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On multi-sequence runs the view anchors to the progress bar so the user can watch it advance.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animation is disabled for users who have requested reduced motion.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2.5  Result page rebuild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peptide result page was rebuilt around the sequence itself. Residues are shown in a monospace face grouped in tens with net charge displayed, there is a one-click Copy FASTA action, and a handoff that carries the sequence directly into any prediction model. Database cross-references to PDB, UniProt and PubMed are now live links, and empty fields are collapsed behind a toggle instead of occupying space. Page height fell from 2,536 px to 1,514 px.</w:t>
      </w:r>
    </w:p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2.6  Defects identified and corrected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Several defects were found during this work that were actively costing the user information: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Defect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2B2B2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on the user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 CSS colour variable used but never defined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Invisible search icon; white text on a white badge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Hard-coded database size in the page text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Published an incorrect figure; now read live from the server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CSS rule declared after the media query overriding it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Mobile navigation menu was unreachable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Grid track sizing using 1fr instead of minmax(0, 1fr)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Result metadata overflowed its container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Unescaped commas in exported data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Corrupted CSV downloads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Scroll-reveal animation with no fallback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shd w:fill="F3F3F1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Content stayed permanently invisible if the observer never fired</w:t>
            </w:r>
          </w:p>
        </w:tc>
      </w:tr>
      <w:tr>
        <w:trPr>
          <w:tblHeader w:val="off"/>
        </w:trPr>
        <w:tc>
          <w:tcPr>
            <w:tcW w:type="dxa" w:w="3800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Inconsistent import filename casing</w:t>
            </w:r>
          </w:p>
        </w:tc>
        <w:tc>
          <w:tcPr>
            <w:tcW w:type="dxa" w:w="5226"/>
            <w:tcBorders>
              <w:top w:val="single" w:color="D5D2CB" w:sz="4"/>
              <w:left w:val="none" w:color="FFFFFF" w:sz="0"/>
              <w:bottom w:val="single" w:color="D5D2CB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Would have broken the build on Linux</w:t>
            </w:r>
          </w:p>
        </w:tc>
      </w:tr>
    </w:tbl>
    <w:p>
      <w:pPr>
        <w:pStyle w:val="Heading2"/>
        <w:keepNext/>
        <w:spacing w:after="140" w:before="260"/>
      </w:pPr>
      <w:r>
        <w:rPr>
          <w:rFonts w:ascii="Cambria" w:cs="Cambria" w:eastAsia="Cambria" w:hAnsi="Cambria"/>
          <w:b/>
          <w:bCs/>
          <w:color w:val="2B2B2B"/>
          <w:sz w:val="24"/>
          <w:szCs w:val="24"/>
        </w:rPr>
        <w:t xml:space="preserve">2.7  Ensemble integration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ESMC contributes to the combined prediction with a weight of 0.94, second only to the fine-tuned FLM model. Each model casts an AMP / non-AMP vote weighted by its own held-out accuracy, so stronger models count for more. The interface states these weights openly and warns that scores near 50% are genuinely uncertain rather than confident — precisely the region where the models disagree most.</w:t>
      </w:r>
    </w:p>
    <w:p>
      <w:pPr>
        <w:pStyle w:val="Heading1"/>
        <w:keepNext/>
        <w:spacing w:after="140" w:before="360"/>
      </w:pPr>
      <w:r>
        <w:rPr>
          <w:rFonts w:ascii="Cambria" w:cs="Cambria" w:eastAsia="Cambria" w:hAnsi="Cambria"/>
          <w:b/>
          <w:bCs/>
          <w:color w:val="C0392B"/>
          <w:sz w:val="30"/>
          <w:szCs w:val="30"/>
        </w:rPr>
        <w:t xml:space="preserve">Status note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The ESMC figures in this report are final and deployed. The FLM model is currently being retrained, and its accuracy figure should not be published until that run completes.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ESMC Model and Front-End Engineering Report</dc:title>
  <dc:creator>ADAM Project</dc:creator>
  <cp:lastModifiedBy>Un-named</cp:lastModifiedBy>
  <cp:revision>1</cp:revision>
  <dcterms:created xsi:type="dcterms:W3CDTF">2026-10-05T16:15:02.523Z</dcterms:created>
  <dcterms:modified xsi:type="dcterms:W3CDTF">2026-10-05T16:15:02.526Z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