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right="94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right="142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right="1424" w:firstLine="0"/>
        <w:contextualSpacing w:val="0"/>
      </w:pPr>
      <w:r w:rsidDel="00000000" w:rsidR="00000000" w:rsidRPr="00000000">
        <w:rPr>
          <w:sz w:val="24"/>
          <w:u w:val="single"/>
          <w:rtl w:val="0"/>
        </w:rPr>
        <w:t xml:space="preserve">(SyllabEye friendly format – LISTAv2)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(</w:t>
      </w:r>
      <w:r w:rsidDel="00000000" w:rsidR="00000000" w:rsidRPr="00000000">
        <w:rPr>
          <w:color w:val="ff0000"/>
          <w:sz w:val="28"/>
          <w:rtl w:val="0"/>
        </w:rPr>
        <w:t xml:space="preserve">enter course title</w:t>
      </w:r>
      <w:r w:rsidDel="00000000" w:rsidR="00000000" w:rsidRPr="00000000">
        <w:rPr>
          <w:sz w:val="28"/>
          <w:rtl w:val="0"/>
        </w:rPr>
        <w:t xml:space="preserve">)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color w:val="ff0000"/>
          <w:sz w:val="28"/>
          <w:rtl w:val="0"/>
        </w:rPr>
        <w:t xml:space="preserve">1</w:t>
      </w:r>
      <w:r w:rsidDel="00000000" w:rsidR="00000000" w:rsidRPr="00000000">
        <w:rPr>
          <w:sz w:val="28"/>
          <w:rtl w:val="0"/>
        </w:rPr>
        <w:t xml:space="preserve">/</w:t>
      </w:r>
      <w:r w:rsidDel="00000000" w:rsidR="00000000" w:rsidRPr="00000000">
        <w:rPr>
          <w:color w:val="ff0000"/>
          <w:sz w:val="28"/>
          <w:rtl w:val="0"/>
        </w:rPr>
        <w:t xml:space="preserve">12</w:t>
      </w:r>
      <w:r w:rsidDel="00000000" w:rsidR="00000000" w:rsidRPr="00000000">
        <w:rPr>
          <w:sz w:val="28"/>
          <w:rtl w:val="0"/>
        </w:rPr>
        <w:t xml:space="preserve"> – (</w:t>
      </w:r>
      <w:r w:rsidDel="00000000" w:rsidR="00000000" w:rsidRPr="00000000">
        <w:rPr>
          <w:rFonts w:ascii="Georgia" w:cs="Georgia" w:eastAsia="Georgia" w:hAnsi="Georgia"/>
          <w:color w:val="ff0000"/>
          <w:sz w:val="28"/>
          <w:u w:val="single"/>
          <w:rtl w:val="0"/>
        </w:rPr>
        <w:t xml:space="preserve">type</w:t>
      </w:r>
      <w:r w:rsidDel="00000000" w:rsidR="00000000" w:rsidRPr="00000000">
        <w:rPr>
          <w:rFonts w:ascii="Georgia" w:cs="Georgia" w:eastAsia="Georgia" w:hAnsi="Georgia"/>
          <w:color w:val="ff0000"/>
          <w:sz w:val="28"/>
          <w:rtl w:val="0"/>
        </w:rPr>
        <w:t xml:space="preserve"> or </w:t>
      </w:r>
      <w:r w:rsidDel="00000000" w:rsidR="00000000" w:rsidRPr="00000000">
        <w:rPr>
          <w:rFonts w:ascii="Georgia" w:cs="Georgia" w:eastAsia="Georgia" w:hAnsi="Georgia"/>
          <w:color w:val="ff0000"/>
          <w:sz w:val="28"/>
          <w:u w:val="single"/>
          <w:rtl w:val="0"/>
        </w:rPr>
        <w:t xml:space="preserve">paste</w:t>
      </w:r>
      <w:r w:rsidDel="00000000" w:rsidR="00000000" w:rsidRPr="00000000">
        <w:rPr>
          <w:rFonts w:ascii="Georgia" w:cs="Georgia" w:eastAsia="Georgia" w:hAnsi="Georgia"/>
          <w:color w:val="ff0000"/>
          <w:sz w:val="28"/>
          <w:rtl w:val="0"/>
        </w:rPr>
        <w:t xml:space="preserve"> all of the assignments in the blanks below; you can delete these instructions along with the extra blanks if any</w:t>
      </w:r>
      <w:r w:rsidDel="00000000" w:rsidR="00000000" w:rsidRPr="00000000">
        <w:rPr>
          <w:sz w:val="28"/>
          <w:rtl w:val="0"/>
        </w:rPr>
        <w:t xml:space="preserve">)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2</w:t>
      </w:r>
      <w:r w:rsidDel="00000000" w:rsidR="00000000" w:rsidRPr="00000000">
        <w:rPr>
          <w:sz w:val="28"/>
          <w:rtl w:val="0"/>
        </w:rPr>
        <w:t xml:space="preserve">/24 - Read Chapter 3, quiz 2 due at 11:00 pm; ← You can delete this example too.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sz w:val="28"/>
          <w:rtl w:val="0"/>
        </w:rPr>
        <w:t xml:space="preserve">/ - </w:t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Rule="auto"/>
        <w:ind w:left="0" w:right="142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Rule="auto"/>
        <w:ind w:left="360" w:right="142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424"/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5840.0" w:w="12240.0"/>
      <w:pgMar w:bottom="720" w:top="432" w:left="576" w:right="23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1440" w:firstLine="720"/>
      <w:contextualSpacing w:val="0"/>
      <w:jc w:val="right"/>
    </w:pPr>
    <w:r w:rsidDel="00000000" w:rsidR="00000000" w:rsidRPr="00000000">
      <w:rPr>
        <w:sz w:val="16"/>
        <w:rtl w:val="0"/>
      </w:rPr>
      <w:t xml:space="preserve">                             SyllabEye</w:t>
    </w:r>
    <w:r w:rsidDel="00000000" w:rsidR="00000000" w:rsidRPr="00000000">
      <w:rPr>
        <w:rFonts w:ascii="Verdana" w:cs="Verdana" w:eastAsia="Verdana" w:hAnsi="Verdana"/>
        <w:sz w:val="16"/>
        <w:highlight w:val="white"/>
        <w:rtl w:val="0"/>
      </w:rPr>
      <w:t xml:space="preserve">®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Times New Roman" w:cs="Times New Roman" w:eastAsia="Times New Roman" w:hAnsi="Times New Roman"/>
      <w:b w:val="1"/>
      <w:i w:val="1"/>
      <w:sz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color w:val="4f81bd"/>
      <w:sz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Times New Roman" w:cs="Times New Roman" w:eastAsia="Times New Roman" w:hAnsi="Times New Roman"/>
      <w:b w:val="1"/>
      <w:i w:val="1"/>
      <w:sz w:val="3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footer" Target="footer1.xml"/></Relationships>
</file>