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BAA64">
      <w:pPr>
        <w:bidi w:val="0"/>
        <w:rPr>
          <w:rFonts w:hint="eastAsia" w:ascii="仿宋" w:hAnsi="仿宋" w:eastAsia="仿宋" w:cs="仿宋"/>
          <w:lang w:eastAsia="zh-CN"/>
        </w:rPr>
      </w:pPr>
      <w:bookmarkStart w:id="0" w:name="_Toc30744"/>
      <w:bookmarkStart w:id="1" w:name="_Toc21525"/>
    </w:p>
    <w:p w14:paraId="12554CCC">
      <w:pPr>
        <w:pStyle w:val="14"/>
        <w:ind w:left="0" w:leftChars="0" w:firstLine="0" w:firstLineChars="0"/>
        <w:rPr>
          <w:rFonts w:hint="eastAsia" w:ascii="仿宋" w:hAnsi="仿宋" w:eastAsia="仿宋" w:cs="仿宋"/>
          <w:lang w:eastAsia="zh-CN"/>
        </w:rPr>
      </w:pPr>
    </w:p>
    <w:p w14:paraId="7DD5E69C">
      <w:pPr>
        <w:pStyle w:val="8"/>
        <w:ind w:left="0" w:leftChars="0" w:firstLine="0" w:firstLineChars="0"/>
        <w:outlineLvl w:val="9"/>
        <w:rPr>
          <w:rFonts w:hint="eastAsia" w:ascii="仿宋" w:hAnsi="仿宋" w:eastAsia="仿宋" w:cs="仿宋"/>
          <w:lang w:eastAsia="zh-CN"/>
        </w:rPr>
      </w:pPr>
    </w:p>
    <w:p w14:paraId="106B7D74">
      <w:pPr>
        <w:pStyle w:val="8"/>
        <w:outlineLvl w:val="9"/>
        <w:rPr>
          <w:rFonts w:hint="eastAsia" w:ascii="仿宋" w:hAnsi="仿宋" w:eastAsia="仿宋" w:cs="仿宋"/>
          <w:lang w:eastAsia="zh-CN"/>
        </w:rPr>
      </w:pPr>
    </w:p>
    <w:p w14:paraId="3450020B">
      <w:pPr>
        <w:pStyle w:val="8"/>
        <w:outlineLvl w:val="9"/>
        <w:rPr>
          <w:rFonts w:hint="eastAsia" w:ascii="仿宋" w:hAnsi="仿宋" w:eastAsia="仿宋" w:cs="仿宋"/>
          <w:lang w:eastAsia="zh-CN"/>
        </w:rPr>
      </w:pPr>
    </w:p>
    <w:p w14:paraId="78B757DC">
      <w:pPr>
        <w:spacing w:line="360" w:lineRule="auto"/>
        <w:jc w:val="center"/>
        <w:outlineLvl w:val="9"/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  <w:t>浦江网联试验室</w:t>
      </w:r>
    </w:p>
    <w:p w14:paraId="03507386">
      <w:pPr>
        <w:spacing w:line="360" w:lineRule="auto"/>
        <w:jc w:val="center"/>
        <w:outlineLvl w:val="9"/>
        <w:rPr>
          <w:rFonts w:hint="default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  <w:t>智能化提升项目（三期）</w:t>
      </w:r>
    </w:p>
    <w:p w14:paraId="5C54B49B">
      <w:pPr>
        <w:spacing w:line="360" w:lineRule="auto"/>
        <w:jc w:val="center"/>
        <w:outlineLvl w:val="9"/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52"/>
          <w:szCs w:val="52"/>
          <w:highlight w:val="none"/>
          <w:lang w:val="en-US" w:eastAsia="zh-CN"/>
        </w:rPr>
        <w:t>详细报价</w:t>
      </w:r>
    </w:p>
    <w:p w14:paraId="5EAA205B">
      <w:pPr>
        <w:bidi w:val="0"/>
        <w:outlineLvl w:val="9"/>
        <w:rPr>
          <w:rFonts w:hint="eastAsia" w:ascii="黑体" w:hAnsi="黑体" w:eastAsia="黑体" w:cs="黑体"/>
          <w:lang w:eastAsia="zh-CN"/>
        </w:rPr>
      </w:pPr>
    </w:p>
    <w:p w14:paraId="7E6A7042">
      <w:pPr>
        <w:bidi w:val="0"/>
        <w:outlineLvl w:val="9"/>
        <w:rPr>
          <w:rFonts w:hint="eastAsia" w:ascii="黑体" w:hAnsi="黑体" w:eastAsia="黑体" w:cs="黑体"/>
          <w:lang w:eastAsia="zh-CN"/>
        </w:rPr>
      </w:pPr>
    </w:p>
    <w:p w14:paraId="51EED85C">
      <w:pPr>
        <w:pStyle w:val="14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173491C3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74159DDF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4D4907AB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45E6AD8C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43873E80">
      <w:pPr>
        <w:pStyle w:val="8"/>
        <w:ind w:left="0" w:leftChars="0" w:firstLine="0" w:firstLineChars="0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6F7FA06C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66EF2AAA">
      <w:pPr>
        <w:pStyle w:val="8"/>
        <w:outlineLvl w:val="9"/>
        <w:rPr>
          <w:rFonts w:hint="eastAsia" w:ascii="黑体" w:hAnsi="黑体" w:eastAsia="黑体" w:cs="黑体"/>
          <w:b/>
          <w:sz w:val="52"/>
          <w:szCs w:val="52"/>
          <w:lang w:eastAsia="zh-CN"/>
        </w:rPr>
      </w:pPr>
    </w:p>
    <w:p w14:paraId="344B8B96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8" w:line="480" w:lineRule="auto"/>
        <w:jc w:val="center"/>
        <w:textAlignment w:val="baseline"/>
        <w:outlineLvl w:val="9"/>
        <w:rPr>
          <w:rFonts w:hint="eastAsia" w:ascii="黑体" w:hAnsi="黑体" w:eastAsia="黑体" w:cs="黑体"/>
          <w:b w:val="0"/>
          <w:bCs/>
          <w:sz w:val="36"/>
          <w:szCs w:val="36"/>
        </w:rPr>
      </w:pPr>
      <w:r>
        <w:rPr>
          <w:rFonts w:hint="eastAsia" w:ascii="黑体" w:hAnsi="黑体" w:eastAsia="黑体" w:cs="黑体"/>
          <w:b w:val="0"/>
          <w:bCs/>
          <w:sz w:val="36"/>
          <w:szCs w:val="36"/>
          <w:lang w:val="en-US" w:eastAsia="zh-CN"/>
        </w:rPr>
        <w:t>江苏</w:t>
      </w:r>
      <w:r>
        <w:rPr>
          <w:rFonts w:hint="eastAsia" w:ascii="黑体" w:hAnsi="黑体" w:eastAsia="黑体" w:cs="黑体"/>
          <w:b w:val="0"/>
          <w:bCs/>
          <w:sz w:val="36"/>
          <w:szCs w:val="36"/>
        </w:rPr>
        <w:t>正方交通科技有限公司</w:t>
      </w:r>
    </w:p>
    <w:p w14:paraId="1D567C8C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480" w:lineRule="auto"/>
        <w:jc w:val="center"/>
        <w:textAlignment w:val="baseline"/>
        <w:outlineLvl w:val="9"/>
        <w:rPr>
          <w:rFonts w:hint="default" w:ascii="黑体" w:hAnsi="黑体" w:eastAsia="黑体" w:cs="黑体"/>
          <w:b w:val="0"/>
          <w:bCs/>
          <w:kern w:val="2"/>
          <w:sz w:val="36"/>
          <w:szCs w:val="36"/>
          <w:lang w:val="en-US" w:eastAsia="zh-CN" w:bidi="ar-SA"/>
        </w:rPr>
        <w:sectPr>
          <w:headerReference r:id="rId3" w:type="default"/>
          <w:pgSz w:w="11906" w:h="16838"/>
          <w:pgMar w:top="1440" w:right="1800" w:bottom="1440" w:left="1800" w:header="567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 w:val="0"/>
          <w:bCs/>
          <w:kern w:val="2"/>
          <w:sz w:val="36"/>
          <w:szCs w:val="36"/>
          <w:lang w:val="en-US" w:eastAsia="zh-CN" w:bidi="ar-SA"/>
        </w:rPr>
        <w:t>2026年10</w:t>
      </w:r>
    </w:p>
    <w:bookmarkEnd w:id="0"/>
    <w:bookmarkEnd w:id="1"/>
    <w:sdt>
      <w:sdtPr>
        <w:rPr>
          <w:rFonts w:ascii="宋体" w:hAnsi="宋体" w:eastAsia="宋体"/>
          <w:sz w:val="21"/>
          <w:szCs w:val="22"/>
        </w:rPr>
        <w:id w:val="59124011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/>
          <w:sz w:val="21"/>
          <w:szCs w:val="22"/>
        </w:rPr>
      </w:sdtEndPr>
      <w:sdtContent>
        <w:p w14:paraId="682BBA1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_Toc900100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一、编制说明</w:t>
          </w:r>
          <w:r>
            <w:tab/>
          </w:r>
          <w:r>
            <w:fldChar w:fldCharType="begin"/>
          </w:r>
          <w:r>
            <w:instrText xml:space="preserve"> PAGEREF _Toc900100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_Toc900101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二、费用汇总</w:t>
          </w:r>
          <w:r>
            <w:tab/>
          </w:r>
          <w:r>
            <w:fldChar w:fldCharType="begin"/>
          </w:r>
          <w:r>
            <w:instrText xml:space="preserve"> PAGEREF _Toc900101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_Toc900102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三、硬件报价</w:t>
          </w:r>
          <w:r>
            <w:tab/>
          </w:r>
          <w:r>
            <w:fldChar w:fldCharType="begin"/>
          </w:r>
          <w:r>
            <w:instrText xml:space="preserve"> PAGEREF _Toc900102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1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_Toc900103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snapToGrid w:val="0"/>
              <w:szCs w:val="28"/>
              <w:lang w:val="en-US" w:eastAsia="zh-CN" w:bidi="ar-SA"/>
            </w:rPr>
            <w:t>四、软件报价</w:t>
          </w:r>
          <w:r>
            <w:tab/>
          </w:r>
          <w:r>
            <w:fldChar w:fldCharType="begin"/>
          </w:r>
          <w:r>
            <w:instrText xml:space="preserve"> PAGEREF _Toc900103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3A8EC1D">
          <w:pPr>
            <w:sectPr>
              <w:headerReference r:id="rId4" w:type="default"/>
              <w:pgSz w:w="11905" w:h="16840"/>
              <w:cols w:space="720" w:num="1"/>
            </w:sectPr>
          </w:pPr>
          <w:r>
            <w:fldChar w:fldCharType="end"/>
          </w:r>
        </w:p>
      </w:sdtContent>
    </w:sdt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0" w:name="_Toc900100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一、编制说明</w:t>
      </w:r>
      <w:bookmarkEnd w:id="10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napToGrid w:val="0"/>
          <w:color w:val="00000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z w:val="24"/>
          <w:szCs w:val="24"/>
          <w:lang w:val="en-US" w:eastAsia="zh-CN" w:bidi="ar-SA"/>
        </w:rPr>
        <w:t xml:space="preserve">本报价依据《浦江网联试验室智能化提升项目（三期）建设方案》编制，按硬件设备与软件开发两部分逐项列示。平台既有功能已能满足需求的内容，本期不重复建设，也不计入费用。</w:t>
      </w:r>
    </w:p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1" w:name="_Toc900101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二、费用汇总</w:t>
      </w:r>
      <w:bookmarkEnd w:id="101"/>
    </w:p>
    <w:tbl>
      <w:tblPr>
        <w:tblStyle w:val="15"/>
        <w:tblW w:w="8306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4984"/>
      </w:tblGrid>
      <w:tr>
        <w:trPr>
          <w:cantSplit/>
          <w:tblHeader/>
          <w:jc w:val="center"/>
        </w:trPr>
        <w:tc>
          <w:tcPr>
            <w:tcW w:w="332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项目</w:t>
            </w:r>
          </w:p>
        </w:tc>
        <w:tc>
          <w:tcPr>
            <w:tcW w:w="4984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金额（元）</w:t>
            </w:r>
          </w:p>
        </w:tc>
      </w:tr>
      <w:tr>
        <w:trPr>
          <w:cantSplit/>
          <w:jc w:val="center"/>
        </w:trPr>
        <w:tc>
          <w:tcPr>
            <w:tcW w:w="332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硬件总价</w:t>
            </w:r>
          </w:p>
        </w:tc>
        <w:tc>
          <w:tcPr>
            <w:tcW w:w="498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284,000</w:t>
            </w:r>
          </w:p>
        </w:tc>
      </w:tr>
      <w:tr>
        <w:trPr>
          <w:cantSplit/>
          <w:jc w:val="center"/>
        </w:trPr>
        <w:tc>
          <w:tcPr>
            <w:tcW w:w="332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软件总价</w:t>
            </w:r>
          </w:p>
        </w:tc>
        <w:tc>
          <w:tcPr>
            <w:tcW w:w="498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516,000</w:t>
            </w:r>
          </w:p>
        </w:tc>
      </w:tr>
      <w:tr>
        <w:trPr>
          <w:cantSplit/>
          <w:jc w:val="center"/>
        </w:trPr>
        <w:tc>
          <w:tcPr>
            <w:tcW w:w="332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合计</w:t>
            </w:r>
          </w:p>
        </w:tc>
        <w:tc>
          <w:tcPr>
            <w:tcW w:w="498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800,000</w:t>
            </w:r>
          </w:p>
        </w:tc>
      </w:tr>
    </w:tbl>
    <w:p>
      <w:pPr>
        <w:spacing w:after="0" w:line="20" w:lineRule="exact"/>
        <w:rPr>
          <w:sz w:val="2"/>
        </w:rPr>
      </w:pPr>
    </w:p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2" w:name="_Toc900102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三、硬件报价</w:t>
      </w:r>
      <w:bookmarkEnd w:id="102"/>
    </w:p>
    <w:tbl>
      <w:tblPr>
        <w:tblStyle w:val="15"/>
        <w:tblW w:w="8306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480"/>
        <w:gridCol w:w="912"/>
        <w:gridCol w:w="2400"/>
        <w:gridCol w:w="432"/>
        <w:gridCol w:w="528"/>
        <w:gridCol w:w="960"/>
        <w:gridCol w:w="1008"/>
        <w:gridCol w:w="914"/>
      </w:tblGrid>
      <w:tr>
        <w:trPr>
          <w:cantSplit/>
          <w:tblHeader/>
          <w:jc w:val="center"/>
        </w:trPr>
        <w:tc>
          <w:tcPr>
            <w:tcW w:w="67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名称</w:t>
            </w:r>
          </w:p>
        </w:tc>
        <w:tc>
          <w:tcPr>
            <w:tcW w:w="48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序号</w:t>
            </w:r>
          </w:p>
        </w:tc>
        <w:tc>
          <w:tcPr>
            <w:tcW w:w="91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模块名称</w:t>
            </w:r>
          </w:p>
        </w:tc>
        <w:tc>
          <w:tcPr>
            <w:tcW w:w="240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项目特征与需求描述</w:t>
            </w:r>
          </w:p>
        </w:tc>
        <w:tc>
          <w:tcPr>
            <w:tcW w:w="43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单位</w:t>
            </w:r>
          </w:p>
        </w:tc>
        <w:tc>
          <w:tcPr>
            <w:tcW w:w="52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工程量</w:t>
            </w:r>
          </w:p>
        </w:tc>
        <w:tc>
          <w:tcPr>
            <w:tcW w:w="96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单价（元）</w:t>
            </w:r>
          </w:p>
        </w:tc>
        <w:tc>
          <w:tcPr>
            <w:tcW w:w="100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合价（元）</w:t>
            </w:r>
          </w:p>
        </w:tc>
        <w:tc>
          <w:tcPr>
            <w:tcW w:w="914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备注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样品运输设备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样品运输机器人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X300B工业搬运机器人，双轮差速驱动，激光SLAM导航，举升高度60 mm，导航到点精度&lt;±20 mm；含电池、自动回充桩、调度管理系统授权及现场建图调试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台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单台10万元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门禁与显示设备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运输机器人联动开门设备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运输路线上试验室门体的联网开门设备，含电动开门机、联网门控控制器（以太网接口，接收调度系统开门指令）、开门到位信号反馈及安装调试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扇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64,000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含安装调试；门型与尺寸以现场勘察为准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门禁与显示设备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委托前台引导屏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55英寸商用显示屏，用于滚动展示当日及次日试验任务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台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含支架与安装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数据采集设备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边缘采集网关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支持RS232/RS485串口与以太网接口，用于采集试验设备通信数据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台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12,000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数量以接入设备为准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硬件小计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284,000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</w:tbl>
    <w:p>
      <w:pPr>
        <w:spacing w:after="0" w:line="20" w:lineRule="exact"/>
        <w:rPr>
          <w:sz w:val="2"/>
        </w:rPr>
      </w:pPr>
    </w:p>
    <w:p>
      <w:pPr>
        <w:keepNext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0" w:line="360" w:lineRule="auto"/>
        <w:ind w:left="0" w:firstLine="0"/>
        <w:jc w:val="left"/>
        <w:textAlignment w:val="baseline"/>
        <w:outlineLvl w:val="0"/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</w:pPr>
      <w:bookmarkStart w:id="103" w:name="_Toc900103"/>
      <w:r>
        <w:rPr>
          <w:rFonts w:hint="eastAsia" w:ascii="宋体" w:hAnsi="宋体" w:eastAsia="宋体" w:cs="宋体"/>
          <w:b/>
          <w:snapToGrid w:val="0"/>
          <w:color w:val="000000"/>
          <w:sz w:val="28"/>
          <w:szCs w:val="28"/>
          <w:lang w:val="en-US" w:eastAsia="zh-CN" w:bidi="ar-SA"/>
        </w:rPr>
        <w:t>四、软件报价</w:t>
      </w:r>
      <w:bookmarkEnd w:id="103"/>
    </w:p>
    <w:tbl>
      <w:tblPr>
        <w:tblStyle w:val="15"/>
        <w:tblW w:w="8306" w:type="dxa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480"/>
        <w:gridCol w:w="912"/>
        <w:gridCol w:w="2400"/>
        <w:gridCol w:w="432"/>
        <w:gridCol w:w="528"/>
        <w:gridCol w:w="960"/>
        <w:gridCol w:w="1008"/>
        <w:gridCol w:w="914"/>
      </w:tblGrid>
      <w:tr>
        <w:trPr>
          <w:cantSplit/>
          <w:tblHeader/>
          <w:jc w:val="center"/>
        </w:trPr>
        <w:tc>
          <w:tcPr>
            <w:tcW w:w="67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名称</w:t>
            </w:r>
          </w:p>
        </w:tc>
        <w:tc>
          <w:tcPr>
            <w:tcW w:w="48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序号</w:t>
            </w:r>
          </w:p>
        </w:tc>
        <w:tc>
          <w:tcPr>
            <w:tcW w:w="91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模块名称</w:t>
            </w:r>
          </w:p>
        </w:tc>
        <w:tc>
          <w:tcPr>
            <w:tcW w:w="240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项目特征与需求描述</w:t>
            </w:r>
          </w:p>
        </w:tc>
        <w:tc>
          <w:tcPr>
            <w:tcW w:w="432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单位</w:t>
            </w:r>
          </w:p>
        </w:tc>
        <w:tc>
          <w:tcPr>
            <w:tcW w:w="52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工程量</w:t>
            </w:r>
          </w:p>
        </w:tc>
        <w:tc>
          <w:tcPr>
            <w:tcW w:w="960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单价（元）</w:t>
            </w:r>
          </w:p>
        </w:tc>
        <w:tc>
          <w:tcPr>
            <w:tcW w:w="1008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合价（元）</w:t>
            </w:r>
          </w:p>
        </w:tc>
        <w:tc>
          <w:tcPr>
            <w:tcW w:w="914" w:type="dxa"/>
            <w:shd w:val="clear" w:color="auto" w:fill="17365D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  <w:szCs w:val="18"/>
                <w:lang w:val="en-US" w:eastAsia="zh-CN"/>
              </w:rPr>
              <w:t xml:space="preserve">备注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委托受理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扫码预委托小程序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小程序端委托填报，支持历史信息自动带出、纸质委托单拍照上传与委托记录查询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委托受理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委托数据联动接口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与委托系统的数据同步，委托、样品、检测项目的结构化关联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委托受理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委托进度推送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按受理、检测、报告出具等节点通过小程序或短信推送进度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短信费用按实际发生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委托受理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引导屏任务展示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委托前台引导屏展示当日及次日试验任务，按试验时间排期滚动显示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任务下发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任务自动派发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受理完成后自动生成检测任务并分派试验人员，同步生成运输任务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任务下发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移动端任务通知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试验人员移动端任务推送、样品送达提醒与任务确认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试验数据采集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7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人工确认与模型迭代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低置信度数据标红提示与人工确认流程，确认数据纳入训练样本迭代识别模型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试验数据采集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设备通信协议适配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针对万能试验机、压力机等设备开发串口/网口通信协议解析，获取试验曲线与荷载数据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类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按设备类型计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试验数据采集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9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文件解析与API集成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上位机导出文件（Excel/CSV）自动读取与解析；开放API设备通过HTTP/MQTT对接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试验数据采集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采集数据任务关联与校验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采集数据与委托、样品、任务自动关联，漏采、重复与单位异常提示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检测报告生成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11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计算公式与判定阈值配置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常规试验项目计算公式调用与标准限值判定规则配置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检测报告生成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12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报告模板引擎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Word/PDF报告模板匹配与数据填充，支持数据表格与试验曲线插入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检测报告生成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13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常规试验报告模板配置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按试验项目逐项配置报告模板与字段映射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个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40,000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首批10类常规试验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检测报告生成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14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桥检报告模块集成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将现有桥检报告编制框架作为独立功能入口集成至平台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25,000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检测报告生成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15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报告一致性比对与辅助校核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原始数据与报告数据一致性比对、标准限值复核与错误提示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30,000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智能交互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16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“小浦”业务工具封装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将预委托填报、报告校核等高频操作封装为大模型可调用的工具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智能交互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17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委托单信息提取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视觉识别模型提取纸质委托单关键信息并映射至标准表单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智能交互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18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多角色业务查询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面向客户、试验人员、管理人员的自然语言业务查询与汇总答复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智能交互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19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大模型调用服务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按调用量（token）计费，月均约数百元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年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6,000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首年</w:t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系统对接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机器人调度系统对接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运输任务下发、机器人位置与状态回传、运输记录与委托任务关联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系统对接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21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门禁联动控制接口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调度指令与智能门禁的开关门联动控制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实施服务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22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系统部署与联调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系统部署、配置、全流程联调与试运行保障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项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实施服务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23</w:t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培训服务</w:t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面向委托前台人员、试验人员与管理人员的操作培训</w:t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次</w:t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5,000</w:t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10,000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  <w:tr>
        <w:trPr>
          <w:cantSplit/>
          <w:jc w:val="center"/>
        </w:trPr>
        <w:tc>
          <w:tcPr>
            <w:tcW w:w="67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软件小计</w:t>
            </w:r>
          </w:p>
        </w:tc>
        <w:tc>
          <w:tcPr>
            <w:tcW w:w="48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1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240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432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52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960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  <w:tc>
          <w:tcPr>
            <w:tcW w:w="1008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>516,000</w:t>
            </w:r>
          </w:p>
        </w:tc>
        <w:tc>
          <w:tcPr>
            <w:tcW w:w="914" w:type="dxa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>
            <w:pPr>
              <w:spacing w:before="0" w:after="0" w:line="269" w:lineRule="auto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 xml:space="preserve"/>
            </w:r>
          </w:p>
        </w:tc>
      </w:tr>
    </w:tbl>
    <w:p>
      <w:pPr>
        <w:spacing w:after="0" w:line="20" w:lineRule="exact"/>
        <w:rPr>
          <w:sz w:val="2"/>
        </w:rPr>
      </w:pP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0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B2D94">
    <w:pPr>
      <w:pStyle w:val="10"/>
      <w:pBdr>
        <w:bottom w:val="single" w:color="auto" w:sz="4" w:space="1"/>
      </w:pBdr>
      <w:jc w:val="left"/>
    </w:pPr>
    <w:r>
      <w:drawing>
        <wp:inline distT="0" distB="0" distL="114300" distR="114300">
          <wp:extent cx="1403350" cy="313055"/>
          <wp:effectExtent l="0" t="0" r="19050" b="17145"/>
          <wp:docPr id="7" name="图片 7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E34CE">
    <w:pPr>
      <w:keepNext w:val="0"/>
      <w:keepLines w:val="0"/>
      <w:widowControl/>
      <w:suppressLineNumbers w:val="0"/>
      <w:jc w:val="left"/>
      <w:rPr>
        <w:rFonts w:hint="eastAsia" w:ascii="Arial" w:hAnsi="Arial" w:eastAsia="Arial" w:cs="Arial"/>
        <w:snapToGrid w:val="0"/>
        <w:color w:val="000000"/>
        <w:sz w:val="18"/>
        <w:szCs w:val="21"/>
        <w:lang w:val="en-US" w:eastAsia="en-US" w:bidi="ar-SA"/>
      </w:rPr>
    </w:pPr>
    <w:r>
      <w:drawing>
        <wp:inline distT="0" distB="0" distL="114300" distR="114300">
          <wp:extent cx="1403350" cy="313055"/>
          <wp:effectExtent l="0" t="0" r="19050" b="17145"/>
          <wp:docPr id="6" name="图片 6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3350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</w:t>
    </w:r>
  </w:p>
  <w:p w14:paraId="38C6142A">
    <w:pPr>
      <w:pStyle w:val="10"/>
      <w:pBdr>
        <w:bottom w:val="single" w:color="auto" w:sz="4" w:space="1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BCDCA1"/>
    <w:multiLevelType w:val="singleLevel"/>
    <w:tmpl w:val="B6BCDC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2696F"/>
    <w:multiLevelType w:val="singleLevel"/>
    <w:tmpl w:val="FFF2696F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30333"/>
    <w:rsid w:val="1BFA8461"/>
    <w:rsid w:val="1ED080BD"/>
    <w:rsid w:val="1EDF220B"/>
    <w:rsid w:val="1F33375E"/>
    <w:rsid w:val="1FEF9140"/>
    <w:rsid w:val="2DFDEE70"/>
    <w:rsid w:val="2FF94483"/>
    <w:rsid w:val="327DCF2F"/>
    <w:rsid w:val="33DED774"/>
    <w:rsid w:val="375F5D7E"/>
    <w:rsid w:val="379F861E"/>
    <w:rsid w:val="37FF6126"/>
    <w:rsid w:val="3AFF6272"/>
    <w:rsid w:val="3B7F3489"/>
    <w:rsid w:val="3BB5970A"/>
    <w:rsid w:val="3BD61ED1"/>
    <w:rsid w:val="3BFBB2CE"/>
    <w:rsid w:val="3D1710B2"/>
    <w:rsid w:val="3FEB66F4"/>
    <w:rsid w:val="3FEF810B"/>
    <w:rsid w:val="47F2881C"/>
    <w:rsid w:val="47FEB22A"/>
    <w:rsid w:val="49D72C44"/>
    <w:rsid w:val="4DF67666"/>
    <w:rsid w:val="4EF3D872"/>
    <w:rsid w:val="4EFB4673"/>
    <w:rsid w:val="4FBFE9E7"/>
    <w:rsid w:val="4FED1B77"/>
    <w:rsid w:val="4FF85545"/>
    <w:rsid w:val="537FD392"/>
    <w:rsid w:val="53F7EDA9"/>
    <w:rsid w:val="54CF6E6F"/>
    <w:rsid w:val="56FF190F"/>
    <w:rsid w:val="592C72C2"/>
    <w:rsid w:val="5953B797"/>
    <w:rsid w:val="5BE49703"/>
    <w:rsid w:val="5EBF77A5"/>
    <w:rsid w:val="5EDF6142"/>
    <w:rsid w:val="5F7F938E"/>
    <w:rsid w:val="5F976D2F"/>
    <w:rsid w:val="5FF7E1AC"/>
    <w:rsid w:val="66BE2141"/>
    <w:rsid w:val="673F6C1B"/>
    <w:rsid w:val="675FEFC4"/>
    <w:rsid w:val="67FC8D19"/>
    <w:rsid w:val="67FDE435"/>
    <w:rsid w:val="67FFFE4C"/>
    <w:rsid w:val="69FFB10D"/>
    <w:rsid w:val="6AFC7B0E"/>
    <w:rsid w:val="6BBF332B"/>
    <w:rsid w:val="6CF6EB2D"/>
    <w:rsid w:val="6D6E27C5"/>
    <w:rsid w:val="6FEFFA61"/>
    <w:rsid w:val="6FFBBDFA"/>
    <w:rsid w:val="6FFCD85F"/>
    <w:rsid w:val="739EB0DF"/>
    <w:rsid w:val="76EBE406"/>
    <w:rsid w:val="772DB61D"/>
    <w:rsid w:val="773EA5FC"/>
    <w:rsid w:val="77F7231C"/>
    <w:rsid w:val="77FFA482"/>
    <w:rsid w:val="79EF1C98"/>
    <w:rsid w:val="7ABF6117"/>
    <w:rsid w:val="7B56D7F6"/>
    <w:rsid w:val="7BBBD9B1"/>
    <w:rsid w:val="7BC6032B"/>
    <w:rsid w:val="7BC89389"/>
    <w:rsid w:val="7BF3CDD5"/>
    <w:rsid w:val="7D7B1019"/>
    <w:rsid w:val="7DD7CCA1"/>
    <w:rsid w:val="7DFED04C"/>
    <w:rsid w:val="7EDFB97A"/>
    <w:rsid w:val="7EDFBC4C"/>
    <w:rsid w:val="7EED800B"/>
    <w:rsid w:val="7EEF324D"/>
    <w:rsid w:val="7EFF6D6A"/>
    <w:rsid w:val="7FBBDEB0"/>
    <w:rsid w:val="7FBC82B6"/>
    <w:rsid w:val="7FDF81DE"/>
    <w:rsid w:val="7FDFC75B"/>
    <w:rsid w:val="7FEF671B"/>
    <w:rsid w:val="7FF7FA0B"/>
    <w:rsid w:val="88FEE08A"/>
    <w:rsid w:val="99F3ED61"/>
    <w:rsid w:val="9D3C8507"/>
    <w:rsid w:val="9DE3874C"/>
    <w:rsid w:val="9ECF3FE8"/>
    <w:rsid w:val="9FFF566F"/>
    <w:rsid w:val="A7FFF4BD"/>
    <w:rsid w:val="A9F7E814"/>
    <w:rsid w:val="AEFAFB90"/>
    <w:rsid w:val="AFFC33DB"/>
    <w:rsid w:val="B3FBF7F7"/>
    <w:rsid w:val="B4FF3F9E"/>
    <w:rsid w:val="B75DC99A"/>
    <w:rsid w:val="B7FFFDE0"/>
    <w:rsid w:val="BAFB7ACE"/>
    <w:rsid w:val="BB585742"/>
    <w:rsid w:val="BCFE1750"/>
    <w:rsid w:val="BDF87CBE"/>
    <w:rsid w:val="BE3332F9"/>
    <w:rsid w:val="BEB7336A"/>
    <w:rsid w:val="BFDFA24A"/>
    <w:rsid w:val="BFEB228E"/>
    <w:rsid w:val="BFFBA497"/>
    <w:rsid w:val="BFFE4CA0"/>
    <w:rsid w:val="C5BF8391"/>
    <w:rsid w:val="C7EB4D50"/>
    <w:rsid w:val="C7F5855D"/>
    <w:rsid w:val="CBB11D32"/>
    <w:rsid w:val="CD95C1D6"/>
    <w:rsid w:val="CFBF7DB0"/>
    <w:rsid w:val="CFFA54A6"/>
    <w:rsid w:val="D37DEE6F"/>
    <w:rsid w:val="D4ED989D"/>
    <w:rsid w:val="DAE6369A"/>
    <w:rsid w:val="DCCF63B0"/>
    <w:rsid w:val="DD579D3C"/>
    <w:rsid w:val="DDBFC95B"/>
    <w:rsid w:val="DDF1F4B6"/>
    <w:rsid w:val="DDFFB463"/>
    <w:rsid w:val="DE7F52D7"/>
    <w:rsid w:val="DEEB6839"/>
    <w:rsid w:val="DF73EADE"/>
    <w:rsid w:val="DFBF9DEE"/>
    <w:rsid w:val="DFF14DC5"/>
    <w:rsid w:val="E217E932"/>
    <w:rsid w:val="EBBFC750"/>
    <w:rsid w:val="EDBF244F"/>
    <w:rsid w:val="EDFB5A0F"/>
    <w:rsid w:val="EDFFC171"/>
    <w:rsid w:val="EEFB6DA3"/>
    <w:rsid w:val="EEFBDC94"/>
    <w:rsid w:val="EEFF262E"/>
    <w:rsid w:val="EF7FB75B"/>
    <w:rsid w:val="EFAFE33D"/>
    <w:rsid w:val="EFE1BBC1"/>
    <w:rsid w:val="F1F7C533"/>
    <w:rsid w:val="F2B35E7D"/>
    <w:rsid w:val="F36DA31F"/>
    <w:rsid w:val="F5DDF764"/>
    <w:rsid w:val="F77FBF52"/>
    <w:rsid w:val="F7B2A363"/>
    <w:rsid w:val="F7DB4137"/>
    <w:rsid w:val="F7DF443C"/>
    <w:rsid w:val="F7EDE43A"/>
    <w:rsid w:val="F7F68770"/>
    <w:rsid w:val="F7FF715A"/>
    <w:rsid w:val="F936A98B"/>
    <w:rsid w:val="F93DF0FD"/>
    <w:rsid w:val="F975FD7C"/>
    <w:rsid w:val="F9D34781"/>
    <w:rsid w:val="F9D7C7D1"/>
    <w:rsid w:val="FAA2C575"/>
    <w:rsid w:val="FAFF9877"/>
    <w:rsid w:val="FB737F02"/>
    <w:rsid w:val="FBAF3EEC"/>
    <w:rsid w:val="FBB80877"/>
    <w:rsid w:val="FBBB32E2"/>
    <w:rsid w:val="FBE7A758"/>
    <w:rsid w:val="FBF32F41"/>
    <w:rsid w:val="FBFC0752"/>
    <w:rsid w:val="FCD71B3A"/>
    <w:rsid w:val="FDE5B633"/>
    <w:rsid w:val="FDEF3D45"/>
    <w:rsid w:val="FDFFA34C"/>
    <w:rsid w:val="FE2D871E"/>
    <w:rsid w:val="FEFD4627"/>
    <w:rsid w:val="FF3D2033"/>
    <w:rsid w:val="FF7FEEE4"/>
    <w:rsid w:val="FFAFDC94"/>
    <w:rsid w:val="FFDF9697"/>
    <w:rsid w:val="FFEE75F6"/>
    <w:rsid w:val="FFF76FF4"/>
    <w:rsid w:val="FFFF4C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2"/>
    <w:basedOn w:val="1"/>
    <w:next w:val="1"/>
    <w:qFormat/>
    <w:uiPriority w:val="0"/>
    <w:pPr>
      <w:outlineLvl w:val="1"/>
    </w:pPr>
    <w:rPr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Body Text Indent"/>
    <w:basedOn w:val="1"/>
    <w:qFormat/>
    <w:uiPriority w:val="0"/>
    <w:pPr>
      <w:spacing w:line="200" w:lineRule="exact"/>
      <w:ind w:firstLine="301"/>
    </w:pPr>
    <w:rPr>
      <w:rFonts w:ascii="宋体" w:hAnsi="Courier New"/>
      <w:spacing w:val="-4"/>
      <w:sz w:val="18"/>
      <w:szCs w:val="20"/>
    </w:r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Body Text Indent 2"/>
    <w:basedOn w:val="1"/>
    <w:qFormat/>
    <w:uiPriority w:val="0"/>
    <w:pPr>
      <w:spacing w:line="500" w:lineRule="exact"/>
      <w:ind w:firstLine="540" w:firstLineChars="200"/>
    </w:pPr>
    <w:rPr>
      <w:rFonts w:ascii="宋体" w:hAnsi="宋体"/>
      <w:sz w:val="27"/>
      <w:szCs w:val="27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Body Text First Indent 2"/>
    <w:basedOn w:val="6"/>
    <w:next w:val="8"/>
    <w:unhideWhenUsed/>
    <w:qFormat/>
    <w:uiPriority w:val="99"/>
    <w:pPr>
      <w:ind w:firstLine="420" w:firstLineChars="200"/>
    </w:p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paragraph" w:customStyle="1" w:styleId="19">
    <w:name w:val="Caption Custom"/>
    <w:uiPriority w:val="0"/>
    <w:pPr>
      <w:spacing w:before="60" w:after="180" w:line="276" w:lineRule="auto"/>
      <w:jc w:val="center"/>
    </w:pPr>
    <w:rPr>
      <w:rFonts w:ascii="Arial Unicode MS" w:hAnsi="Arial Unicode MS" w:eastAsia="等线" w:cstheme="minorBidi"/>
      <w:color w:val="6B7280"/>
      <w:sz w:val="18"/>
      <w:szCs w:val="22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12718</Words>
  <Characters>13010</Characters>
  <TotalTime>2</TotalTime>
  <ScaleCrop>false</ScaleCrop>
  <LinksUpToDate>false</LinksUpToDate>
  <CharactersWithSpaces>14090</CharactersWithSpaces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2026-06-12T11:26:00Z</dcterms:created>
  <dc:creator>Apache POI</dc:creator>
  <cp:lastModifiedBy>W</cp:lastModifiedBy>
  <dcterms:modified xsi:type="dcterms:W3CDTF">2026-09-22T21:28:01Z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7CFB38B59C5240D4C347B26A3A55708F_43</vt:lpwstr>
  </property>
</Properties>
</file>