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DBAA64">
      <w:pPr>
        <w:bidi w:val="0"/>
        <w:rPr>
          <w:rFonts w:hint="eastAsia" w:ascii="仿宋" w:hAnsi="仿宋" w:eastAsia="仿宋" w:cs="仿宋"/>
          <w:lang w:eastAsia="zh-CN"/>
        </w:rPr>
      </w:pPr>
      <w:bookmarkStart w:id="0" w:name="_Toc30744"/>
      <w:bookmarkStart w:id="1" w:name="_Toc21525"/>
    </w:p>
    <w:p w14:paraId="12554CCC">
      <w:pPr>
        <w:pStyle w:val="14"/>
        <w:ind w:left="0" w:leftChars="0" w:firstLine="0" w:firstLineChars="0"/>
        <w:rPr>
          <w:rFonts w:hint="eastAsia" w:ascii="仿宋" w:hAnsi="仿宋" w:eastAsia="仿宋" w:cs="仿宋"/>
          <w:lang w:eastAsia="zh-CN"/>
        </w:rPr>
      </w:pPr>
    </w:p>
    <w:p w14:paraId="7DD5E69C">
      <w:pPr>
        <w:pStyle w:val="8"/>
        <w:ind w:left="0" w:leftChars="0" w:firstLine="0" w:firstLineChars="0"/>
        <w:outlineLvl w:val="9"/>
        <w:rPr>
          <w:rFonts w:hint="eastAsia" w:ascii="仿宋" w:hAnsi="仿宋" w:eastAsia="仿宋" w:cs="仿宋"/>
          <w:lang w:eastAsia="zh-CN"/>
        </w:rPr>
      </w:pPr>
    </w:p>
    <w:p w14:paraId="106B7D74">
      <w:pPr>
        <w:pStyle w:val="8"/>
        <w:outlineLvl w:val="9"/>
        <w:rPr>
          <w:rFonts w:hint="eastAsia" w:ascii="仿宋" w:hAnsi="仿宋" w:eastAsia="仿宋" w:cs="仿宋"/>
          <w:lang w:eastAsia="zh-CN"/>
        </w:rPr>
      </w:pPr>
    </w:p>
    <w:p w14:paraId="3450020B">
      <w:pPr>
        <w:pStyle w:val="8"/>
        <w:outlineLvl w:val="9"/>
        <w:rPr>
          <w:rFonts w:hint="eastAsia" w:ascii="仿宋" w:hAnsi="仿宋" w:eastAsia="仿宋" w:cs="仿宋"/>
          <w:lang w:eastAsia="zh-CN"/>
        </w:rPr>
      </w:pPr>
    </w:p>
    <w:p w14:paraId="78B757DC">
      <w:pPr>
        <w:spacing w:line="360" w:lineRule="auto"/>
        <w:jc w:val="center"/>
        <w:outlineLvl w:val="9"/>
        <w:rPr>
          <w:rFonts w:hint="eastAsia" w:ascii="黑体" w:hAnsi="黑体" w:eastAsia="黑体" w:cs="黑体"/>
          <w:b w:val="0"/>
          <w:bCs w:val="0"/>
          <w:color w:val="auto"/>
          <w:sz w:val="52"/>
          <w:szCs w:val="52"/>
          <w:highlight w:val="none"/>
          <w:lang w:val="en-US" w:eastAsia="zh-CN"/>
        </w:rPr>
      </w:pPr>
      <w:r>
        <w:rPr>
          <w:rFonts w:hint="eastAsia" w:ascii="黑体" w:hAnsi="黑体" w:eastAsia="黑体" w:cs="黑体"/>
          <w:b w:val="0"/>
          <w:bCs w:val="0"/>
          <w:color w:val="auto"/>
          <w:sz w:val="52"/>
          <w:szCs w:val="52"/>
          <w:highlight w:val="none"/>
          <w:lang w:val="en-US" w:eastAsia="zh-CN"/>
        </w:rPr>
        <w:t>浦江网联试验室</w:t>
      </w:r>
    </w:p>
    <w:p w14:paraId="03507386">
      <w:pPr>
        <w:spacing w:line="360" w:lineRule="auto"/>
        <w:jc w:val="center"/>
        <w:outlineLvl w:val="9"/>
        <w:rPr>
          <w:rFonts w:hint="default" w:ascii="黑体" w:hAnsi="黑体" w:eastAsia="黑体" w:cs="黑体"/>
          <w:b w:val="0"/>
          <w:bCs w:val="0"/>
          <w:color w:val="auto"/>
          <w:sz w:val="52"/>
          <w:szCs w:val="52"/>
          <w:highlight w:val="none"/>
          <w:lang w:val="en-US" w:eastAsia="zh-CN"/>
        </w:rPr>
      </w:pPr>
      <w:r>
        <w:rPr>
          <w:rFonts w:hint="eastAsia" w:ascii="黑体" w:hAnsi="黑体" w:eastAsia="黑体" w:cs="黑体"/>
          <w:b w:val="0"/>
          <w:bCs w:val="0"/>
          <w:color w:val="auto"/>
          <w:sz w:val="52"/>
          <w:szCs w:val="52"/>
          <w:highlight w:val="none"/>
          <w:lang w:val="en-US" w:eastAsia="zh-CN"/>
        </w:rPr>
        <w:t>智能化提升项目（三期）</w:t>
      </w:r>
    </w:p>
    <w:p w14:paraId="5C54B49B">
      <w:pPr>
        <w:spacing w:line="360" w:lineRule="auto"/>
        <w:jc w:val="center"/>
        <w:outlineLvl w:val="9"/>
        <w:rPr>
          <w:rFonts w:hint="eastAsia" w:ascii="黑体" w:hAnsi="黑体" w:eastAsia="黑体" w:cs="黑体"/>
          <w:b w:val="0"/>
          <w:bCs w:val="0"/>
          <w:color w:val="auto"/>
          <w:sz w:val="52"/>
          <w:szCs w:val="52"/>
          <w:highlight w:val="none"/>
          <w:lang w:val="en-US" w:eastAsia="zh-CN"/>
        </w:rPr>
      </w:pPr>
      <w:r>
        <w:rPr>
          <w:rFonts w:hint="eastAsia" w:ascii="黑体" w:hAnsi="黑体" w:eastAsia="黑体" w:cs="黑体"/>
          <w:b w:val="0"/>
          <w:bCs w:val="0"/>
          <w:color w:val="auto"/>
          <w:sz w:val="52"/>
          <w:szCs w:val="52"/>
          <w:highlight w:val="none"/>
          <w:lang w:val="en-US" w:eastAsia="zh-CN"/>
        </w:rPr>
        <w:t>建设方案</w:t>
      </w:r>
    </w:p>
    <w:p w14:paraId="5EAA205B">
      <w:pPr>
        <w:bidi w:val="0"/>
        <w:outlineLvl w:val="9"/>
        <w:rPr>
          <w:rFonts w:hint="eastAsia" w:ascii="黑体" w:hAnsi="黑体" w:eastAsia="黑体" w:cs="黑体"/>
          <w:lang w:eastAsia="zh-CN"/>
        </w:rPr>
      </w:pPr>
    </w:p>
    <w:p w14:paraId="7E6A7042">
      <w:pPr>
        <w:bidi w:val="0"/>
        <w:outlineLvl w:val="9"/>
        <w:rPr>
          <w:rFonts w:hint="eastAsia" w:ascii="黑体" w:hAnsi="黑体" w:eastAsia="黑体" w:cs="黑体"/>
          <w:lang w:eastAsia="zh-CN"/>
        </w:rPr>
      </w:pPr>
    </w:p>
    <w:p w14:paraId="51EED85C">
      <w:pPr>
        <w:pStyle w:val="14"/>
        <w:outlineLvl w:val="9"/>
        <w:rPr>
          <w:rFonts w:hint="eastAsia" w:ascii="黑体" w:hAnsi="黑体" w:eastAsia="黑体" w:cs="黑体"/>
          <w:b/>
          <w:sz w:val="52"/>
          <w:szCs w:val="52"/>
          <w:lang w:eastAsia="zh-CN"/>
        </w:rPr>
      </w:pPr>
    </w:p>
    <w:p w14:paraId="173491C3">
      <w:pPr>
        <w:pStyle w:val="8"/>
        <w:outlineLvl w:val="9"/>
        <w:rPr>
          <w:rFonts w:hint="eastAsia" w:ascii="黑体" w:hAnsi="黑体" w:eastAsia="黑体" w:cs="黑体"/>
          <w:b/>
          <w:sz w:val="52"/>
          <w:szCs w:val="52"/>
          <w:lang w:eastAsia="zh-CN"/>
        </w:rPr>
      </w:pPr>
    </w:p>
    <w:p w14:paraId="74159DDF">
      <w:pPr>
        <w:pStyle w:val="8"/>
        <w:outlineLvl w:val="9"/>
        <w:rPr>
          <w:rFonts w:hint="eastAsia" w:ascii="黑体" w:hAnsi="黑体" w:eastAsia="黑体" w:cs="黑体"/>
          <w:b/>
          <w:sz w:val="52"/>
          <w:szCs w:val="52"/>
          <w:lang w:eastAsia="zh-CN"/>
        </w:rPr>
      </w:pPr>
    </w:p>
    <w:p w14:paraId="4D4907AB">
      <w:pPr>
        <w:pStyle w:val="8"/>
        <w:outlineLvl w:val="9"/>
        <w:rPr>
          <w:rFonts w:hint="eastAsia" w:ascii="黑体" w:hAnsi="黑体" w:eastAsia="黑体" w:cs="黑体"/>
          <w:b/>
          <w:sz w:val="52"/>
          <w:szCs w:val="52"/>
          <w:lang w:eastAsia="zh-CN"/>
        </w:rPr>
      </w:pPr>
    </w:p>
    <w:p w14:paraId="45E6AD8C">
      <w:pPr>
        <w:pStyle w:val="8"/>
        <w:outlineLvl w:val="9"/>
        <w:rPr>
          <w:rFonts w:hint="eastAsia" w:ascii="黑体" w:hAnsi="黑体" w:eastAsia="黑体" w:cs="黑体"/>
          <w:b/>
          <w:sz w:val="52"/>
          <w:szCs w:val="52"/>
          <w:lang w:eastAsia="zh-CN"/>
        </w:rPr>
      </w:pPr>
    </w:p>
    <w:p w14:paraId="43873E80">
      <w:pPr>
        <w:pStyle w:val="8"/>
        <w:ind w:left="0" w:leftChars="0" w:firstLine="0" w:firstLineChars="0"/>
        <w:outlineLvl w:val="9"/>
        <w:rPr>
          <w:rFonts w:hint="eastAsia" w:ascii="黑体" w:hAnsi="黑体" w:eastAsia="黑体" w:cs="黑体"/>
          <w:b/>
          <w:sz w:val="52"/>
          <w:szCs w:val="52"/>
          <w:lang w:eastAsia="zh-CN"/>
        </w:rPr>
      </w:pPr>
    </w:p>
    <w:p w14:paraId="6F7FA06C">
      <w:pPr>
        <w:pStyle w:val="8"/>
        <w:outlineLvl w:val="9"/>
        <w:rPr>
          <w:rFonts w:hint="eastAsia" w:ascii="黑体" w:hAnsi="黑体" w:eastAsia="黑体" w:cs="黑体"/>
          <w:b/>
          <w:sz w:val="52"/>
          <w:szCs w:val="52"/>
          <w:lang w:eastAsia="zh-CN"/>
        </w:rPr>
      </w:pPr>
    </w:p>
    <w:p w14:paraId="66EF2AAA">
      <w:pPr>
        <w:pStyle w:val="8"/>
        <w:outlineLvl w:val="9"/>
        <w:rPr>
          <w:rFonts w:hint="eastAsia" w:ascii="黑体" w:hAnsi="黑体" w:eastAsia="黑体" w:cs="黑体"/>
          <w:b/>
          <w:sz w:val="52"/>
          <w:szCs w:val="52"/>
          <w:lang w:eastAsia="zh-CN"/>
        </w:rPr>
      </w:pPr>
    </w:p>
    <w:p w14:paraId="344B8B96">
      <w:pPr>
        <w:keepNext w:val="0"/>
        <w:keepLines w:val="0"/>
        <w:pageBreakBefore w:val="0"/>
        <w:widowControl/>
        <w:kinsoku w:val="0"/>
        <w:wordWrap/>
        <w:overflowPunct/>
        <w:topLinePunct w:val="0"/>
        <w:autoSpaceDE w:val="0"/>
        <w:autoSpaceDN w:val="0"/>
        <w:bidi w:val="0"/>
        <w:adjustRightInd w:val="0"/>
        <w:snapToGrid w:val="0"/>
        <w:spacing w:before="58" w:line="480" w:lineRule="auto"/>
        <w:jc w:val="center"/>
        <w:textAlignment w:val="baseline"/>
        <w:outlineLvl w:val="9"/>
        <w:rPr>
          <w:rFonts w:hint="eastAsia" w:ascii="黑体" w:hAnsi="黑体" w:eastAsia="黑体" w:cs="黑体"/>
          <w:b w:val="0"/>
          <w:bCs/>
          <w:sz w:val="36"/>
          <w:szCs w:val="36"/>
        </w:rPr>
      </w:pPr>
      <w:r>
        <w:rPr>
          <w:rFonts w:hint="eastAsia" w:ascii="黑体" w:hAnsi="黑体" w:eastAsia="黑体" w:cs="黑体"/>
          <w:b w:val="0"/>
          <w:bCs/>
          <w:sz w:val="36"/>
          <w:szCs w:val="36"/>
          <w:lang w:val="en-US" w:eastAsia="zh-CN"/>
        </w:rPr>
        <w:t>江苏</w:t>
      </w:r>
      <w:r>
        <w:rPr>
          <w:rFonts w:hint="eastAsia" w:ascii="黑体" w:hAnsi="黑体" w:eastAsia="黑体" w:cs="黑体"/>
          <w:b w:val="0"/>
          <w:bCs/>
          <w:sz w:val="36"/>
          <w:szCs w:val="36"/>
        </w:rPr>
        <w:t>正方交通科技有限公司</w:t>
      </w:r>
    </w:p>
    <w:p w14:paraId="1D567C8C">
      <w:pPr>
        <w:keepNext w:val="0"/>
        <w:keepLines w:val="0"/>
        <w:pageBreakBefore w:val="0"/>
        <w:widowControl/>
        <w:kinsoku w:val="0"/>
        <w:wordWrap/>
        <w:overflowPunct/>
        <w:topLinePunct w:val="0"/>
        <w:autoSpaceDE w:val="0"/>
        <w:autoSpaceDN w:val="0"/>
        <w:bidi w:val="0"/>
        <w:adjustRightInd w:val="0"/>
        <w:snapToGrid w:val="0"/>
        <w:spacing w:line="480" w:lineRule="auto"/>
        <w:jc w:val="center"/>
        <w:textAlignment w:val="baseline"/>
        <w:outlineLvl w:val="9"/>
        <w:rPr>
          <w:rFonts w:hint="default" w:ascii="黑体" w:hAnsi="黑体" w:eastAsia="黑体" w:cs="黑体"/>
          <w:b w:val="0"/>
          <w:bCs/>
          <w:kern w:val="2"/>
          <w:sz w:val="36"/>
          <w:szCs w:val="36"/>
          <w:lang w:val="en-US" w:eastAsia="zh-CN" w:bidi="ar-SA"/>
        </w:rPr>
        <w:sectPr>
          <w:headerReference r:id="rId3" w:type="default"/>
          <w:pgSz w:w="11906" w:h="16838"/>
          <w:pgMar w:top="1440" w:right="1800" w:bottom="1440" w:left="1800" w:header="567" w:footer="992" w:gutter="0"/>
          <w:pgBorders>
            <w:top w:val="none" w:sz="0" w:space="0"/>
            <w:left w:val="none" w:sz="0" w:space="0"/>
            <w:bottom w:val="none" w:sz="0" w:space="0"/>
            <w:right w:val="none" w:sz="0" w:space="0"/>
          </w:pgBorders>
          <w:pgNumType w:fmt="decimal"/>
          <w:cols w:space="425" w:num="1"/>
          <w:docGrid w:type="lines" w:linePitch="312" w:charSpace="0"/>
        </w:sectPr>
      </w:pPr>
      <w:r>
        <w:rPr>
          <w:rFonts w:hint="eastAsia" w:ascii="黑体" w:hAnsi="黑体" w:eastAsia="黑体" w:cs="黑体"/>
          <w:b w:val="0"/>
          <w:bCs/>
          <w:kern w:val="2"/>
          <w:sz w:val="36"/>
          <w:szCs w:val="36"/>
          <w:lang w:val="en-US" w:eastAsia="zh-CN" w:bidi="ar-SA"/>
        </w:rPr>
        <w:t>2026年10</w:t>
      </w:r>
    </w:p>
    <w:bookmarkEnd w:id="0"/>
    <w:bookmarkEnd w:id="1"/>
    <w:sdt>
      <w:sdtPr>
        <w:rPr>
          <w:rFonts w:ascii="宋体" w:hAnsi="宋体" w:eastAsia="宋体"/>
          <w:sz w:val="21"/>
          <w:szCs w:val="22"/>
        </w:rPr>
        <w:id w:val="591240115"/>
        <w15:color w:val="DBDBDB"/>
        <w:docPartObj>
          <w:docPartGallery w:val="Table of Contents"/>
          <w:docPartUnique/>
        </w:docPartObj>
      </w:sdtPr>
      <w:sdtEndPr>
        <w:rPr>
          <w:rFonts w:ascii="宋体" w:hAnsi="宋体" w:eastAsia="宋体"/>
          <w:sz w:val="21"/>
          <w:szCs w:val="22"/>
        </w:rPr>
      </w:sdtEndPr>
      <w:sdtContent>
        <w:p w14:paraId="682BBA18">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11"/>
            <w:tabs>
              <w:tab w:val="right" w:leader="dot" w:pos="8305"/>
            </w:tabs>
          </w:pPr>
          <w:r>
            <w:fldChar w:fldCharType="begin"/>
          </w:r>
          <w:r>
            <w:instrText xml:space="preserve">TOC \o "1-3" \h \u </w:instrText>
          </w:r>
          <w:r>
            <w:fldChar w:fldCharType="separate"/>
          </w:r>
          <w:r>
            <w:fldChar w:fldCharType="begin"/>
          </w:r>
          <w:r>
            <w:instrText xml:space="preserve"> HYPERLINK \l _Toc900100 </w:instrText>
          </w:r>
          <w:r>
            <w:fldChar w:fldCharType="separate"/>
          </w:r>
          <w:r>
            <w:rPr>
              <w:rFonts w:hint="eastAsia" w:ascii="宋体" w:hAnsi="宋体" w:eastAsia="宋体" w:cs="宋体"/>
              <w:snapToGrid w:val="0"/>
              <w:szCs w:val="28"/>
              <w:lang w:val="en-US" w:eastAsia="zh-CN" w:bidi="ar-SA"/>
            </w:rPr>
            <w:t>一、项目概述</w:t>
          </w:r>
          <w:r>
            <w:tab/>
          </w:r>
          <w:r>
            <w:fldChar w:fldCharType="begin"/>
          </w:r>
          <w:r>
            <w:instrText xml:space="preserve"> PAGEREF _Toc900100 \h </w:instrText>
          </w:r>
          <w:r>
            <w:fldChar w:fldCharType="separate"/>
          </w:r>
          <w:r>
            <w:t>4</w:t>
          </w:r>
          <w:r>
            <w:fldChar w:fldCharType="end"/>
          </w:r>
          <w:r>
            <w:fldChar w:fldCharType="end"/>
          </w:r>
        </w:p>
        <w:p>
          <w:pPr>
            <w:pStyle w:val="12"/>
            <w:tabs>
              <w:tab w:val="right" w:leader="dot" w:pos="8305"/>
            </w:tabs>
          </w:pPr>
          <w:r>
            <w:fldChar w:fldCharType="begin"/>
          </w:r>
          <w:r>
            <w:instrText xml:space="preserve"> HYPERLINK \l _Toc900101 </w:instrText>
          </w:r>
          <w:r>
            <w:fldChar w:fldCharType="separate"/>
          </w:r>
          <w:r>
            <w:rPr>
              <w:rFonts w:hint="eastAsia" w:ascii="宋体" w:hAnsi="宋体" w:eastAsia="宋体" w:cs="宋体"/>
              <w:snapToGrid w:val="0"/>
              <w:szCs w:val="28"/>
              <w:lang w:val="en-US" w:eastAsia="zh-CN" w:bidi="ar-SA"/>
            </w:rPr>
            <w:t>1.1 项目背景</w:t>
          </w:r>
          <w:r>
            <w:tab/>
          </w:r>
          <w:r>
            <w:fldChar w:fldCharType="begin"/>
          </w:r>
          <w:r>
            <w:instrText xml:space="preserve"> PAGEREF _Toc900101 \h </w:instrText>
          </w:r>
          <w:r>
            <w:fldChar w:fldCharType="separate"/>
          </w:r>
          <w:r>
            <w:t>4</w:t>
          </w:r>
          <w:r>
            <w:fldChar w:fldCharType="end"/>
          </w:r>
          <w:r>
            <w:fldChar w:fldCharType="end"/>
          </w:r>
        </w:p>
        <w:p>
          <w:pPr>
            <w:pStyle w:val="12"/>
            <w:tabs>
              <w:tab w:val="right" w:leader="dot" w:pos="8305"/>
            </w:tabs>
          </w:pPr>
          <w:r>
            <w:fldChar w:fldCharType="begin"/>
          </w:r>
          <w:r>
            <w:instrText xml:space="preserve"> HYPERLINK \l _Toc900102 </w:instrText>
          </w:r>
          <w:r>
            <w:fldChar w:fldCharType="separate"/>
          </w:r>
          <w:r>
            <w:rPr>
              <w:rFonts w:hint="eastAsia" w:ascii="宋体" w:hAnsi="宋体" w:eastAsia="宋体" w:cs="宋体"/>
              <w:snapToGrid w:val="0"/>
              <w:szCs w:val="28"/>
              <w:lang w:val="en-US" w:eastAsia="zh-CN" w:bidi="ar-SA"/>
            </w:rPr>
            <w:t>1.2 项目现状</w:t>
          </w:r>
          <w:r>
            <w:tab/>
          </w:r>
          <w:r>
            <w:fldChar w:fldCharType="begin"/>
          </w:r>
          <w:r>
            <w:instrText xml:space="preserve"> PAGEREF _Toc900102 \h </w:instrText>
          </w:r>
          <w:r>
            <w:fldChar w:fldCharType="separate"/>
          </w:r>
          <w:r>
            <w:t>4</w:t>
          </w:r>
          <w:r>
            <w:fldChar w:fldCharType="end"/>
          </w:r>
          <w:r>
            <w:fldChar w:fldCharType="end"/>
          </w:r>
        </w:p>
        <w:p>
          <w:pPr>
            <w:pStyle w:val="12"/>
            <w:tabs>
              <w:tab w:val="right" w:leader="dot" w:pos="8305"/>
            </w:tabs>
          </w:pPr>
          <w:r>
            <w:fldChar w:fldCharType="begin"/>
          </w:r>
          <w:r>
            <w:instrText xml:space="preserve"> HYPERLINK \l _Toc900103 </w:instrText>
          </w:r>
          <w:r>
            <w:fldChar w:fldCharType="separate"/>
          </w:r>
          <w:r>
            <w:rPr>
              <w:rFonts w:hint="eastAsia" w:ascii="宋体" w:hAnsi="宋体" w:eastAsia="宋体" w:cs="宋体"/>
              <w:snapToGrid w:val="0"/>
              <w:szCs w:val="28"/>
              <w:lang w:val="en-US" w:eastAsia="zh-CN" w:bidi="ar-SA"/>
            </w:rPr>
            <w:t>1.3 建设目标</w:t>
          </w:r>
          <w:r>
            <w:tab/>
          </w:r>
          <w:r>
            <w:fldChar w:fldCharType="begin"/>
          </w:r>
          <w:r>
            <w:instrText xml:space="preserve"> PAGEREF _Toc900103 \h </w:instrText>
          </w:r>
          <w:r>
            <w:fldChar w:fldCharType="separate"/>
          </w:r>
          <w:r>
            <w:t>5</w:t>
          </w:r>
          <w:r>
            <w:fldChar w:fldCharType="end"/>
          </w:r>
          <w:r>
            <w:fldChar w:fldCharType="end"/>
          </w:r>
        </w:p>
        <w:p>
          <w:pPr>
            <w:pStyle w:val="11"/>
            <w:tabs>
              <w:tab w:val="right" w:leader="dot" w:pos="8305"/>
            </w:tabs>
          </w:pPr>
          <w:r>
            <w:fldChar w:fldCharType="begin"/>
          </w:r>
          <w:r>
            <w:instrText xml:space="preserve"> HYPERLINK \l _Toc900104 </w:instrText>
          </w:r>
          <w:r>
            <w:fldChar w:fldCharType="separate"/>
          </w:r>
          <w:r>
            <w:rPr>
              <w:rFonts w:hint="eastAsia" w:ascii="宋体" w:hAnsi="宋体" w:eastAsia="宋体" w:cs="宋体"/>
              <w:snapToGrid w:val="0"/>
              <w:szCs w:val="28"/>
              <w:lang w:val="en-US" w:eastAsia="zh-CN" w:bidi="ar-SA"/>
            </w:rPr>
            <w:t>二、总体架构</w:t>
          </w:r>
          <w:r>
            <w:tab/>
          </w:r>
          <w:r>
            <w:fldChar w:fldCharType="begin"/>
          </w:r>
          <w:r>
            <w:instrText xml:space="preserve"> PAGEREF _Toc900104 \h </w:instrText>
          </w:r>
          <w:r>
            <w:fldChar w:fldCharType="separate"/>
          </w:r>
          <w:r>
            <w:t>6</w:t>
          </w:r>
          <w:r>
            <w:fldChar w:fldCharType="end"/>
          </w:r>
          <w:r>
            <w:fldChar w:fldCharType="end"/>
          </w:r>
        </w:p>
        <w:p>
          <w:pPr>
            <w:pStyle w:val="12"/>
            <w:tabs>
              <w:tab w:val="right" w:leader="dot" w:pos="8305"/>
            </w:tabs>
          </w:pPr>
          <w:r>
            <w:fldChar w:fldCharType="begin"/>
          </w:r>
          <w:r>
            <w:instrText xml:space="preserve"> HYPERLINK \l _Toc900105 </w:instrText>
          </w:r>
          <w:r>
            <w:fldChar w:fldCharType="separate"/>
          </w:r>
          <w:r>
            <w:rPr>
              <w:rFonts w:hint="eastAsia" w:ascii="宋体" w:hAnsi="宋体" w:eastAsia="宋体" w:cs="宋体"/>
              <w:snapToGrid w:val="0"/>
              <w:szCs w:val="28"/>
              <w:lang w:val="en-US" w:eastAsia="zh-CN" w:bidi="ar-SA"/>
            </w:rPr>
            <w:t>2.1 业务架构</w:t>
          </w:r>
          <w:r>
            <w:tab/>
          </w:r>
          <w:r>
            <w:fldChar w:fldCharType="begin"/>
          </w:r>
          <w:r>
            <w:instrText xml:space="preserve"> PAGEREF _Toc900105 \h </w:instrText>
          </w:r>
          <w:r>
            <w:fldChar w:fldCharType="separate"/>
          </w:r>
          <w:r>
            <w:t>6</w:t>
          </w:r>
          <w:r>
            <w:fldChar w:fldCharType="end"/>
          </w:r>
          <w:r>
            <w:fldChar w:fldCharType="end"/>
          </w:r>
        </w:p>
        <w:p>
          <w:pPr>
            <w:pStyle w:val="12"/>
            <w:tabs>
              <w:tab w:val="right" w:leader="dot" w:pos="8305"/>
            </w:tabs>
          </w:pPr>
          <w:r>
            <w:fldChar w:fldCharType="begin"/>
          </w:r>
          <w:r>
            <w:instrText xml:space="preserve"> HYPERLINK \l _Toc900106 </w:instrText>
          </w:r>
          <w:r>
            <w:fldChar w:fldCharType="separate"/>
          </w:r>
          <w:r>
            <w:rPr>
              <w:rFonts w:hint="eastAsia" w:ascii="宋体" w:hAnsi="宋体" w:eastAsia="宋体" w:cs="宋体"/>
              <w:snapToGrid w:val="0"/>
              <w:szCs w:val="28"/>
              <w:lang w:val="en-US" w:eastAsia="zh-CN" w:bidi="ar-SA"/>
            </w:rPr>
            <w:t>2.2 技术架构</w:t>
          </w:r>
          <w:r>
            <w:tab/>
          </w:r>
          <w:r>
            <w:fldChar w:fldCharType="begin"/>
          </w:r>
          <w:r>
            <w:instrText xml:space="preserve"> PAGEREF _Toc900106 \h </w:instrText>
          </w:r>
          <w:r>
            <w:fldChar w:fldCharType="separate"/>
          </w:r>
          <w:r>
            <w:t>6</w:t>
          </w:r>
          <w:r>
            <w:fldChar w:fldCharType="end"/>
          </w:r>
          <w:r>
            <w:fldChar w:fldCharType="end"/>
          </w:r>
        </w:p>
        <w:p>
          <w:pPr>
            <w:pStyle w:val="12"/>
            <w:tabs>
              <w:tab w:val="right" w:leader="dot" w:pos="8305"/>
            </w:tabs>
          </w:pPr>
          <w:r>
            <w:fldChar w:fldCharType="begin"/>
          </w:r>
          <w:r>
            <w:instrText xml:space="preserve"> HYPERLINK \l _Toc900107 </w:instrText>
          </w:r>
          <w:r>
            <w:fldChar w:fldCharType="separate"/>
          </w:r>
          <w:r>
            <w:rPr>
              <w:rFonts w:hint="eastAsia" w:ascii="宋体" w:hAnsi="宋体" w:eastAsia="宋体" w:cs="宋体"/>
              <w:snapToGrid w:val="0"/>
              <w:szCs w:val="28"/>
              <w:lang w:val="en-US" w:eastAsia="zh-CN" w:bidi="ar-SA"/>
            </w:rPr>
            <w:t>2.3 业务流程</w:t>
          </w:r>
          <w:r>
            <w:tab/>
          </w:r>
          <w:r>
            <w:fldChar w:fldCharType="begin"/>
          </w:r>
          <w:r>
            <w:instrText xml:space="preserve"> PAGEREF _Toc900107 \h </w:instrText>
          </w:r>
          <w:r>
            <w:fldChar w:fldCharType="separate"/>
          </w:r>
          <w:r>
            <w:t>7</w:t>
          </w:r>
          <w:r>
            <w:fldChar w:fldCharType="end"/>
          </w:r>
          <w:r>
            <w:fldChar w:fldCharType="end"/>
          </w:r>
        </w:p>
        <w:p>
          <w:pPr>
            <w:pStyle w:val="11"/>
            <w:tabs>
              <w:tab w:val="right" w:leader="dot" w:pos="8305"/>
            </w:tabs>
          </w:pPr>
          <w:r>
            <w:fldChar w:fldCharType="begin"/>
          </w:r>
          <w:r>
            <w:instrText xml:space="preserve"> HYPERLINK \l _Toc900108 </w:instrText>
          </w:r>
          <w:r>
            <w:fldChar w:fldCharType="separate"/>
          </w:r>
          <w:r>
            <w:rPr>
              <w:rFonts w:hint="eastAsia" w:ascii="宋体" w:hAnsi="宋体" w:eastAsia="宋体" w:cs="宋体"/>
              <w:snapToGrid w:val="0"/>
              <w:szCs w:val="28"/>
              <w:lang w:val="en-US" w:eastAsia="zh-CN" w:bidi="ar-SA"/>
            </w:rPr>
            <w:t>三、建设内容</w:t>
          </w:r>
          <w:r>
            <w:tab/>
          </w:r>
          <w:r>
            <w:fldChar w:fldCharType="begin"/>
          </w:r>
          <w:r>
            <w:instrText xml:space="preserve"> PAGEREF _Toc900108 \h </w:instrText>
          </w:r>
          <w:r>
            <w:fldChar w:fldCharType="separate"/>
          </w:r>
          <w:r>
            <w:t>8</w:t>
          </w:r>
          <w:r>
            <w:fldChar w:fldCharType="end"/>
          </w:r>
          <w:r>
            <w:fldChar w:fldCharType="end"/>
          </w:r>
        </w:p>
        <w:p>
          <w:pPr>
            <w:pStyle w:val="12"/>
            <w:tabs>
              <w:tab w:val="right" w:leader="dot" w:pos="8305"/>
            </w:tabs>
          </w:pPr>
          <w:r>
            <w:fldChar w:fldCharType="begin"/>
          </w:r>
          <w:r>
            <w:instrText xml:space="preserve"> HYPERLINK \l _Toc900109 </w:instrText>
          </w:r>
          <w:r>
            <w:fldChar w:fldCharType="separate"/>
          </w:r>
          <w:r>
            <w:rPr>
              <w:rFonts w:hint="eastAsia" w:ascii="宋体" w:hAnsi="宋体" w:eastAsia="宋体" w:cs="宋体"/>
              <w:snapToGrid w:val="0"/>
              <w:szCs w:val="28"/>
              <w:lang w:val="en-US" w:eastAsia="zh-CN" w:bidi="ar-SA"/>
            </w:rPr>
            <w:t>3.1 委托受理流程优化</w:t>
          </w:r>
          <w:r>
            <w:tab/>
          </w:r>
          <w:r>
            <w:fldChar w:fldCharType="begin"/>
          </w:r>
          <w:r>
            <w:instrText xml:space="preserve"> PAGEREF _Toc900109 \h </w:instrText>
          </w:r>
          <w:r>
            <w:fldChar w:fldCharType="separate"/>
          </w:r>
          <w:r>
            <w:t>8</w:t>
          </w:r>
          <w:r>
            <w:fldChar w:fldCharType="end"/>
          </w:r>
          <w:r>
            <w:fldChar w:fldCharType="end"/>
          </w:r>
        </w:p>
        <w:p>
          <w:pPr>
            <w:pStyle w:val="12"/>
            <w:tabs>
              <w:tab w:val="right" w:leader="dot" w:pos="8305"/>
            </w:tabs>
          </w:pPr>
          <w:r>
            <w:fldChar w:fldCharType="begin"/>
          </w:r>
          <w:r>
            <w:instrText xml:space="preserve"> HYPERLINK \l _Toc900110 </w:instrText>
          </w:r>
          <w:r>
            <w:fldChar w:fldCharType="separate"/>
          </w:r>
          <w:r>
            <w:rPr>
              <w:rFonts w:hint="eastAsia" w:ascii="宋体" w:hAnsi="宋体" w:eastAsia="宋体" w:cs="宋体"/>
              <w:snapToGrid w:val="0"/>
              <w:szCs w:val="28"/>
              <w:lang w:val="en-US" w:eastAsia="zh-CN" w:bidi="ar-SA"/>
            </w:rPr>
            <w:t>3.2 试验任务下发</w:t>
          </w:r>
          <w:r>
            <w:tab/>
          </w:r>
          <w:r>
            <w:fldChar w:fldCharType="begin"/>
          </w:r>
          <w:r>
            <w:instrText xml:space="preserve"> PAGEREF _Toc900110 \h </w:instrText>
          </w:r>
          <w:r>
            <w:fldChar w:fldCharType="separate"/>
          </w:r>
          <w:r>
            <w:t>8</w:t>
          </w:r>
          <w:r>
            <w:fldChar w:fldCharType="end"/>
          </w:r>
          <w:r>
            <w:fldChar w:fldCharType="end"/>
          </w:r>
        </w:p>
        <w:p>
          <w:pPr>
            <w:pStyle w:val="12"/>
            <w:tabs>
              <w:tab w:val="right" w:leader="dot" w:pos="8305"/>
            </w:tabs>
          </w:pPr>
          <w:r>
            <w:fldChar w:fldCharType="begin"/>
          </w:r>
          <w:r>
            <w:instrText xml:space="preserve"> HYPERLINK \l _Toc900111 </w:instrText>
          </w:r>
          <w:r>
            <w:fldChar w:fldCharType="separate"/>
          </w:r>
          <w:r>
            <w:rPr>
              <w:rFonts w:hint="eastAsia" w:ascii="宋体" w:hAnsi="宋体" w:eastAsia="宋体" w:cs="宋体"/>
              <w:snapToGrid w:val="0"/>
              <w:szCs w:val="28"/>
              <w:lang w:val="en-US" w:eastAsia="zh-CN" w:bidi="ar-SA"/>
            </w:rPr>
            <w:t>3.3 样品智能运输系统</w:t>
          </w:r>
          <w:r>
            <w:tab/>
          </w:r>
          <w:r>
            <w:fldChar w:fldCharType="begin"/>
          </w:r>
          <w:r>
            <w:instrText xml:space="preserve"> PAGEREF _Toc900111 \h </w:instrText>
          </w:r>
          <w:r>
            <w:fldChar w:fldCharType="separate"/>
          </w:r>
          <w:r>
            <w:t>9</w:t>
          </w:r>
          <w:r>
            <w:fldChar w:fldCharType="end"/>
          </w:r>
          <w:r>
            <w:fldChar w:fldCharType="end"/>
          </w:r>
        </w:p>
        <w:p>
          <w:pPr>
            <w:pStyle w:val="7"/>
            <w:tabs>
              <w:tab w:val="right" w:leader="dot" w:pos="8305"/>
            </w:tabs>
          </w:pPr>
          <w:r>
            <w:fldChar w:fldCharType="begin"/>
          </w:r>
          <w:r>
            <w:instrText xml:space="preserve"> HYPERLINK \l _Toc900112 </w:instrText>
          </w:r>
          <w:r>
            <w:fldChar w:fldCharType="separate"/>
          </w:r>
          <w:r>
            <w:rPr>
              <w:rFonts w:hint="eastAsia" w:ascii="宋体" w:hAnsi="宋体" w:eastAsia="宋体" w:cs="宋体"/>
              <w:snapToGrid w:val="0"/>
              <w:szCs w:val="24"/>
              <w:lang w:val="en-US" w:eastAsia="zh-CN" w:bidi="ar-SA"/>
            </w:rPr>
            <w:t>3.3.1核心设备与技术参数</w:t>
          </w:r>
          <w:r>
            <w:tab/>
          </w:r>
          <w:r>
            <w:fldChar w:fldCharType="begin"/>
          </w:r>
          <w:r>
            <w:instrText xml:space="preserve"> PAGEREF _Toc900112 \h </w:instrText>
          </w:r>
          <w:r>
            <w:fldChar w:fldCharType="separate"/>
          </w:r>
          <w:r>
            <w:t>9</w:t>
          </w:r>
          <w:r>
            <w:fldChar w:fldCharType="end"/>
          </w:r>
          <w:r>
            <w:fldChar w:fldCharType="end"/>
          </w:r>
        </w:p>
        <w:p>
          <w:pPr>
            <w:pStyle w:val="7"/>
            <w:tabs>
              <w:tab w:val="right" w:leader="dot" w:pos="8305"/>
            </w:tabs>
          </w:pPr>
          <w:r>
            <w:fldChar w:fldCharType="begin"/>
          </w:r>
          <w:r>
            <w:instrText xml:space="preserve"> HYPERLINK \l _Toc900113 </w:instrText>
          </w:r>
          <w:r>
            <w:fldChar w:fldCharType="separate"/>
          </w:r>
          <w:r>
            <w:rPr>
              <w:rFonts w:hint="eastAsia" w:ascii="宋体" w:hAnsi="宋体" w:eastAsia="宋体" w:cs="宋体"/>
              <w:snapToGrid w:val="0"/>
              <w:szCs w:val="24"/>
              <w:lang w:val="en-US" w:eastAsia="zh-CN" w:bidi="ar-SA"/>
            </w:rPr>
            <w:t>3.3.2运输作业流程</w:t>
          </w:r>
          <w:r>
            <w:tab/>
          </w:r>
          <w:r>
            <w:fldChar w:fldCharType="begin"/>
          </w:r>
          <w:r>
            <w:instrText xml:space="preserve"> PAGEREF _Toc900113 \h </w:instrText>
          </w:r>
          <w:r>
            <w:fldChar w:fldCharType="separate"/>
          </w:r>
          <w:r>
            <w:t>10</w:t>
          </w:r>
          <w:r>
            <w:fldChar w:fldCharType="end"/>
          </w:r>
          <w:r>
            <w:fldChar w:fldCharType="end"/>
          </w:r>
        </w:p>
        <w:p>
          <w:pPr>
            <w:pStyle w:val="12"/>
            <w:tabs>
              <w:tab w:val="right" w:leader="dot" w:pos="8305"/>
            </w:tabs>
          </w:pPr>
          <w:r>
            <w:fldChar w:fldCharType="begin"/>
          </w:r>
          <w:r>
            <w:instrText xml:space="preserve"> HYPERLINK \l _Toc900114 </w:instrText>
          </w:r>
          <w:r>
            <w:fldChar w:fldCharType="separate"/>
          </w:r>
          <w:r>
            <w:rPr>
              <w:rFonts w:hint="eastAsia" w:ascii="宋体" w:hAnsi="宋体" w:eastAsia="宋体" w:cs="宋体"/>
              <w:snapToGrid w:val="0"/>
              <w:szCs w:val="28"/>
              <w:lang w:val="en-US" w:eastAsia="zh-CN" w:bidi="ar-SA"/>
            </w:rPr>
            <w:t>3.4 试验数据采集</w:t>
          </w:r>
          <w:r>
            <w:tab/>
          </w:r>
          <w:r>
            <w:fldChar w:fldCharType="begin"/>
          </w:r>
          <w:r>
            <w:instrText xml:space="preserve"> PAGEREF _Toc900114 \h </w:instrText>
          </w:r>
          <w:r>
            <w:fldChar w:fldCharType="separate"/>
          </w:r>
          <w:r>
            <w:t>10</w:t>
          </w:r>
          <w:r>
            <w:fldChar w:fldCharType="end"/>
          </w:r>
          <w:r>
            <w:fldChar w:fldCharType="end"/>
          </w:r>
        </w:p>
        <w:p>
          <w:pPr>
            <w:pStyle w:val="12"/>
            <w:tabs>
              <w:tab w:val="right" w:leader="dot" w:pos="8305"/>
            </w:tabs>
          </w:pPr>
          <w:r>
            <w:fldChar w:fldCharType="begin"/>
          </w:r>
          <w:r>
            <w:instrText xml:space="preserve"> HYPERLINK \l _Toc900115 </w:instrText>
          </w:r>
          <w:r>
            <w:fldChar w:fldCharType="separate"/>
          </w:r>
          <w:r>
            <w:rPr>
              <w:rFonts w:hint="eastAsia" w:ascii="宋体" w:hAnsi="宋体" w:eastAsia="宋体" w:cs="宋体"/>
              <w:snapToGrid w:val="0"/>
              <w:szCs w:val="28"/>
              <w:lang w:val="en-US" w:eastAsia="zh-CN" w:bidi="ar-SA"/>
            </w:rPr>
            <w:t>3.5 检测报告自动生成</w:t>
          </w:r>
          <w:r>
            <w:tab/>
          </w:r>
          <w:r>
            <w:fldChar w:fldCharType="begin"/>
          </w:r>
          <w:r>
            <w:instrText xml:space="preserve"> PAGEREF _Toc900115 \h </w:instrText>
          </w:r>
          <w:r>
            <w:fldChar w:fldCharType="separate"/>
          </w:r>
          <w:r>
            <w:t>11</w:t>
          </w:r>
          <w:r>
            <w:fldChar w:fldCharType="end"/>
          </w:r>
          <w:r>
            <w:fldChar w:fldCharType="end"/>
          </w:r>
        </w:p>
        <w:p>
          <w:pPr>
            <w:pStyle w:val="12"/>
            <w:tabs>
              <w:tab w:val="right" w:leader="dot" w:pos="8305"/>
            </w:tabs>
          </w:pPr>
          <w:r>
            <w:fldChar w:fldCharType="begin"/>
          </w:r>
          <w:r>
            <w:instrText xml:space="preserve"> HYPERLINK \l _Toc900116 </w:instrText>
          </w:r>
          <w:r>
            <w:fldChar w:fldCharType="separate"/>
          </w:r>
          <w:r>
            <w:rPr>
              <w:rFonts w:hint="eastAsia" w:ascii="宋体" w:hAnsi="宋体" w:eastAsia="宋体" w:cs="宋体"/>
              <w:snapToGrid w:val="0"/>
              <w:szCs w:val="28"/>
              <w:lang w:val="en-US" w:eastAsia="zh-CN" w:bidi="ar-SA"/>
            </w:rPr>
            <w:t>3.6 “小浦”桌面智能体业务化应用</w:t>
          </w:r>
          <w:r>
            <w:tab/>
          </w:r>
          <w:r>
            <w:fldChar w:fldCharType="begin"/>
          </w:r>
          <w:r>
            <w:instrText xml:space="preserve"> PAGEREF _Toc900116 \h </w:instrText>
          </w:r>
          <w:r>
            <w:fldChar w:fldCharType="separate"/>
          </w:r>
          <w:r>
            <w:t>12</w:t>
          </w:r>
          <w:r>
            <w:fldChar w:fldCharType="end"/>
          </w:r>
          <w:r>
            <w:fldChar w:fldCharType="end"/>
          </w:r>
        </w:p>
        <w:p>
          <w:pPr>
            <w:pStyle w:val="7"/>
            <w:tabs>
              <w:tab w:val="right" w:leader="dot" w:pos="8305"/>
            </w:tabs>
          </w:pPr>
          <w:r>
            <w:fldChar w:fldCharType="begin"/>
          </w:r>
          <w:r>
            <w:instrText xml:space="preserve"> HYPERLINK \l _Toc900117 </w:instrText>
          </w:r>
          <w:r>
            <w:fldChar w:fldCharType="separate"/>
          </w:r>
          <w:r>
            <w:rPr>
              <w:rFonts w:hint="eastAsia" w:ascii="宋体" w:hAnsi="宋体" w:eastAsia="宋体" w:cs="宋体"/>
              <w:snapToGrid w:val="0"/>
              <w:szCs w:val="24"/>
              <w:lang w:val="en-US" w:eastAsia="zh-CN" w:bidi="ar-SA"/>
            </w:rPr>
            <w:t>3.6.1业务数据与权限接入</w:t>
          </w:r>
          <w:r>
            <w:tab/>
          </w:r>
          <w:r>
            <w:fldChar w:fldCharType="begin"/>
          </w:r>
          <w:r>
            <w:instrText xml:space="preserve"> PAGEREF _Toc900117 \h </w:instrText>
          </w:r>
          <w:r>
            <w:fldChar w:fldCharType="separate"/>
          </w:r>
          <w:r>
            <w:t>12</w:t>
          </w:r>
          <w:r>
            <w:fldChar w:fldCharType="end"/>
          </w:r>
          <w:r>
            <w:fldChar w:fldCharType="end"/>
          </w:r>
        </w:p>
        <w:p>
          <w:pPr>
            <w:pStyle w:val="7"/>
            <w:tabs>
              <w:tab w:val="right" w:leader="dot" w:pos="8305"/>
            </w:tabs>
          </w:pPr>
          <w:r>
            <w:fldChar w:fldCharType="begin"/>
          </w:r>
          <w:r>
            <w:instrText xml:space="preserve"> HYPERLINK \l _Toc900118 </w:instrText>
          </w:r>
          <w:r>
            <w:fldChar w:fldCharType="separate"/>
          </w:r>
          <w:r>
            <w:rPr>
              <w:rFonts w:hint="eastAsia" w:ascii="宋体" w:hAnsi="宋体" w:eastAsia="宋体" w:cs="宋体"/>
              <w:snapToGrid w:val="0"/>
              <w:szCs w:val="24"/>
              <w:lang w:val="en-US" w:eastAsia="zh-CN" w:bidi="ar-SA"/>
            </w:rPr>
            <w:t>3.6.2业务工具封装</w:t>
          </w:r>
          <w:r>
            <w:tab/>
          </w:r>
          <w:r>
            <w:fldChar w:fldCharType="begin"/>
          </w:r>
          <w:r>
            <w:instrText xml:space="preserve"> PAGEREF _Toc900118 \h </w:instrText>
          </w:r>
          <w:r>
            <w:fldChar w:fldCharType="separate"/>
          </w:r>
          <w:r>
            <w:t>13</w:t>
          </w:r>
          <w:r>
            <w:fldChar w:fldCharType="end"/>
          </w:r>
          <w:r>
            <w:fldChar w:fldCharType="end"/>
          </w:r>
        </w:p>
        <w:p>
          <w:pPr>
            <w:pStyle w:val="7"/>
            <w:tabs>
              <w:tab w:val="right" w:leader="dot" w:pos="8305"/>
            </w:tabs>
          </w:pPr>
          <w:r>
            <w:fldChar w:fldCharType="begin"/>
          </w:r>
          <w:r>
            <w:instrText xml:space="preserve"> HYPERLINK \l _Toc900119 </w:instrText>
          </w:r>
          <w:r>
            <w:fldChar w:fldCharType="separate"/>
          </w:r>
          <w:r>
            <w:rPr>
              <w:rFonts w:hint="eastAsia" w:ascii="宋体" w:hAnsi="宋体" w:eastAsia="宋体" w:cs="宋体"/>
              <w:snapToGrid w:val="0"/>
              <w:szCs w:val="24"/>
              <w:lang w:val="en-US" w:eastAsia="zh-CN" w:bidi="ar-SA"/>
            </w:rPr>
            <w:t>3.6.3信息提取与智能填表</w:t>
          </w:r>
          <w:r>
            <w:tab/>
          </w:r>
          <w:r>
            <w:fldChar w:fldCharType="begin"/>
          </w:r>
          <w:r>
            <w:instrText xml:space="preserve"> PAGEREF _Toc900119 \h </w:instrText>
          </w:r>
          <w:r>
            <w:fldChar w:fldCharType="separate"/>
          </w:r>
          <w:r>
            <w:t>13</w:t>
          </w:r>
          <w:r>
            <w:fldChar w:fldCharType="end"/>
          </w:r>
          <w:r>
            <w:fldChar w:fldCharType="end"/>
          </w:r>
        </w:p>
        <w:p>
          <w:pPr>
            <w:pStyle w:val="7"/>
            <w:tabs>
              <w:tab w:val="right" w:leader="dot" w:pos="8305"/>
            </w:tabs>
          </w:pPr>
          <w:r>
            <w:fldChar w:fldCharType="begin"/>
          </w:r>
          <w:r>
            <w:instrText xml:space="preserve"> HYPERLINK \l _Toc900120 </w:instrText>
          </w:r>
          <w:r>
            <w:fldChar w:fldCharType="separate"/>
          </w:r>
          <w:r>
            <w:rPr>
              <w:rFonts w:hint="eastAsia" w:ascii="宋体" w:hAnsi="宋体" w:eastAsia="宋体" w:cs="宋体"/>
              <w:snapToGrid w:val="0"/>
              <w:szCs w:val="24"/>
              <w:lang w:val="en-US" w:eastAsia="zh-CN" w:bidi="ar-SA"/>
            </w:rPr>
            <w:t>3.6.4多角色业务查询</w:t>
          </w:r>
          <w:r>
            <w:tab/>
          </w:r>
          <w:r>
            <w:fldChar w:fldCharType="begin"/>
          </w:r>
          <w:r>
            <w:instrText xml:space="preserve"> PAGEREF _Toc900120 \h </w:instrText>
          </w:r>
          <w:r>
            <w:fldChar w:fldCharType="separate"/>
          </w:r>
          <w:r>
            <w:t>13</w:t>
          </w:r>
          <w:r>
            <w:fldChar w:fldCharType="end"/>
          </w:r>
          <w:r>
            <w:fldChar w:fldCharType="end"/>
          </w:r>
        </w:p>
        <w:p>
          <w:pPr>
            <w:pStyle w:val="11"/>
            <w:tabs>
              <w:tab w:val="right" w:leader="dot" w:pos="8305"/>
            </w:tabs>
          </w:pPr>
          <w:r>
            <w:fldChar w:fldCharType="begin"/>
          </w:r>
          <w:r>
            <w:instrText xml:space="preserve"> HYPERLINK \l _Toc900121 </w:instrText>
          </w:r>
          <w:r>
            <w:fldChar w:fldCharType="separate"/>
          </w:r>
          <w:r>
            <w:rPr>
              <w:rFonts w:hint="eastAsia" w:ascii="宋体" w:hAnsi="宋体" w:eastAsia="宋体" w:cs="宋体"/>
              <w:snapToGrid w:val="0"/>
              <w:szCs w:val="28"/>
              <w:lang w:val="en-US" w:eastAsia="zh-CN" w:bidi="ar-SA"/>
            </w:rPr>
            <w:t>四、项目计划</w:t>
          </w:r>
          <w:r>
            <w:tab/>
          </w:r>
          <w:r>
            <w:fldChar w:fldCharType="begin"/>
          </w:r>
          <w:r>
            <w:instrText xml:space="preserve"> PAGEREF _Toc900121 \h </w:instrText>
          </w:r>
          <w:r>
            <w:fldChar w:fldCharType="separate"/>
          </w:r>
          <w:r>
            <w:t>14</w:t>
          </w:r>
          <w:r>
            <w:fldChar w:fldCharType="end"/>
          </w:r>
          <w:r>
            <w:fldChar w:fldCharType="end"/>
          </w:r>
        </w:p>
        <w:p>
          <w:pPr>
            <w:pStyle w:val="12"/>
            <w:tabs>
              <w:tab w:val="right" w:leader="dot" w:pos="8305"/>
            </w:tabs>
          </w:pPr>
          <w:r>
            <w:fldChar w:fldCharType="begin"/>
          </w:r>
          <w:r>
            <w:instrText xml:space="preserve"> HYPERLINK \l _Toc900122 </w:instrText>
          </w:r>
          <w:r>
            <w:fldChar w:fldCharType="separate"/>
          </w:r>
          <w:r>
            <w:rPr>
              <w:rFonts w:hint="eastAsia" w:ascii="宋体" w:hAnsi="宋体" w:eastAsia="宋体" w:cs="宋体"/>
              <w:snapToGrid w:val="0"/>
              <w:szCs w:val="28"/>
              <w:lang w:val="en-US" w:eastAsia="zh-CN" w:bidi="ar-SA"/>
            </w:rPr>
            <w:t>4.1 工作安排</w:t>
          </w:r>
          <w:r>
            <w:tab/>
          </w:r>
          <w:r>
            <w:fldChar w:fldCharType="begin"/>
          </w:r>
          <w:r>
            <w:instrText xml:space="preserve"> PAGEREF _Toc900122 \h </w:instrText>
          </w:r>
          <w:r>
            <w:fldChar w:fldCharType="separate"/>
          </w:r>
          <w:r>
            <w:t>14</w:t>
          </w:r>
          <w:r>
            <w:fldChar w:fldCharType="end"/>
          </w:r>
          <w:r>
            <w:fldChar w:fldCharType="end"/>
          </w:r>
        </w:p>
        <w:p>
          <w:pPr>
            <w:pStyle w:val="12"/>
            <w:tabs>
              <w:tab w:val="right" w:leader="dot" w:pos="8305"/>
            </w:tabs>
          </w:pPr>
          <w:r>
            <w:fldChar w:fldCharType="begin"/>
          </w:r>
          <w:r>
            <w:instrText xml:space="preserve"> HYPERLINK \l _Toc900123 </w:instrText>
          </w:r>
          <w:r>
            <w:fldChar w:fldCharType="separate"/>
          </w:r>
          <w:r>
            <w:rPr>
              <w:rFonts w:hint="eastAsia" w:ascii="宋体" w:hAnsi="宋体" w:eastAsia="宋体" w:cs="宋体"/>
              <w:snapToGrid w:val="0"/>
              <w:szCs w:val="28"/>
              <w:lang w:val="en-US" w:eastAsia="zh-CN" w:bidi="ar-SA"/>
            </w:rPr>
            <w:t>4.2 验收指标</w:t>
          </w:r>
          <w:r>
            <w:tab/>
          </w:r>
          <w:r>
            <w:fldChar w:fldCharType="begin"/>
          </w:r>
          <w:r>
            <w:instrText xml:space="preserve"> PAGEREF _Toc900123 \h </w:instrText>
          </w:r>
          <w:r>
            <w:fldChar w:fldCharType="separate"/>
          </w:r>
          <w:r>
            <w:t>14</w:t>
          </w:r>
          <w:r>
            <w:fldChar w:fldCharType="end"/>
          </w:r>
          <w:r>
            <w:fldChar w:fldCharType="end"/>
          </w:r>
        </w:p>
        <w:p>
          <w:pPr>
            <w:pStyle w:val="11"/>
            <w:tabs>
              <w:tab w:val="right" w:leader="dot" w:pos="8305"/>
            </w:tabs>
          </w:pPr>
          <w:r>
            <w:fldChar w:fldCharType="begin"/>
          </w:r>
          <w:r>
            <w:instrText xml:space="preserve"> HYPERLINK \l _Toc900124 </w:instrText>
          </w:r>
          <w:r>
            <w:fldChar w:fldCharType="separate"/>
          </w:r>
          <w:r>
            <w:rPr>
              <w:rFonts w:hint="eastAsia" w:ascii="宋体" w:hAnsi="宋体" w:eastAsia="宋体" w:cs="宋体"/>
              <w:snapToGrid w:val="0"/>
              <w:szCs w:val="28"/>
              <w:lang w:val="en-US" w:eastAsia="zh-CN" w:bidi="ar-SA"/>
            </w:rPr>
            <w:t>五、费用测算</w:t>
          </w:r>
          <w:r>
            <w:tab/>
          </w:r>
          <w:r>
            <w:fldChar w:fldCharType="begin"/>
          </w:r>
          <w:r>
            <w:instrText xml:space="preserve"> PAGEREF _Toc900124 \h </w:instrText>
          </w:r>
          <w:r>
            <w:fldChar w:fldCharType="separate"/>
          </w:r>
          <w:r>
            <w:t>15</w:t>
          </w:r>
          <w:r>
            <w:fldChar w:fldCharType="end"/>
          </w:r>
          <w:r>
            <w:fldChar w:fldCharType="end"/>
          </w:r>
        </w:p>
        <w:p>
          <w:pPr>
            <w:pStyle w:val="12"/>
            <w:tabs>
              <w:tab w:val="right" w:leader="dot" w:pos="8305"/>
            </w:tabs>
          </w:pPr>
          <w:r>
            <w:fldChar w:fldCharType="begin"/>
          </w:r>
          <w:r>
            <w:instrText xml:space="preserve"> HYPERLINK \l _Toc900125 </w:instrText>
          </w:r>
          <w:r>
            <w:fldChar w:fldCharType="separate"/>
          </w:r>
          <w:r>
            <w:rPr>
              <w:rFonts w:hint="eastAsia" w:ascii="宋体" w:hAnsi="宋体" w:eastAsia="宋体" w:cs="宋体"/>
              <w:snapToGrid w:val="0"/>
              <w:szCs w:val="28"/>
              <w:lang w:val="en-US" w:eastAsia="zh-CN" w:bidi="ar-SA"/>
            </w:rPr>
            <w:t>5.1 硬件报价清单</w:t>
          </w:r>
          <w:r>
            <w:tab/>
          </w:r>
          <w:r>
            <w:fldChar w:fldCharType="begin"/>
          </w:r>
          <w:r>
            <w:instrText xml:space="preserve"> PAGEREF _Toc900125 \h </w:instrText>
          </w:r>
          <w:r>
            <w:fldChar w:fldCharType="separate"/>
          </w:r>
          <w:r>
            <w:t>15</w:t>
          </w:r>
          <w:r>
            <w:fldChar w:fldCharType="end"/>
          </w:r>
          <w:r>
            <w:fldChar w:fldCharType="end"/>
          </w:r>
        </w:p>
        <w:p>
          <w:pPr>
            <w:pStyle w:val="12"/>
            <w:tabs>
              <w:tab w:val="right" w:leader="dot" w:pos="8305"/>
            </w:tabs>
          </w:pPr>
          <w:r>
            <w:fldChar w:fldCharType="begin"/>
          </w:r>
          <w:r>
            <w:instrText xml:space="preserve"> HYPERLINK \l _Toc900126 </w:instrText>
          </w:r>
          <w:r>
            <w:fldChar w:fldCharType="separate"/>
          </w:r>
          <w:r>
            <w:rPr>
              <w:rFonts w:hint="eastAsia" w:ascii="宋体" w:hAnsi="宋体" w:eastAsia="宋体" w:cs="宋体"/>
              <w:snapToGrid w:val="0"/>
              <w:szCs w:val="28"/>
              <w:lang w:val="en-US" w:eastAsia="zh-CN" w:bidi="ar-SA"/>
            </w:rPr>
            <w:t>5.2 软件报价清单</w:t>
          </w:r>
          <w:r>
            <w:tab/>
          </w:r>
          <w:r>
            <w:fldChar w:fldCharType="begin"/>
          </w:r>
          <w:r>
            <w:instrText xml:space="preserve"> PAGEREF _Toc900126 \h </w:instrText>
          </w:r>
          <w:r>
            <w:fldChar w:fldCharType="separate"/>
          </w:r>
          <w:r>
            <w:t>15</w:t>
          </w:r>
          <w:r>
            <w:fldChar w:fldCharType="end"/>
          </w:r>
          <w:r>
            <w:fldChar w:fldCharType="end"/>
          </w:r>
        </w:p>
        <w:p w14:paraId="63A8EC1D">
          <w:pPr>
            <w:sectPr>
              <w:headerReference r:id="rId4" w:type="default"/>
              <w:pgSz w:w="11905" w:h="16840"/>
              <w:cols w:space="720" w:num="1"/>
            </w:sectPr>
          </w:pPr>
          <w:r>
            <w:fldChar w:fldCharType="end"/>
          </w:r>
        </w:p>
      </w:sdtContent>
    </w:sdt>
    <w:p>
      <w:pPr>
        <w:keepNext/>
        <w:keepLines w:val="0"/>
        <w:pageBreakBefore w:val="0"/>
        <w:widowControl/>
        <w:kinsoku w:val="0"/>
        <w:wordWrap/>
        <w:overflowPunct/>
        <w:topLinePunct w:val="0"/>
        <w:autoSpaceDE w:val="0"/>
        <w:autoSpaceDN w:val="0"/>
        <w:bidi w:val="0"/>
        <w:adjustRightInd w:val="0"/>
        <w:snapToGrid w:val="0"/>
        <w:spacing w:before="120" w:after="0" w:line="360" w:lineRule="auto"/>
        <w:ind w:left="0" w:firstLine="0"/>
        <w:jc w:val="left"/>
        <w:textAlignment w:val="baseline"/>
        <w:outlineLvl w:val="0"/>
        <w:rPr>
          <w:rFonts w:hint="eastAsia" w:ascii="宋体" w:hAnsi="宋体" w:eastAsia="宋体" w:cs="宋体"/>
          <w:b/>
          <w:snapToGrid w:val="0"/>
          <w:color w:val="000000"/>
          <w:sz w:val="28"/>
          <w:szCs w:val="28"/>
          <w:lang w:val="en-US" w:eastAsia="zh-CN" w:bidi="ar-SA"/>
        </w:rPr>
      </w:pPr>
      <w:bookmarkStart w:id="100" w:name="_Toc900100"/>
      <w:r>
        <w:rPr>
          <w:rFonts w:hint="eastAsia" w:ascii="宋体" w:hAnsi="宋体" w:eastAsia="宋体" w:cs="宋体"/>
          <w:b/>
          <w:snapToGrid w:val="0"/>
          <w:color w:val="000000"/>
          <w:sz w:val="28"/>
          <w:szCs w:val="28"/>
          <w:lang w:val="en-US" w:eastAsia="zh-CN" w:bidi="ar-SA"/>
        </w:rPr>
        <w:t>一、项目概述</w:t>
      </w:r>
      <w:bookmarkEnd w:id="100"/>
    </w:p>
    <w:p>
      <w:pPr>
        <w:keepNext/>
        <w:keepLines w:val="0"/>
        <w:pageBreakBefore w:val="0"/>
        <w:widowControl/>
        <w:kinsoku w:val="0"/>
        <w:wordWrap/>
        <w:overflowPunct/>
        <w:topLinePunct w:val="0"/>
        <w:autoSpaceDE w:val="0"/>
        <w:autoSpaceDN w:val="0"/>
        <w:bidi w:val="0"/>
        <w:adjustRightInd w:val="0"/>
        <w:snapToGrid w:val="0"/>
        <w:spacing w:before="120" w:after="0" w:line="360" w:lineRule="auto"/>
        <w:ind w:left="0" w:firstLine="0"/>
        <w:jc w:val="left"/>
        <w:textAlignment w:val="baseline"/>
        <w:outlineLvl w:val="1"/>
        <w:rPr>
          <w:rFonts w:hint="eastAsia" w:ascii="宋体" w:hAnsi="宋体" w:eastAsia="宋体" w:cs="宋体"/>
          <w:b/>
          <w:snapToGrid w:val="0"/>
          <w:color w:val="000000"/>
          <w:sz w:val="28"/>
          <w:szCs w:val="28"/>
          <w:lang w:val="en-US" w:eastAsia="zh-CN" w:bidi="ar-SA"/>
        </w:rPr>
      </w:pPr>
      <w:bookmarkStart w:id="101" w:name="_Toc900101"/>
      <w:r>
        <w:rPr>
          <w:rFonts w:hint="eastAsia" w:ascii="宋体" w:hAnsi="宋体" w:eastAsia="宋体" w:cs="宋体"/>
          <w:b/>
          <w:snapToGrid w:val="0"/>
          <w:color w:val="000000"/>
          <w:sz w:val="28"/>
          <w:szCs w:val="28"/>
          <w:lang w:val="en-US" w:eastAsia="zh-CN" w:bidi="ar-SA"/>
        </w:rPr>
        <w:t>1.1 项目背景</w:t>
      </w:r>
      <w:bookmarkEnd w:id="101"/>
    </w:p>
    <w:p>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 xml:space="preserve">随着公路工程建设、运营养护及质量监管持续向数字化、智能化方向发展，试验检测机构的业务管理模式正由单一业务系统的信息化应用，逐步转向覆盖委托受理、任务下发、样品流转、数据采集与报告编制全过程的协同管理。各业务环节之间信息与实物的衔接效率，已成为影响检测服务质量与管理水平的重要因素。</w:t>
      </w:r>
    </w:p>
    <w:p>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 xml:space="preserve">浦江网联试验室前期已围绕试验室数字化与人工智能应用开展持续建设，建成智慧试验室平台，形成试验室全景展示、委托系统、安全管理、化学品管理及资产管理等功能模块，部署门禁与分场所视频监控，并上线智能语音助手“小浦”，为本期建设奠定了平台与数据基础。</w:t>
      </w:r>
    </w:p>
    <w:p>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 xml:space="preserve">在此基础上，本期建设以“扫码委托—任务下发—样品运输—试验数据采集—检测报告生成”的业务主流程为主线，将检测报告自动生成作为核心建设内容，优先保障其资源投入；同时优化委托受理与任务下发流程，建立拍照识别与设备直采相结合的试验数据采集与确认机制，引入样品运输机器人实现样品的自主运输，并将实时业务数据接入“小浦”，形成从委托受理到报告出具的完整业务链条。</w:t>
      </w:r>
    </w:p>
    <w:p>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 xml:space="preserve">本期建设旨在推动试验室由以系统支撑为主、局部环节联动的运行模式，转向全过程贯通、软硬件协同、进展实时查看与智能化交互的运行模式。</w:t>
      </w:r>
    </w:p>
    <w:p>
      <w:pPr>
        <w:keepNext/>
        <w:keepLines w:val="0"/>
        <w:pageBreakBefore w:val="0"/>
        <w:widowControl/>
        <w:kinsoku w:val="0"/>
        <w:wordWrap/>
        <w:overflowPunct/>
        <w:topLinePunct w:val="0"/>
        <w:autoSpaceDE w:val="0"/>
        <w:autoSpaceDN w:val="0"/>
        <w:bidi w:val="0"/>
        <w:adjustRightInd w:val="0"/>
        <w:snapToGrid w:val="0"/>
        <w:spacing w:before="120" w:after="0" w:line="360" w:lineRule="auto"/>
        <w:ind w:left="0" w:firstLine="0"/>
        <w:jc w:val="left"/>
        <w:textAlignment w:val="baseline"/>
        <w:outlineLvl w:val="1"/>
        <w:rPr>
          <w:rFonts w:hint="eastAsia" w:ascii="宋体" w:hAnsi="宋体" w:eastAsia="宋体" w:cs="宋体"/>
          <w:b/>
          <w:snapToGrid w:val="0"/>
          <w:color w:val="000000"/>
          <w:sz w:val="28"/>
          <w:szCs w:val="28"/>
          <w:lang w:val="en-US" w:eastAsia="zh-CN" w:bidi="ar-SA"/>
        </w:rPr>
      </w:pPr>
      <w:bookmarkStart w:id="102" w:name="_Toc900102"/>
      <w:r>
        <w:rPr>
          <w:rFonts w:hint="eastAsia" w:ascii="宋体" w:hAnsi="宋体" w:eastAsia="宋体" w:cs="宋体"/>
          <w:b/>
          <w:snapToGrid w:val="0"/>
          <w:color w:val="000000"/>
          <w:sz w:val="28"/>
          <w:szCs w:val="28"/>
          <w:lang w:val="en-US" w:eastAsia="zh-CN" w:bidi="ar-SA"/>
        </w:rPr>
        <w:t>1.2 项目现状</w:t>
      </w:r>
      <w:bookmarkEnd w:id="102"/>
    </w:p>
    <w:p>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 xml:space="preserve">经过前期建设，试验室在以下方面已形成可供本期利用的基础：</w:t>
      </w:r>
    </w:p>
    <w:p>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b/>
          <w:bCs/>
          <w:snapToGrid w:val="0"/>
          <w:color w:val="000000"/>
          <w:sz w:val="24"/>
          <w:szCs w:val="24"/>
          <w:lang w:val="en-US" w:eastAsia="zh-CN" w:bidi="ar-SA"/>
        </w:rPr>
        <w:t xml:space="preserve">在平台建设方面</w:t>
      </w:r>
      <w:r>
        <w:rPr>
          <w:rFonts w:hint="eastAsia" w:ascii="宋体" w:hAnsi="宋体" w:eastAsia="宋体" w:cs="宋体"/>
          <w:snapToGrid w:val="0"/>
          <w:color w:val="000000"/>
          <w:sz w:val="24"/>
          <w:szCs w:val="24"/>
          <w:lang w:val="en-US" w:eastAsia="zh-CN" w:bidi="ar-SA"/>
        </w:rPr>
        <w:t xml:space="preserve">，已建成智慧试验室平台，集成试验室全景展示、委托系统、安全管理、化学品管理与资产管理等功能模块。本期新增的功能将在该平台内统一集成。</w:t>
      </w:r>
    </w:p>
    <w:p>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b/>
          <w:bCs/>
          <w:snapToGrid w:val="0"/>
          <w:color w:val="000000"/>
          <w:sz w:val="24"/>
          <w:szCs w:val="24"/>
          <w:lang w:val="en-US" w:eastAsia="zh-CN" w:bidi="ar-SA"/>
        </w:rPr>
        <w:t xml:space="preserve">在检测业务方面</w:t>
      </w:r>
      <w:r>
        <w:rPr>
          <w:rFonts w:hint="eastAsia" w:ascii="宋体" w:hAnsi="宋体" w:eastAsia="宋体" w:cs="宋体"/>
          <w:snapToGrid w:val="0"/>
          <w:color w:val="000000"/>
          <w:sz w:val="24"/>
          <w:szCs w:val="24"/>
          <w:lang w:val="en-US" w:eastAsia="zh-CN" w:bidi="ar-SA"/>
        </w:rPr>
        <w:t xml:space="preserve">，委托系统已覆盖委托登记、任务下达、数据录入至报告打印等主要环节，各检测项目已配置计算公式，并具备纸质原始记录智能识别与常规检测报告自动生成能力。本期在此基础上，重点建设试验数据采集与检测报告自动生成之间的自动衔接。</w:t>
      </w:r>
    </w:p>
    <w:p>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b/>
          <w:bCs/>
          <w:snapToGrid w:val="0"/>
          <w:color w:val="000000"/>
          <w:sz w:val="24"/>
          <w:szCs w:val="24"/>
          <w:lang w:val="en-US" w:eastAsia="zh-CN" w:bidi="ar-SA"/>
        </w:rPr>
        <w:t xml:space="preserve">在智能交互方面</w:t>
      </w:r>
      <w:r>
        <w:rPr>
          <w:rFonts w:hint="eastAsia" w:ascii="宋体" w:hAnsi="宋体" w:eastAsia="宋体" w:cs="宋体"/>
          <w:snapToGrid w:val="0"/>
          <w:color w:val="000000"/>
          <w:sz w:val="24"/>
          <w:szCs w:val="24"/>
          <w:lang w:val="en-US" w:eastAsia="zh-CN" w:bidi="ar-SA"/>
        </w:rPr>
        <w:t xml:space="preserve">，“小浦”已能够通过语音完成行业知识问答、检测任务信息查询和部分设备控制，并与烘箱、软化点仪、针入度仪、延度仪等设备实现初步联动。本期为“小浦”接入实时业务数据，扩展其业务查询与辅助操作能力。</w:t>
      </w:r>
    </w:p>
    <w:p>
      <w:pPr>
        <w:keepNext/>
        <w:keepLines w:val="0"/>
        <w:pageBreakBefore w:val="0"/>
        <w:widowControl/>
        <w:kinsoku w:val="0"/>
        <w:wordWrap/>
        <w:overflowPunct/>
        <w:topLinePunct w:val="0"/>
        <w:autoSpaceDE w:val="0"/>
        <w:autoSpaceDN w:val="0"/>
        <w:bidi w:val="0"/>
        <w:adjustRightInd w:val="0"/>
        <w:snapToGrid w:val="0"/>
        <w:spacing w:before="120" w:after="0" w:line="360" w:lineRule="auto"/>
        <w:ind w:left="0" w:firstLine="0"/>
        <w:jc w:val="left"/>
        <w:textAlignment w:val="baseline"/>
        <w:outlineLvl w:val="1"/>
        <w:rPr>
          <w:rFonts w:hint="eastAsia" w:ascii="宋体" w:hAnsi="宋体" w:eastAsia="宋体" w:cs="宋体"/>
          <w:b/>
          <w:snapToGrid w:val="0"/>
          <w:color w:val="000000"/>
          <w:sz w:val="28"/>
          <w:szCs w:val="28"/>
          <w:lang w:val="en-US" w:eastAsia="zh-CN" w:bidi="ar-SA"/>
        </w:rPr>
      </w:pPr>
      <w:bookmarkStart w:id="103" w:name="_Toc900103"/>
      <w:r>
        <w:rPr>
          <w:rFonts w:hint="eastAsia" w:ascii="宋体" w:hAnsi="宋体" w:eastAsia="宋体" w:cs="宋体"/>
          <w:b/>
          <w:snapToGrid w:val="0"/>
          <w:color w:val="000000"/>
          <w:sz w:val="28"/>
          <w:szCs w:val="28"/>
          <w:lang w:val="en-US" w:eastAsia="zh-CN" w:bidi="ar-SA"/>
        </w:rPr>
        <w:t>1.3 建设目标</w:t>
      </w:r>
      <w:bookmarkEnd w:id="103"/>
    </w:p>
    <w:p>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 xml:space="preserve">本期建设在继承前期成果的基础上，以全过程贯通、软硬件协同、进展实时查看和智能化交互为目标，具体包括以下五个方面。</w:t>
      </w:r>
    </w:p>
    <w:p>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b/>
          <w:bCs/>
          <w:snapToGrid w:val="0"/>
          <w:color w:val="000000"/>
          <w:sz w:val="24"/>
          <w:szCs w:val="24"/>
          <w:lang w:val="en-US" w:eastAsia="zh-CN" w:bidi="ar-SA"/>
        </w:rPr>
        <w:t xml:space="preserve">第一，贯通委托至报告的业务主流程。</w:t>
      </w:r>
      <w:r>
        <w:rPr>
          <w:rFonts w:hint="eastAsia" w:ascii="宋体" w:hAnsi="宋体" w:eastAsia="宋体" w:cs="宋体"/>
          <w:snapToGrid w:val="0"/>
          <w:color w:val="000000"/>
          <w:sz w:val="24"/>
          <w:szCs w:val="24"/>
          <w:lang w:val="en-US" w:eastAsia="zh-CN" w:bidi="ar-SA"/>
        </w:rPr>
        <w:t xml:space="preserve"> 按照扫码委托、任务下发、样品运输、试验数据采集、检测报告生成的顺序梳理业务流程，使一份委托从受理到报告出具的各环节联动运行。</w:t>
      </w:r>
    </w:p>
    <w:p>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b/>
          <w:bCs/>
          <w:snapToGrid w:val="0"/>
          <w:color w:val="000000"/>
          <w:sz w:val="24"/>
          <w:szCs w:val="24"/>
          <w:lang w:val="en-US" w:eastAsia="zh-CN" w:bidi="ar-SA"/>
        </w:rPr>
        <w:t xml:space="preserve">第二，实现检测报告自动生成。</w:t>
      </w:r>
      <w:r>
        <w:rPr>
          <w:rFonts w:hint="eastAsia" w:ascii="宋体" w:hAnsi="宋体" w:eastAsia="宋体" w:cs="宋体"/>
          <w:snapToGrid w:val="0"/>
          <w:color w:val="000000"/>
          <w:sz w:val="24"/>
          <w:szCs w:val="24"/>
          <w:lang w:val="en-US" w:eastAsia="zh-CN" w:bidi="ar-SA"/>
        </w:rPr>
        <w:t xml:space="preserve"> 作为本期核心建设内容，依据试验数据与既有计算公式自动完成计算，并按报告模板生成试验报告初稿；桥检报告沿用现有成熟框架，纳入现有功能模块统一使用。</w:t>
      </w:r>
    </w:p>
    <w:p>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b/>
          <w:bCs/>
          <w:snapToGrid w:val="0"/>
          <w:color w:val="000000"/>
          <w:sz w:val="24"/>
          <w:szCs w:val="24"/>
          <w:lang w:val="en-US" w:eastAsia="zh-CN" w:bidi="ar-SA"/>
        </w:rPr>
        <w:t xml:space="preserve">第三，建立试验数据采集体系。</w:t>
      </w:r>
      <w:r>
        <w:rPr>
          <w:rFonts w:hint="eastAsia" w:ascii="宋体" w:hAnsi="宋体" w:eastAsia="宋体" w:cs="宋体"/>
          <w:snapToGrid w:val="0"/>
          <w:color w:val="000000"/>
          <w:sz w:val="24"/>
          <w:szCs w:val="24"/>
          <w:lang w:val="en-US" w:eastAsia="zh-CN" w:bidi="ar-SA"/>
        </w:rPr>
        <w:t xml:space="preserve"> 采用拍照识别与设备直采相结合的方式采集试验数据，使不同类型设备产生的试验数据统一进入业务系统；随着数据积累持续迭代识别模型，逐步提高识别准确率。</w:t>
      </w:r>
    </w:p>
    <w:p>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b/>
          <w:bCs/>
          <w:snapToGrid w:val="0"/>
          <w:color w:val="000000"/>
          <w:sz w:val="24"/>
          <w:szCs w:val="24"/>
          <w:lang w:val="en-US" w:eastAsia="zh-CN" w:bidi="ar-SA"/>
        </w:rPr>
        <w:t xml:space="preserve">第四，推动“小浦”桌面智能体的业务化应用。</w:t>
      </w:r>
      <w:r>
        <w:rPr>
          <w:rFonts w:hint="eastAsia" w:ascii="宋体" w:hAnsi="宋体" w:eastAsia="宋体" w:cs="宋体"/>
          <w:snapToGrid w:val="0"/>
          <w:color w:val="000000"/>
          <w:sz w:val="24"/>
          <w:szCs w:val="24"/>
          <w:lang w:val="en-US" w:eastAsia="zh-CN" w:bidi="ar-SA"/>
        </w:rPr>
        <w:t xml:space="preserve"> 为“小浦”接入委托、任务、试验数据与报告等业务数据，使其能够在委托填报、业务查询与报告校核等场景中提供交互服务。</w:t>
      </w:r>
    </w:p>
    <w:p>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b/>
          <w:bCs/>
          <w:snapToGrid w:val="0"/>
          <w:color w:val="000000"/>
          <w:sz w:val="24"/>
          <w:szCs w:val="24"/>
          <w:lang w:val="en-US" w:eastAsia="zh-CN" w:bidi="ar-SA"/>
        </w:rPr>
        <w:t xml:space="preserve">第五，引入样品智能运输系统。</w:t>
      </w:r>
      <w:r>
        <w:rPr>
          <w:rFonts w:hint="eastAsia" w:ascii="宋体" w:hAnsi="宋体" w:eastAsia="宋体" w:cs="宋体"/>
          <w:snapToGrid w:val="0"/>
          <w:color w:val="000000"/>
          <w:sz w:val="24"/>
          <w:szCs w:val="24"/>
          <w:lang w:val="en-US" w:eastAsia="zh-CN" w:bidi="ar-SA"/>
        </w:rPr>
        <w:t xml:space="preserve"> 配置工业搬运机器人，实现样品在委托前台与试验室之间的自主运输。</w:t>
      </w:r>
    </w:p>
    <w:p>
      <w:pPr>
        <w:keepNext/>
        <w:keepLines w:val="0"/>
        <w:pageBreakBefore/>
        <w:widowControl/>
        <w:kinsoku w:val="0"/>
        <w:wordWrap/>
        <w:overflowPunct/>
        <w:topLinePunct w:val="0"/>
        <w:autoSpaceDE w:val="0"/>
        <w:autoSpaceDN w:val="0"/>
        <w:bidi w:val="0"/>
        <w:adjustRightInd w:val="0"/>
        <w:snapToGrid w:val="0"/>
        <w:spacing w:before="120" w:after="0" w:line="360" w:lineRule="auto"/>
        <w:ind w:left="0" w:firstLine="0"/>
        <w:jc w:val="left"/>
        <w:textAlignment w:val="baseline"/>
        <w:outlineLvl w:val="0"/>
        <w:rPr>
          <w:rFonts w:hint="eastAsia" w:ascii="宋体" w:hAnsi="宋体" w:eastAsia="宋体" w:cs="宋体"/>
          <w:b/>
          <w:snapToGrid w:val="0"/>
          <w:color w:val="000000"/>
          <w:sz w:val="28"/>
          <w:szCs w:val="28"/>
          <w:lang w:val="en-US" w:eastAsia="zh-CN" w:bidi="ar-SA"/>
        </w:rPr>
      </w:pPr>
      <w:bookmarkStart w:id="104" w:name="_Toc900104"/>
      <w:r>
        <w:rPr>
          <w:rFonts w:hint="eastAsia" w:ascii="宋体" w:hAnsi="宋体" w:eastAsia="宋体" w:cs="宋体"/>
          <w:b/>
          <w:snapToGrid w:val="0"/>
          <w:color w:val="000000"/>
          <w:sz w:val="28"/>
          <w:szCs w:val="28"/>
          <w:lang w:val="en-US" w:eastAsia="zh-CN" w:bidi="ar-SA"/>
        </w:rPr>
        <w:t>二、总体架构</w:t>
      </w:r>
      <w:bookmarkEnd w:id="104"/>
    </w:p>
    <w:p>
      <w:pPr>
        <w:keepNext/>
        <w:keepLines w:val="0"/>
        <w:pageBreakBefore w:val="0"/>
        <w:widowControl/>
        <w:kinsoku w:val="0"/>
        <w:wordWrap/>
        <w:overflowPunct/>
        <w:topLinePunct w:val="0"/>
        <w:autoSpaceDE w:val="0"/>
        <w:autoSpaceDN w:val="0"/>
        <w:bidi w:val="0"/>
        <w:adjustRightInd w:val="0"/>
        <w:snapToGrid w:val="0"/>
        <w:spacing w:before="120" w:after="0" w:line="360" w:lineRule="auto"/>
        <w:ind w:left="0" w:firstLine="0"/>
        <w:jc w:val="left"/>
        <w:textAlignment w:val="baseline"/>
        <w:outlineLvl w:val="1"/>
        <w:rPr>
          <w:rFonts w:hint="eastAsia" w:ascii="宋体" w:hAnsi="宋体" w:eastAsia="宋体" w:cs="宋体"/>
          <w:b/>
          <w:snapToGrid w:val="0"/>
          <w:color w:val="000000"/>
          <w:sz w:val="28"/>
          <w:szCs w:val="28"/>
          <w:lang w:val="en-US" w:eastAsia="zh-CN" w:bidi="ar-SA"/>
        </w:rPr>
      </w:pPr>
      <w:bookmarkStart w:id="105" w:name="_Toc900105"/>
      <w:r>
        <w:rPr>
          <w:rFonts w:hint="eastAsia" w:ascii="宋体" w:hAnsi="宋体" w:eastAsia="宋体" w:cs="宋体"/>
          <w:b/>
          <w:snapToGrid w:val="0"/>
          <w:color w:val="000000"/>
          <w:sz w:val="28"/>
          <w:szCs w:val="28"/>
          <w:lang w:val="en-US" w:eastAsia="zh-CN" w:bidi="ar-SA"/>
        </w:rPr>
        <w:t>2.1 业务架构</w:t>
      </w:r>
      <w:bookmarkEnd w:id="105"/>
    </w:p>
    <w:p>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 xml:space="preserve">本项目的业务架构由检测业务主流程、平台运行能力和智能交互三部分构成。</w:t>
      </w:r>
    </w:p>
    <w:tbl>
      <w:tblPr>
        <w:tblStyle w:val="15"/>
        <w:tblW w:w="8306" w:type="dxa"/>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150"/>
        <w:gridCol w:w="4089"/>
        <w:gridCol w:w="3067"/>
      </w:tblGrid>
      <w:tr>
        <w:trPr>
          <w:cantSplit/>
          <w:tblHeader/>
          <w:jc w:val="center"/>
        </w:trPr>
        <w:tc>
          <w:tcPr>
            <w:tcW w:w="1150" w:type="dxa"/>
            <w:shd w:val="clear" w:color="auto" w:fill="17365D"/>
            <w:tcMar>
              <w:top w:w="100" w:type="dxa"/>
              <w:left w:w="60" w:type="dxa"/>
              <w:bottom w:w="100" w:type="dxa"/>
              <w:right w:w="60" w:type="dxa"/>
            </w:tcMar>
            <w:vAlign w:val="center"/>
          </w:tcPr>
          <w:p>
            <w:pPr>
              <w:spacing w:before="0" w:after="0" w:line="269" w:lineRule="auto"/>
              <w:jc w:val="center"/>
              <w:rPr>
                <w:rFonts w:hint="eastAsia" w:ascii="宋体" w:hAnsi="宋体" w:eastAsia="宋体" w:cs="宋体"/>
                <w:b/>
                <w:color w:val="FFFFFF"/>
                <w:sz w:val="18"/>
                <w:szCs w:val="18"/>
                <w:lang w:val="en-US" w:eastAsia="zh-CN"/>
              </w:rPr>
            </w:pPr>
            <w:r>
              <w:rPr>
                <w:rFonts w:hint="eastAsia" w:ascii="宋体" w:hAnsi="宋体" w:eastAsia="宋体" w:cs="宋体"/>
                <w:b/>
                <w:color w:val="FFFFFF"/>
                <w:sz w:val="18"/>
                <w:szCs w:val="18"/>
                <w:lang w:val="en-US" w:eastAsia="zh-CN"/>
              </w:rPr>
              <w:t xml:space="preserve">组成部分</w:t>
            </w:r>
          </w:p>
        </w:tc>
        <w:tc>
          <w:tcPr>
            <w:tcW w:w="4089" w:type="dxa"/>
            <w:shd w:val="clear" w:color="auto" w:fill="17365D"/>
            <w:tcMar>
              <w:top w:w="100" w:type="dxa"/>
              <w:left w:w="60" w:type="dxa"/>
              <w:bottom w:w="100" w:type="dxa"/>
              <w:right w:w="60" w:type="dxa"/>
            </w:tcMar>
            <w:vAlign w:val="center"/>
          </w:tcPr>
          <w:p>
            <w:pPr>
              <w:spacing w:before="0" w:after="0" w:line="269" w:lineRule="auto"/>
              <w:jc w:val="center"/>
              <w:rPr>
                <w:rFonts w:hint="eastAsia" w:ascii="宋体" w:hAnsi="宋体" w:eastAsia="宋体" w:cs="宋体"/>
                <w:b/>
                <w:color w:val="FFFFFF"/>
                <w:sz w:val="18"/>
                <w:szCs w:val="18"/>
                <w:lang w:val="en-US" w:eastAsia="zh-CN"/>
              </w:rPr>
            </w:pPr>
            <w:r>
              <w:rPr>
                <w:rFonts w:hint="eastAsia" w:ascii="宋体" w:hAnsi="宋体" w:eastAsia="宋体" w:cs="宋体"/>
                <w:b/>
                <w:color w:val="FFFFFF"/>
                <w:sz w:val="18"/>
                <w:szCs w:val="18"/>
                <w:lang w:val="en-US" w:eastAsia="zh-CN"/>
              </w:rPr>
              <w:t xml:space="preserve">建设内容</w:t>
            </w:r>
          </w:p>
        </w:tc>
        <w:tc>
          <w:tcPr>
            <w:tcW w:w="3067" w:type="dxa"/>
            <w:shd w:val="clear" w:color="auto" w:fill="17365D"/>
            <w:tcMar>
              <w:top w:w="100" w:type="dxa"/>
              <w:left w:w="60" w:type="dxa"/>
              <w:bottom w:w="100" w:type="dxa"/>
              <w:right w:w="60" w:type="dxa"/>
            </w:tcMar>
            <w:vAlign w:val="center"/>
          </w:tcPr>
          <w:p>
            <w:pPr>
              <w:spacing w:before="0" w:after="0" w:line="269" w:lineRule="auto"/>
              <w:jc w:val="center"/>
              <w:rPr>
                <w:rFonts w:hint="eastAsia" w:ascii="宋体" w:hAnsi="宋体" w:eastAsia="宋体" w:cs="宋体"/>
                <w:b/>
                <w:color w:val="FFFFFF"/>
                <w:sz w:val="18"/>
                <w:szCs w:val="18"/>
                <w:lang w:val="en-US" w:eastAsia="zh-CN"/>
              </w:rPr>
            </w:pPr>
            <w:r>
              <w:rPr>
                <w:rFonts w:hint="eastAsia" w:ascii="宋体" w:hAnsi="宋体" w:eastAsia="宋体" w:cs="宋体"/>
                <w:b/>
                <w:color w:val="FFFFFF"/>
                <w:sz w:val="18"/>
                <w:szCs w:val="18"/>
                <w:lang w:val="en-US" w:eastAsia="zh-CN"/>
              </w:rPr>
              <w:t xml:space="preserve">作用</w:t>
            </w:r>
          </w:p>
        </w:tc>
      </w:tr>
      <w:tr>
        <w:trPr>
          <w:cantSplit/>
          <w:jc w:val="center"/>
        </w:trPr>
        <w:tc>
          <w:tcPr>
            <w:tcW w:w="1150" w:type="dxa"/>
            <w:tcMar>
              <w:top w:w="100" w:type="dxa"/>
              <w:left w:w="60" w:type="dxa"/>
              <w:bottom w:w="100" w:type="dxa"/>
              <w:right w:w="60" w:type="dxa"/>
            </w:tcMar>
            <w:vAlign w:val="center"/>
          </w:tcPr>
          <w:p>
            <w:pPr>
              <w:spacing w:before="0" w:after="0" w:line="269" w:lineRule="auto"/>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检测业务主流程</w:t>
            </w:r>
          </w:p>
        </w:tc>
        <w:tc>
          <w:tcPr>
            <w:tcW w:w="4089"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委托受理流程优化；试验任务下发；样品智能运输；试验数据采集；检测报告自动生成</w:t>
            </w:r>
          </w:p>
        </w:tc>
        <w:tc>
          <w:tcPr>
            <w:tcW w:w="3067"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贯通从委托受理到报告出具的业务全过程</w:t>
            </w:r>
          </w:p>
        </w:tc>
      </w:tr>
      <w:tr>
        <w:trPr>
          <w:cantSplit/>
          <w:jc w:val="center"/>
        </w:trPr>
        <w:tc>
          <w:tcPr>
            <w:tcW w:w="1150" w:type="dxa"/>
            <w:tcMar>
              <w:top w:w="100" w:type="dxa"/>
              <w:left w:w="60" w:type="dxa"/>
              <w:bottom w:w="100" w:type="dxa"/>
              <w:right w:w="60" w:type="dxa"/>
            </w:tcMar>
            <w:vAlign w:val="center"/>
          </w:tcPr>
          <w:p>
            <w:pPr>
              <w:spacing w:before="0" w:after="0" w:line="269" w:lineRule="auto"/>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平台运行能力</w:t>
            </w:r>
          </w:p>
        </w:tc>
        <w:tc>
          <w:tcPr>
            <w:tcW w:w="4089"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委托前台引导屏；试验室信息屏展示</w:t>
            </w:r>
          </w:p>
        </w:tc>
        <w:tc>
          <w:tcPr>
            <w:tcW w:w="3067"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集中呈现试验室当日试验任务与运行负荷</w:t>
            </w:r>
          </w:p>
        </w:tc>
      </w:tr>
      <w:tr>
        <w:trPr>
          <w:cantSplit/>
          <w:jc w:val="center"/>
        </w:trPr>
        <w:tc>
          <w:tcPr>
            <w:tcW w:w="1150" w:type="dxa"/>
            <w:tcMar>
              <w:top w:w="100" w:type="dxa"/>
              <w:left w:w="60" w:type="dxa"/>
              <w:bottom w:w="100" w:type="dxa"/>
              <w:right w:w="60" w:type="dxa"/>
            </w:tcMar>
            <w:vAlign w:val="center"/>
          </w:tcPr>
          <w:p>
            <w:pPr>
              <w:spacing w:before="0" w:after="0" w:line="269" w:lineRule="auto"/>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智能交互</w:t>
            </w:r>
          </w:p>
        </w:tc>
        <w:tc>
          <w:tcPr>
            <w:tcW w:w="4089"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“小浦”桌面智能体业务化应用</w:t>
            </w:r>
          </w:p>
        </w:tc>
        <w:tc>
          <w:tcPr>
            <w:tcW w:w="3067"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为客户、试验人员和管理人员提供统一的交互入口</w:t>
            </w:r>
          </w:p>
        </w:tc>
      </w:tr>
    </w:tbl>
    <w:p>
      <w:pPr>
        <w:spacing w:after="0" w:line="20" w:lineRule="exact"/>
        <w:rPr>
          <w:sz w:val="2"/>
        </w:rPr>
      </w:pPr>
    </w:p>
    <w:p>
      <w:pPr>
        <w:spacing w:before="60" w:after="60"/>
        <w:jc w:val="center"/>
      </w:pPr>
      <w:r>
        <w:drawing>
          <wp:inline distT="0" distB="0" distL="114300" distR="114300">
            <wp:extent cx="5266055" cy="2630949"/>
            <wp:effectExtent l="0" t="0" r="0" b="0"/>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201"/>
                    <pic:cNvPicPr>
                      <a:picLocks noChangeAspect="1"/>
                    </pic:cNvPicPr>
                  </pic:nvPicPr>
                  <pic:blipFill>
                    <a:blip r:embed="rId31"/>
                    <a:stretch>
                      <a:fillRect/>
                    </a:stretch>
                  </pic:blipFill>
                  <pic:spPr>
                    <a:xfrm>
                      <a:off x="0" y="0"/>
                      <a:ext cx="5266055" cy="2630949"/>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 xml:space="preserve">三部分之间的关系如下：检测业务主流程在运行中产生委托、任务、试验数据与报告等业务数据；平台运行能力基于这些数据进行可视化呈现；“小浦”调用同一业务数据，为不同角色的人员提供查询与辅助服务。</w:t>
      </w:r>
    </w:p>
    <w:p>
      <w:pPr>
        <w:keepNext/>
        <w:keepLines w:val="0"/>
        <w:pageBreakBefore w:val="0"/>
        <w:widowControl/>
        <w:kinsoku w:val="0"/>
        <w:wordWrap/>
        <w:overflowPunct/>
        <w:topLinePunct w:val="0"/>
        <w:autoSpaceDE w:val="0"/>
        <w:autoSpaceDN w:val="0"/>
        <w:bidi w:val="0"/>
        <w:adjustRightInd w:val="0"/>
        <w:snapToGrid w:val="0"/>
        <w:spacing w:before="120" w:after="0" w:line="360" w:lineRule="auto"/>
        <w:ind w:left="0" w:firstLine="0"/>
        <w:jc w:val="left"/>
        <w:textAlignment w:val="baseline"/>
        <w:outlineLvl w:val="1"/>
        <w:rPr>
          <w:rFonts w:hint="eastAsia" w:ascii="宋体" w:hAnsi="宋体" w:eastAsia="宋体" w:cs="宋体"/>
          <w:b/>
          <w:snapToGrid w:val="0"/>
          <w:color w:val="000000"/>
          <w:sz w:val="28"/>
          <w:szCs w:val="28"/>
          <w:lang w:val="en-US" w:eastAsia="zh-CN" w:bidi="ar-SA"/>
        </w:rPr>
      </w:pPr>
      <w:bookmarkStart w:id="106" w:name="_Toc900106"/>
      <w:r>
        <w:rPr>
          <w:rFonts w:hint="eastAsia" w:ascii="宋体" w:hAnsi="宋体" w:eastAsia="宋体" w:cs="宋体"/>
          <w:b/>
          <w:snapToGrid w:val="0"/>
          <w:color w:val="000000"/>
          <w:sz w:val="28"/>
          <w:szCs w:val="28"/>
          <w:lang w:val="en-US" w:eastAsia="zh-CN" w:bidi="ar-SA"/>
        </w:rPr>
        <w:t>2.2 技术架构</w:t>
      </w:r>
      <w:bookmarkEnd w:id="106"/>
    </w:p>
    <w:p>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 xml:space="preserve">项目技术架构按照感知层、网络层、平台层、应用层与交互展示层分层组织。</w:t>
      </w:r>
    </w:p>
    <w:p>
      <w:pPr>
        <w:spacing w:before="60" w:after="60"/>
        <w:jc w:val="center"/>
      </w:pPr>
      <w:r>
        <w:drawing>
          <wp:inline distT="0" distB="0" distL="114300" distR="114300">
            <wp:extent cx="5266055" cy="2244411"/>
            <wp:effectExtent l="0" t="0" r="0" b="0"/>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202"/>
                    <pic:cNvPicPr>
                      <a:picLocks noChangeAspect="1"/>
                    </pic:cNvPicPr>
                  </pic:nvPicPr>
                  <pic:blipFill>
                    <a:blip r:embed="rId32"/>
                    <a:stretch>
                      <a:fillRect/>
                    </a:stretch>
                  </pic:blipFill>
                  <pic:spPr>
                    <a:xfrm>
                      <a:off x="0" y="0"/>
                      <a:ext cx="5266055" cy="2244411"/>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 xml:space="preserve">感知层由拍照终端、试验仪器、边缘采集网关、搬运机器人与智能门禁组成，负责数据采集与实物运行；网络层提供试验室局域网与无线网络覆盖；平台层以智慧试验室平台为核心，在既有系统的基础上建设业务数据中枢，并升级“小浦”智能体；应用层承载委托受理、任务调度、试验数据采集与报告生成等业务应用；交互展示层面向客户、试验人员与管理人员提供小程序、引导屏、信息屏及桌面端等访问方式。</w:t>
      </w:r>
    </w:p>
    <w:p>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 xml:space="preserve">业务数据中枢汇聚委托、任务、样品与试验数据，统一向“小浦”及各业务应用提供数据服务。大模型能力采用按调用量（token）计费的服务模式，月均费用约为数百元，建设单位无需单独采购高成本算力硬件。</w:t>
      </w:r>
    </w:p>
    <w:p>
      <w:pPr>
        <w:keepNext/>
        <w:keepLines w:val="0"/>
        <w:pageBreakBefore w:val="0"/>
        <w:widowControl/>
        <w:kinsoku w:val="0"/>
        <w:wordWrap/>
        <w:overflowPunct/>
        <w:topLinePunct w:val="0"/>
        <w:autoSpaceDE w:val="0"/>
        <w:autoSpaceDN w:val="0"/>
        <w:bidi w:val="0"/>
        <w:adjustRightInd w:val="0"/>
        <w:snapToGrid w:val="0"/>
        <w:spacing w:before="120" w:after="0" w:line="360" w:lineRule="auto"/>
        <w:ind w:left="0" w:firstLine="0"/>
        <w:jc w:val="left"/>
        <w:textAlignment w:val="baseline"/>
        <w:outlineLvl w:val="1"/>
        <w:rPr>
          <w:rFonts w:hint="eastAsia" w:ascii="宋体" w:hAnsi="宋体" w:eastAsia="宋体" w:cs="宋体"/>
          <w:b/>
          <w:snapToGrid w:val="0"/>
          <w:color w:val="000000"/>
          <w:sz w:val="28"/>
          <w:szCs w:val="28"/>
          <w:lang w:val="en-US" w:eastAsia="zh-CN" w:bidi="ar-SA"/>
        </w:rPr>
      </w:pPr>
      <w:bookmarkStart w:id="107" w:name="_Toc900107"/>
      <w:r>
        <w:rPr>
          <w:rFonts w:hint="eastAsia" w:ascii="宋体" w:hAnsi="宋体" w:eastAsia="宋体" w:cs="宋体"/>
          <w:b/>
          <w:snapToGrid w:val="0"/>
          <w:color w:val="000000"/>
          <w:sz w:val="28"/>
          <w:szCs w:val="28"/>
          <w:lang w:val="en-US" w:eastAsia="zh-CN" w:bidi="ar-SA"/>
        </w:rPr>
        <w:t>2.3 业务流程</w:t>
      </w:r>
      <w:bookmarkEnd w:id="107"/>
    </w:p>
    <w:p>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 xml:space="preserve">本期业务流程覆盖单份委托从客户提交到报告交付的全过程，依次为扫码委托、任务下发、样品运输、试验数据采集与检测报告生成。各环节由上一环节自动触发，人员主要承担核验、确认与审核工作。</w:t>
      </w:r>
    </w:p>
    <w:p>
      <w:pPr>
        <w:spacing w:before="60" w:after="60"/>
        <w:jc w:val="center"/>
      </w:pPr>
      <w:r>
        <w:drawing>
          <wp:inline distT="0" distB="0" distL="114300" distR="114300">
            <wp:extent cx="5266055" cy="1712403"/>
            <wp:effectExtent l="0" t="0" r="0" b="0"/>
            <wp:docPr id="203"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203"/>
                    <pic:cNvPicPr>
                      <a:picLocks noChangeAspect="1"/>
                    </pic:cNvPicPr>
                  </pic:nvPicPr>
                  <pic:blipFill>
                    <a:blip r:embed="rId33"/>
                    <a:stretch>
                      <a:fillRect/>
                    </a:stretch>
                  </pic:blipFill>
                  <pic:spPr>
                    <a:xfrm>
                      <a:off x="0" y="0"/>
                      <a:ext cx="5266055" cy="1712403"/>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 xml:space="preserve">本期生成的报告分为两类：一类是试验室内部完成的常规试验项目的试验报告，由试验数据经计算后按报告模板自动生成；另一类是以桥检报告为代表的专项检测报告，沿用现有成熟的编制框架，作为独立功能纳入现有功能模块使用。</w:t>
      </w:r>
    </w:p>
    <w:p>
      <w:pPr>
        <w:keepNext/>
        <w:keepLines w:val="0"/>
        <w:pageBreakBefore/>
        <w:widowControl/>
        <w:kinsoku w:val="0"/>
        <w:wordWrap/>
        <w:overflowPunct/>
        <w:topLinePunct w:val="0"/>
        <w:autoSpaceDE w:val="0"/>
        <w:autoSpaceDN w:val="0"/>
        <w:bidi w:val="0"/>
        <w:adjustRightInd w:val="0"/>
        <w:snapToGrid w:val="0"/>
        <w:spacing w:before="120" w:after="0" w:line="360" w:lineRule="auto"/>
        <w:ind w:left="0" w:firstLine="0"/>
        <w:jc w:val="left"/>
        <w:textAlignment w:val="baseline"/>
        <w:outlineLvl w:val="0"/>
        <w:rPr>
          <w:rFonts w:hint="eastAsia" w:ascii="宋体" w:hAnsi="宋体" w:eastAsia="宋体" w:cs="宋体"/>
          <w:b/>
          <w:snapToGrid w:val="0"/>
          <w:color w:val="000000"/>
          <w:sz w:val="28"/>
          <w:szCs w:val="28"/>
          <w:lang w:val="en-US" w:eastAsia="zh-CN" w:bidi="ar-SA"/>
        </w:rPr>
      </w:pPr>
      <w:bookmarkStart w:id="108" w:name="_Toc900108"/>
      <w:r>
        <w:rPr>
          <w:rFonts w:hint="eastAsia" w:ascii="宋体" w:hAnsi="宋体" w:eastAsia="宋体" w:cs="宋体"/>
          <w:b/>
          <w:snapToGrid w:val="0"/>
          <w:color w:val="000000"/>
          <w:sz w:val="28"/>
          <w:szCs w:val="28"/>
          <w:lang w:val="en-US" w:eastAsia="zh-CN" w:bidi="ar-SA"/>
        </w:rPr>
        <w:t>三、建设内容</w:t>
      </w:r>
      <w:bookmarkEnd w:id="108"/>
    </w:p>
    <w:p>
      <w:pPr>
        <w:keepNext/>
        <w:keepLines w:val="0"/>
        <w:pageBreakBefore w:val="0"/>
        <w:widowControl/>
        <w:kinsoku w:val="0"/>
        <w:wordWrap/>
        <w:overflowPunct/>
        <w:topLinePunct w:val="0"/>
        <w:autoSpaceDE w:val="0"/>
        <w:autoSpaceDN w:val="0"/>
        <w:bidi w:val="0"/>
        <w:adjustRightInd w:val="0"/>
        <w:snapToGrid w:val="0"/>
        <w:spacing w:before="120" w:after="0" w:line="360" w:lineRule="auto"/>
        <w:ind w:left="0" w:firstLine="0"/>
        <w:jc w:val="left"/>
        <w:textAlignment w:val="baseline"/>
        <w:outlineLvl w:val="1"/>
        <w:rPr>
          <w:rFonts w:hint="eastAsia" w:ascii="宋体" w:hAnsi="宋体" w:eastAsia="宋体" w:cs="宋体"/>
          <w:b/>
          <w:snapToGrid w:val="0"/>
          <w:color w:val="000000"/>
          <w:sz w:val="28"/>
          <w:szCs w:val="28"/>
          <w:lang w:val="en-US" w:eastAsia="zh-CN" w:bidi="ar-SA"/>
        </w:rPr>
      </w:pPr>
      <w:bookmarkStart w:id="109" w:name="_Toc900109"/>
      <w:r>
        <w:rPr>
          <w:rFonts w:hint="eastAsia" w:ascii="宋体" w:hAnsi="宋体" w:eastAsia="宋体" w:cs="宋体"/>
          <w:b/>
          <w:snapToGrid w:val="0"/>
          <w:color w:val="000000"/>
          <w:sz w:val="28"/>
          <w:szCs w:val="28"/>
          <w:lang w:val="en-US" w:eastAsia="zh-CN" w:bidi="ar-SA"/>
        </w:rPr>
        <w:t>3.1 委托受理流程优化</w:t>
      </w:r>
      <w:bookmarkEnd w:id="109"/>
    </w:p>
    <w:p>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 xml:space="preserve">委托业务继续在委托系统中办理。本期在不改变委托业务主体流程的前提下，从委托信息的预先填报、当日试验任务的集中展示、检测任务的自动派发与委托进度的主动反馈四个方面优化受理流程，使委托受理成为整个业务流程的数据起点。</w:t>
      </w:r>
    </w:p>
    <w:p>
      <w:pPr>
        <w:pStyle w:val="4"/>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 xml:space="preserve">（1）扫码预委托</w:t>
      </w:r>
    </w:p>
    <w:p>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 xml:space="preserve">在委托前台设置预委托二维码，客户通过微信小程序填报委托单位、工程名称、检测项目、样品信息及联系人等内容，系统依据客户的历史委托记录自动填充重复性信息。客户也可拍摄纸质委托单，由“小浦”识别单据内容并预填表单。预委托数据经委托前台人员核验后转为正式委托，委托信息的采集环节由此前移至客户到达之前，委托前台的现场工作由信息录入转为信息核验。</w:t>
      </w:r>
    </w:p>
    <w:p>
      <w:pPr>
        <w:pStyle w:val="4"/>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 xml:space="preserve">（2）当日试验任务展示</w:t>
      </w:r>
    </w:p>
    <w:p>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 xml:space="preserve">在委托前台新增引导屏，滚动展示当日试验任务信息，包括委托编号、检测项目、试验类型及任务状态；次日开展的试验按时间顺序同步排期展示。引导屏的数据直接取自任务系统，与任务派发同步更新，用于集中呈现试验室当日的试验安排与运转负荷。</w:t>
      </w:r>
    </w:p>
    <w:p>
      <w:pPr>
        <w:pStyle w:val="4"/>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 xml:space="preserve">（3）任务自动派发</w:t>
      </w:r>
    </w:p>
    <w:p>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 xml:space="preserve">正式受理完成后，系统依据委托中的检测项目自动生成检测任务，并推送至对应的试验人员，同时向机器人调度系统下发样品运输指令。检测任务与运输任务由受理动作统一触发，任务信息经系统直接传递，无需人工转录或逐项通知。</w:t>
      </w:r>
    </w:p>
    <w:p>
      <w:pPr>
        <w:pStyle w:val="4"/>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 xml:space="preserve">（4）委托进度反馈</w:t>
      </w:r>
    </w:p>
    <w:p>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 xml:space="preserve">系统依据委托状态的变化，在受理、检测、报告出具等节点，通过小程序或短信向客户自动推送进度信息；客户也可通过小程序向“小浦”查询委托的当前状态与预计完成时间。委托进度信息由此由人工答复转为系统推送与自助查询。</w:t>
      </w:r>
    </w:p>
    <w:p>
      <w:pPr>
        <w:keepNext/>
        <w:keepLines w:val="0"/>
        <w:pageBreakBefore w:val="0"/>
        <w:widowControl/>
        <w:kinsoku w:val="0"/>
        <w:wordWrap/>
        <w:overflowPunct/>
        <w:topLinePunct w:val="0"/>
        <w:autoSpaceDE w:val="0"/>
        <w:autoSpaceDN w:val="0"/>
        <w:bidi w:val="0"/>
        <w:adjustRightInd w:val="0"/>
        <w:snapToGrid w:val="0"/>
        <w:spacing w:before="120" w:after="0" w:line="360" w:lineRule="auto"/>
        <w:ind w:left="0" w:firstLine="0"/>
        <w:jc w:val="left"/>
        <w:textAlignment w:val="baseline"/>
        <w:outlineLvl w:val="1"/>
        <w:rPr>
          <w:rFonts w:hint="eastAsia" w:ascii="宋体" w:hAnsi="宋体" w:eastAsia="宋体" w:cs="宋体"/>
          <w:b/>
          <w:snapToGrid w:val="0"/>
          <w:color w:val="000000"/>
          <w:sz w:val="28"/>
          <w:szCs w:val="28"/>
          <w:lang w:val="en-US" w:eastAsia="zh-CN" w:bidi="ar-SA"/>
        </w:rPr>
      </w:pPr>
      <w:bookmarkStart w:id="110" w:name="_Toc900110"/>
      <w:r>
        <w:rPr>
          <w:rFonts w:hint="eastAsia" w:ascii="宋体" w:hAnsi="宋体" w:eastAsia="宋体" w:cs="宋体"/>
          <w:b/>
          <w:snapToGrid w:val="0"/>
          <w:color w:val="000000"/>
          <w:sz w:val="28"/>
          <w:szCs w:val="28"/>
          <w:lang w:val="en-US" w:eastAsia="zh-CN" w:bidi="ar-SA"/>
        </w:rPr>
        <w:t>3.2 试验任务下发</w:t>
      </w:r>
      <w:bookmarkEnd w:id="110"/>
    </w:p>
    <w:p>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 xml:space="preserve">本节将系统派发的任务与试验人员移动端、试验室信息屏进行联动，使试验人员能够及时、准确地获取试验任务。</w:t>
      </w:r>
    </w:p>
    <w:p>
      <w:pPr>
        <w:pStyle w:val="4"/>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 xml:space="preserve">（1）任务实时通知</w:t>
      </w:r>
    </w:p>
    <w:p>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 xml:space="preserve">系统派发任务后，试验人员移动端即时接收任务信息，包括样品名称、检测项目和计划试验时间，并按试验时间汇总当日任务；样品运达试验室时，系统再次推送接收提醒。</w:t>
      </w:r>
    </w:p>
    <w:p>
      <w:pPr>
        <w:pStyle w:val="4"/>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 xml:space="preserve">（2）信息屏动态显示</w:t>
      </w:r>
    </w:p>
    <w:p>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 xml:space="preserve">各试验室信息屏动态显示本试验室承接的任务信息；试验人员经身份核验进入试验室时，门禁记录与对应任务自动关联，形成人员进出与试验任务的对应记录。</w:t>
      </w:r>
    </w:p>
    <w:p>
      <w:pPr>
        <w:pStyle w:val="4"/>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 xml:space="preserve">（3）进门语音提示</w:t>
      </w:r>
    </w:p>
    <w:p>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 xml:space="preserve">试验人员进入试验室后，“小浦”以语音方式播报当前任务、所需样品数量及检测依据；试验人员可继续通过语音询问操作要求或规范条文，由“小浦”依据行业知识库答复，无需在操作过程中另行查阅资料。</w:t>
      </w:r>
    </w:p>
    <w:p>
      <w:pPr>
        <w:keepNext/>
        <w:keepLines w:val="0"/>
        <w:pageBreakBefore w:val="0"/>
        <w:widowControl/>
        <w:kinsoku w:val="0"/>
        <w:wordWrap/>
        <w:overflowPunct/>
        <w:topLinePunct w:val="0"/>
        <w:autoSpaceDE w:val="0"/>
        <w:autoSpaceDN w:val="0"/>
        <w:bidi w:val="0"/>
        <w:adjustRightInd w:val="0"/>
        <w:snapToGrid w:val="0"/>
        <w:spacing w:before="120" w:after="0" w:line="360" w:lineRule="auto"/>
        <w:ind w:left="0" w:firstLine="0"/>
        <w:jc w:val="left"/>
        <w:textAlignment w:val="baseline"/>
        <w:outlineLvl w:val="1"/>
        <w:rPr>
          <w:rFonts w:hint="eastAsia" w:ascii="宋体" w:hAnsi="宋体" w:eastAsia="宋体" w:cs="宋体"/>
          <w:b/>
          <w:snapToGrid w:val="0"/>
          <w:color w:val="000000"/>
          <w:sz w:val="28"/>
          <w:szCs w:val="28"/>
          <w:lang w:val="en-US" w:eastAsia="zh-CN" w:bidi="ar-SA"/>
        </w:rPr>
      </w:pPr>
      <w:bookmarkStart w:id="111" w:name="_Toc900111"/>
      <w:r>
        <w:rPr>
          <w:rFonts w:hint="eastAsia" w:ascii="宋体" w:hAnsi="宋体" w:eastAsia="宋体" w:cs="宋体"/>
          <w:b/>
          <w:snapToGrid w:val="0"/>
          <w:color w:val="000000"/>
          <w:sz w:val="28"/>
          <w:szCs w:val="28"/>
          <w:lang w:val="en-US" w:eastAsia="zh-CN" w:bidi="ar-SA"/>
        </w:rPr>
        <w:t>3.3 样品智能运输系统</w:t>
      </w:r>
      <w:bookmarkEnd w:id="111"/>
    </w:p>
    <w:p>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 xml:space="preserve">本期配置工业搬运机器人，承担样品在委托前台与试验室之间的运输，并与智能门禁联动，实现样品的自主运输。选用X300B工业搬运机器人，共配置2台。</w:t>
      </w:r>
    </w:p>
    <w:p>
      <w:pPr>
        <w:keepNext/>
        <w:keepLines w:val="0"/>
        <w:pageBreakBefore w:val="0"/>
        <w:widowControl/>
        <w:kinsoku w:val="0"/>
        <w:wordWrap/>
        <w:overflowPunct/>
        <w:topLinePunct w:val="0"/>
        <w:autoSpaceDE w:val="0"/>
        <w:autoSpaceDN w:val="0"/>
        <w:bidi w:val="0"/>
        <w:adjustRightInd w:val="0"/>
        <w:snapToGrid w:val="0"/>
        <w:spacing w:after="0" w:line="360" w:lineRule="auto"/>
        <w:ind w:left="0" w:firstLine="0"/>
        <w:jc w:val="left"/>
        <w:textAlignment w:val="baseline"/>
        <w:outlineLvl w:val="2"/>
        <w:rPr>
          <w:rFonts w:hint="eastAsia" w:ascii="宋体" w:hAnsi="宋体" w:eastAsia="宋体" w:cs="宋体"/>
          <w:b/>
          <w:snapToGrid w:val="0"/>
          <w:color w:val="000000"/>
          <w:sz w:val="24"/>
          <w:szCs w:val="24"/>
          <w:lang w:val="en-US" w:eastAsia="zh-CN" w:bidi="ar-SA"/>
        </w:rPr>
      </w:pPr>
      <w:bookmarkStart w:id="112" w:name="_Toc900112"/>
      <w:r>
        <w:rPr>
          <w:rFonts w:hint="eastAsia" w:ascii="宋体" w:hAnsi="宋体" w:eastAsia="宋体" w:cs="宋体"/>
          <w:b/>
          <w:snapToGrid w:val="0"/>
          <w:color w:val="000000"/>
          <w:sz w:val="24"/>
          <w:szCs w:val="24"/>
          <w:lang w:val="en-US" w:eastAsia="zh-CN" w:bidi="ar-SA"/>
        </w:rPr>
        <w:t>3.3.1核心设备与技术参数</w:t>
      </w:r>
      <w:bookmarkEnd w:id="112"/>
    </w:p>
    <w:p>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 xml:space="preserve">X300B采用双轮差速驱动与激光SLAM导航，适用于试验室通道及人机混行环境，主要技术指标如下表所示。</w:t>
      </w:r>
    </w:p>
    <w:p>
      <w:pPr>
        <w:keepNext w:val="0"/>
        <w:keepLines w:val="0"/>
        <w:pageBreakBefore w:val="0"/>
        <w:widowControl w:val="0"/>
        <w:kinsoku/>
        <w:wordWrap/>
        <w:overflowPunct/>
        <w:topLinePunct w:val="0"/>
        <w:autoSpaceDE/>
        <w:autoSpaceDN/>
        <w:bidi w:val="0"/>
        <w:adjustRightInd/>
        <w:snapToGrid/>
        <w:spacing w:before="120" w:after="120" w:line="360" w:lineRule="auto"/>
        <w:jc w:val="center"/>
        <w:rPr>
          <w:rFonts w:hint="eastAsia" w:ascii="宋体" w:hAnsi="宋体" w:eastAsia="宋体" w:cs="宋体"/>
          <w:snapToGrid w:val="0"/>
          <w:color w:val="000000"/>
          <w:sz w:val="24"/>
          <w:szCs w:val="24"/>
          <w:lang w:val="en-US" w:eastAsia="zh-CN" w:bidi="ar-SA"/>
        </w:rPr>
      </w:pPr>
      <w:r>
        <w:rPr>
          <w:rFonts w:hint="eastAsia" w:ascii="宋体" w:hAnsi="宋体" w:eastAsia="宋体" w:cs="宋体"/>
          <w:color w:val="7F7F7F"/>
          <w:sz w:val="21"/>
          <w:szCs w:val="21"/>
        </w:rPr>
        <w:t>【图：X300B运输机器人外观（待补充）】</w:t>
      </w:r>
    </w:p>
    <w:tbl>
      <w:tblPr>
        <w:tblStyle w:val="15"/>
        <w:tblW w:w="8306" w:type="dxa"/>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3986"/>
        <w:gridCol w:w="4320"/>
      </w:tblGrid>
      <w:tr>
        <w:trPr>
          <w:cantSplit/>
          <w:tblHeader/>
          <w:jc w:val="center"/>
        </w:trPr>
        <w:tc>
          <w:tcPr>
            <w:tcW w:w="3986" w:type="dxa"/>
            <w:shd w:val="clear" w:color="auto" w:fill="17365D"/>
            <w:tcMar>
              <w:top w:w="100" w:type="dxa"/>
              <w:left w:w="60" w:type="dxa"/>
              <w:bottom w:w="100" w:type="dxa"/>
              <w:right w:w="60" w:type="dxa"/>
            </w:tcMar>
            <w:vAlign w:val="center"/>
          </w:tcPr>
          <w:p>
            <w:pPr>
              <w:spacing w:before="0" w:after="0" w:line="269" w:lineRule="auto"/>
              <w:jc w:val="center"/>
              <w:rPr>
                <w:rFonts w:hint="eastAsia" w:ascii="宋体" w:hAnsi="宋体" w:eastAsia="宋体" w:cs="宋体"/>
                <w:b/>
                <w:color w:val="FFFFFF"/>
                <w:sz w:val="18"/>
                <w:szCs w:val="18"/>
                <w:lang w:val="en-US" w:eastAsia="zh-CN"/>
              </w:rPr>
            </w:pPr>
            <w:r>
              <w:rPr>
                <w:rFonts w:hint="eastAsia" w:ascii="宋体" w:hAnsi="宋体" w:eastAsia="宋体" w:cs="宋体"/>
                <w:b/>
                <w:color w:val="FFFFFF"/>
                <w:sz w:val="18"/>
                <w:szCs w:val="18"/>
                <w:lang w:val="en-US" w:eastAsia="zh-CN"/>
              </w:rPr>
              <w:t xml:space="preserve">指标</w:t>
            </w:r>
          </w:p>
        </w:tc>
        <w:tc>
          <w:tcPr>
            <w:tcW w:w="4320" w:type="dxa"/>
            <w:shd w:val="clear" w:color="auto" w:fill="17365D"/>
            <w:tcMar>
              <w:top w:w="100" w:type="dxa"/>
              <w:left w:w="60" w:type="dxa"/>
              <w:bottom w:w="100" w:type="dxa"/>
              <w:right w:w="60" w:type="dxa"/>
            </w:tcMar>
            <w:vAlign w:val="center"/>
          </w:tcPr>
          <w:p>
            <w:pPr>
              <w:spacing w:before="0" w:after="0" w:line="269" w:lineRule="auto"/>
              <w:jc w:val="center"/>
              <w:rPr>
                <w:rFonts w:hint="eastAsia" w:ascii="宋体" w:hAnsi="宋体" w:eastAsia="宋体" w:cs="宋体"/>
                <w:b/>
                <w:color w:val="FFFFFF"/>
                <w:sz w:val="18"/>
                <w:szCs w:val="18"/>
                <w:lang w:val="en-US" w:eastAsia="zh-CN"/>
              </w:rPr>
            </w:pPr>
            <w:r>
              <w:rPr>
                <w:rFonts w:hint="eastAsia" w:ascii="宋体" w:hAnsi="宋体" w:eastAsia="宋体" w:cs="宋体"/>
                <w:b/>
                <w:color w:val="FFFFFF"/>
                <w:sz w:val="18"/>
                <w:szCs w:val="18"/>
                <w:lang w:val="en-US" w:eastAsia="zh-CN"/>
              </w:rPr>
              <w:t xml:space="preserve">参数</w:t>
            </w:r>
          </w:p>
        </w:tc>
      </w:tr>
      <w:tr>
        <w:trPr>
          <w:cantSplit/>
          <w:jc w:val="center"/>
        </w:trPr>
        <w:tc>
          <w:tcPr>
            <w:tcW w:w="3986" w:type="dxa"/>
            <w:tcMar>
              <w:top w:w="100" w:type="dxa"/>
              <w:left w:w="60" w:type="dxa"/>
              <w:bottom w:w="100" w:type="dxa"/>
              <w:right w:w="60" w:type="dxa"/>
            </w:tcMar>
            <w:vAlign w:val="center"/>
          </w:tcPr>
          <w:p>
            <w:pPr>
              <w:spacing w:before="0" w:after="0" w:line="269" w:lineRule="auto"/>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机器人型号</w:t>
            </w:r>
          </w:p>
        </w:tc>
        <w:tc>
          <w:tcPr>
            <w:tcW w:w="432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X300B</w:t>
            </w:r>
          </w:p>
        </w:tc>
      </w:tr>
      <w:tr>
        <w:trPr>
          <w:cantSplit/>
          <w:jc w:val="center"/>
        </w:trPr>
        <w:tc>
          <w:tcPr>
            <w:tcW w:w="3986" w:type="dxa"/>
            <w:tcMar>
              <w:top w:w="100" w:type="dxa"/>
              <w:left w:w="60" w:type="dxa"/>
              <w:bottom w:w="100" w:type="dxa"/>
              <w:right w:w="60" w:type="dxa"/>
            </w:tcMar>
            <w:vAlign w:val="center"/>
          </w:tcPr>
          <w:p>
            <w:pPr>
              <w:spacing w:before="0" w:after="0" w:line="269" w:lineRule="auto"/>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额定运行速度（空载）</w:t>
            </w:r>
          </w:p>
        </w:tc>
        <w:tc>
          <w:tcPr>
            <w:tcW w:w="432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1.5 m/s</w:t>
            </w:r>
          </w:p>
        </w:tc>
      </w:tr>
      <w:tr>
        <w:trPr>
          <w:cantSplit/>
          <w:jc w:val="center"/>
        </w:trPr>
        <w:tc>
          <w:tcPr>
            <w:tcW w:w="3986" w:type="dxa"/>
            <w:tcMar>
              <w:top w:w="100" w:type="dxa"/>
              <w:left w:w="60" w:type="dxa"/>
              <w:bottom w:w="100" w:type="dxa"/>
              <w:right w:w="60" w:type="dxa"/>
            </w:tcMar>
            <w:vAlign w:val="center"/>
          </w:tcPr>
          <w:p>
            <w:pPr>
              <w:spacing w:before="0" w:after="0" w:line="269" w:lineRule="auto"/>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自重</w:t>
            </w:r>
          </w:p>
        </w:tc>
        <w:tc>
          <w:tcPr>
            <w:tcW w:w="432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110 kg</w:t>
            </w:r>
          </w:p>
        </w:tc>
      </w:tr>
      <w:tr>
        <w:trPr>
          <w:cantSplit/>
          <w:jc w:val="center"/>
        </w:trPr>
        <w:tc>
          <w:tcPr>
            <w:tcW w:w="3986" w:type="dxa"/>
            <w:tcMar>
              <w:top w:w="100" w:type="dxa"/>
              <w:left w:w="60" w:type="dxa"/>
              <w:bottom w:w="100" w:type="dxa"/>
              <w:right w:w="60" w:type="dxa"/>
            </w:tcMar>
            <w:vAlign w:val="center"/>
          </w:tcPr>
          <w:p>
            <w:pPr>
              <w:spacing w:before="0" w:after="0" w:line="269" w:lineRule="auto"/>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最大承载</w:t>
            </w:r>
          </w:p>
        </w:tc>
        <w:tc>
          <w:tcPr>
            <w:tcW w:w="432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300 kg</w:t>
            </w:r>
          </w:p>
        </w:tc>
      </w:tr>
      <w:tr>
        <w:trPr>
          <w:cantSplit/>
          <w:jc w:val="center"/>
        </w:trPr>
        <w:tc>
          <w:tcPr>
            <w:tcW w:w="3986" w:type="dxa"/>
            <w:tcMar>
              <w:top w:w="100" w:type="dxa"/>
              <w:left w:w="60" w:type="dxa"/>
              <w:bottom w:w="100" w:type="dxa"/>
              <w:right w:w="60" w:type="dxa"/>
            </w:tcMar>
            <w:vAlign w:val="center"/>
          </w:tcPr>
          <w:p>
            <w:pPr>
              <w:spacing w:before="0" w:after="0" w:line="269" w:lineRule="auto"/>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举升高度</w:t>
            </w:r>
          </w:p>
        </w:tc>
        <w:tc>
          <w:tcPr>
            <w:tcW w:w="432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60 mm</w:t>
            </w:r>
          </w:p>
        </w:tc>
      </w:tr>
      <w:tr>
        <w:trPr>
          <w:cantSplit/>
          <w:jc w:val="center"/>
        </w:trPr>
        <w:tc>
          <w:tcPr>
            <w:tcW w:w="3986" w:type="dxa"/>
            <w:tcMar>
              <w:top w:w="100" w:type="dxa"/>
              <w:left w:w="60" w:type="dxa"/>
              <w:bottom w:w="100" w:type="dxa"/>
              <w:right w:w="60" w:type="dxa"/>
            </w:tcMar>
            <w:vAlign w:val="center"/>
          </w:tcPr>
          <w:p>
            <w:pPr>
              <w:spacing w:before="0" w:after="0" w:line="269" w:lineRule="auto"/>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导航到点精度</w:t>
            </w:r>
          </w:p>
        </w:tc>
        <w:tc>
          <w:tcPr>
            <w:tcW w:w="432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&lt;±20 mm，±2°</w:t>
            </w:r>
          </w:p>
        </w:tc>
      </w:tr>
      <w:tr>
        <w:trPr>
          <w:cantSplit/>
          <w:jc w:val="center"/>
        </w:trPr>
        <w:tc>
          <w:tcPr>
            <w:tcW w:w="3986" w:type="dxa"/>
            <w:tcMar>
              <w:top w:w="100" w:type="dxa"/>
              <w:left w:w="60" w:type="dxa"/>
              <w:bottom w:w="100" w:type="dxa"/>
              <w:right w:w="60" w:type="dxa"/>
            </w:tcMar>
            <w:vAlign w:val="center"/>
          </w:tcPr>
          <w:p>
            <w:pPr>
              <w:spacing w:before="0" w:after="0" w:line="269" w:lineRule="auto"/>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末端定位精度</w:t>
            </w:r>
          </w:p>
        </w:tc>
        <w:tc>
          <w:tcPr>
            <w:tcW w:w="432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&lt;±10 mm，±1°</w:t>
            </w:r>
          </w:p>
        </w:tc>
      </w:tr>
      <w:tr>
        <w:trPr>
          <w:cantSplit/>
          <w:jc w:val="center"/>
        </w:trPr>
        <w:tc>
          <w:tcPr>
            <w:tcW w:w="3986" w:type="dxa"/>
            <w:tcMar>
              <w:top w:w="100" w:type="dxa"/>
              <w:left w:w="60" w:type="dxa"/>
              <w:bottom w:w="100" w:type="dxa"/>
              <w:right w:w="60" w:type="dxa"/>
            </w:tcMar>
            <w:vAlign w:val="center"/>
          </w:tcPr>
          <w:p>
            <w:pPr>
              <w:spacing w:before="0" w:after="0" w:line="269" w:lineRule="auto"/>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驱动方式</w:t>
            </w:r>
          </w:p>
        </w:tc>
        <w:tc>
          <w:tcPr>
            <w:tcW w:w="432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双轮差速</w:t>
            </w:r>
          </w:p>
        </w:tc>
      </w:tr>
    </w:tbl>
    <w:p>
      <w:pPr>
        <w:spacing w:after="0" w:line="20" w:lineRule="exact"/>
        <w:rPr>
          <w:sz w:val="2"/>
        </w:rPr>
      </w:pPr>
    </w:p>
    <w:p>
      <w:pPr>
        <w:keepNext/>
        <w:keepLines w:val="0"/>
        <w:pageBreakBefore w:val="0"/>
        <w:widowControl/>
        <w:kinsoku w:val="0"/>
        <w:wordWrap/>
        <w:overflowPunct/>
        <w:topLinePunct w:val="0"/>
        <w:autoSpaceDE w:val="0"/>
        <w:autoSpaceDN w:val="0"/>
        <w:bidi w:val="0"/>
        <w:adjustRightInd w:val="0"/>
        <w:snapToGrid w:val="0"/>
        <w:spacing w:after="0" w:line="360" w:lineRule="auto"/>
        <w:ind w:left="0" w:firstLine="0"/>
        <w:jc w:val="left"/>
        <w:textAlignment w:val="baseline"/>
        <w:outlineLvl w:val="2"/>
        <w:rPr>
          <w:rFonts w:hint="eastAsia" w:ascii="宋体" w:hAnsi="宋体" w:eastAsia="宋体" w:cs="宋体"/>
          <w:b/>
          <w:snapToGrid w:val="0"/>
          <w:color w:val="000000"/>
          <w:sz w:val="24"/>
          <w:szCs w:val="24"/>
          <w:lang w:val="en-US" w:eastAsia="zh-CN" w:bidi="ar-SA"/>
        </w:rPr>
      </w:pPr>
      <w:bookmarkStart w:id="113" w:name="_Toc900113"/>
      <w:r>
        <w:rPr>
          <w:rFonts w:hint="eastAsia" w:ascii="宋体" w:hAnsi="宋体" w:eastAsia="宋体" w:cs="宋体"/>
          <w:b/>
          <w:snapToGrid w:val="0"/>
          <w:color w:val="000000"/>
          <w:sz w:val="24"/>
          <w:szCs w:val="24"/>
          <w:lang w:val="en-US" w:eastAsia="zh-CN" w:bidi="ar-SA"/>
        </w:rPr>
        <w:t>3.3.2运输作业流程</w:t>
      </w:r>
      <w:bookmarkEnd w:id="113"/>
    </w:p>
    <w:p>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 xml:space="preserve">样品运输按下图所示流程执行，涉及委托前台人员、调度系统、运输机器人与试验人员四个角色。</w:t>
      </w:r>
    </w:p>
    <w:p>
      <w:pPr>
        <w:spacing w:before="60" w:after="60"/>
        <w:jc w:val="center"/>
      </w:pPr>
      <w:r>
        <w:drawing>
          <wp:inline distT="0" distB="0" distL="114300" distR="114300">
            <wp:extent cx="5266055" cy="2568604"/>
            <wp:effectExtent l="0" t="0" r="0" b="0"/>
            <wp:docPr id="204"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204"/>
                    <pic:cNvPicPr>
                      <a:picLocks noChangeAspect="1"/>
                    </pic:cNvPicPr>
                  </pic:nvPicPr>
                  <pic:blipFill>
                    <a:blip r:embed="rId34"/>
                    <a:stretch>
                      <a:fillRect/>
                    </a:stretch>
                  </pic:blipFill>
                  <pic:spPr>
                    <a:xfrm>
                      <a:off x="0" y="0"/>
                      <a:ext cx="5266055" cy="2568604"/>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 xml:space="preserve">1. 委托前台受理并生成运输任务后，调度系统派遣空闲机器人至装载位。</w:t>
      </w:r>
    </w:p>
    <w:p>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 xml:space="preserve">2. 委托前台人员装载样品箱，扫码绑定任务并按下放行按键。</w:t>
      </w:r>
    </w:p>
    <w:p>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 xml:space="preserve">3. 机器人按SLAM导航地图自主规划路线，途经试验室时联动智能门禁自动开启。</w:t>
      </w:r>
    </w:p>
    <w:p>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 xml:space="preserve">4. 到达指定工位后，系统向对应试验人员发送取件通知。</w:t>
      </w:r>
    </w:p>
    <w:p>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 xml:space="preserve">5. 试验人员取下样品后，机器人自动返回待命点，电量偏低时自动回充。</w:t>
      </w:r>
    </w:p>
    <w:p>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 xml:space="preserve">两台机器人可并行执行任务，多份委托同时受理时可分别运送样品，避免样品积压。</w:t>
      </w:r>
    </w:p>
    <w:p>
      <w:pPr>
        <w:keepNext/>
        <w:keepLines w:val="0"/>
        <w:pageBreakBefore w:val="0"/>
        <w:widowControl/>
        <w:kinsoku w:val="0"/>
        <w:wordWrap/>
        <w:overflowPunct/>
        <w:topLinePunct w:val="0"/>
        <w:autoSpaceDE w:val="0"/>
        <w:autoSpaceDN w:val="0"/>
        <w:bidi w:val="0"/>
        <w:adjustRightInd w:val="0"/>
        <w:snapToGrid w:val="0"/>
        <w:spacing w:before="120" w:after="0" w:line="360" w:lineRule="auto"/>
        <w:ind w:left="0" w:firstLine="0"/>
        <w:jc w:val="left"/>
        <w:textAlignment w:val="baseline"/>
        <w:outlineLvl w:val="1"/>
        <w:rPr>
          <w:rFonts w:hint="eastAsia" w:ascii="宋体" w:hAnsi="宋体" w:eastAsia="宋体" w:cs="宋体"/>
          <w:b/>
          <w:snapToGrid w:val="0"/>
          <w:color w:val="000000"/>
          <w:sz w:val="28"/>
          <w:szCs w:val="28"/>
          <w:lang w:val="en-US" w:eastAsia="zh-CN" w:bidi="ar-SA"/>
        </w:rPr>
      </w:pPr>
      <w:bookmarkStart w:id="114" w:name="_Toc900114"/>
      <w:r>
        <w:rPr>
          <w:rFonts w:hint="eastAsia" w:ascii="宋体" w:hAnsi="宋体" w:eastAsia="宋体" w:cs="宋体"/>
          <w:b/>
          <w:snapToGrid w:val="0"/>
          <w:color w:val="000000"/>
          <w:sz w:val="28"/>
          <w:szCs w:val="28"/>
          <w:lang w:val="en-US" w:eastAsia="zh-CN" w:bidi="ar-SA"/>
        </w:rPr>
        <w:t>3.4 试验数据采集</w:t>
      </w:r>
      <w:bookmarkEnd w:id="114"/>
    </w:p>
    <w:p>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 xml:space="preserve">试验数据采集是检测报告自动生成的基础。针对试验室各类仪器在数据输出条件上的差异，本期综合采用拍照识别与设备接口直采两种方式，使各类设备的试验数据统一进入业务系统。</w:t>
      </w:r>
    </w:p>
    <w:p>
      <w:pPr>
        <w:pStyle w:val="4"/>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 xml:space="preserve">（1）拍照智能识别录入</w:t>
      </w:r>
    </w:p>
    <w:p>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 xml:space="preserve">针对不具备数据接口的设备或仍需手工填写的原始记录，试验人员使用手机或移动终端对原始记录表、设备数显屏拍照上传，系统通过OCR识别提取试验数据，并写入对应的委托字段。系统对低置信度数据进行标红提示，由试验人员确认；经确认的数据同步纳入训练样本，用于持续迭代识别模型，使人工干预逐步减少。该方式沿用试验人员现行的原始记录方式，以识别替代人工誊抄录入，避免了誊抄环节引入的数据差错。</w:t>
      </w:r>
    </w:p>
    <w:p>
      <w:pPr>
        <w:pStyle w:val="4"/>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 xml:space="preserve">（2）串口/网口协议直采</w:t>
      </w:r>
    </w:p>
    <w:p>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 xml:space="preserve">针对具备RS232/RS485串口或TCP/IP以太网接口的设备（如万能试验机、压力机等），系统通过边缘采集网关采集设备通信报文，经协议解析后获取试验曲线与荷载等数据，并直接写入任务数据库，实现核心设备试验数据的自动采集。</w:t>
      </w:r>
    </w:p>
    <w:p>
      <w:pPr>
        <w:pStyle w:val="4"/>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 xml:space="preserve">（3）文件解析与API集成</w:t>
      </w:r>
    </w:p>
    <w:p>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 xml:space="preserve">对于自带上位机软件且可导出Excel、CSV格式结果的仪器，开发数据解析组件，自动读取试验结果文件并匹配关键数值；对于开放API接口的仪器，通过HTTP、MQTT等标准接口直接对接。各采集方式的数据均以委托编号、样品编号与任务关联，并保留原始文件与采集时间，保证检测数据可追溯。</w:t>
      </w:r>
    </w:p>
    <w:p>
      <w:pPr>
        <w:keepNext/>
        <w:keepLines w:val="0"/>
        <w:pageBreakBefore w:val="0"/>
        <w:widowControl/>
        <w:kinsoku w:val="0"/>
        <w:wordWrap/>
        <w:overflowPunct/>
        <w:topLinePunct w:val="0"/>
        <w:autoSpaceDE w:val="0"/>
        <w:autoSpaceDN w:val="0"/>
        <w:bidi w:val="0"/>
        <w:adjustRightInd w:val="0"/>
        <w:snapToGrid w:val="0"/>
        <w:spacing w:before="120" w:after="0" w:line="360" w:lineRule="auto"/>
        <w:ind w:left="0" w:firstLine="0"/>
        <w:jc w:val="left"/>
        <w:textAlignment w:val="baseline"/>
        <w:outlineLvl w:val="1"/>
        <w:rPr>
          <w:rFonts w:hint="eastAsia" w:ascii="宋体" w:hAnsi="宋体" w:eastAsia="宋体" w:cs="宋体"/>
          <w:b/>
          <w:snapToGrid w:val="0"/>
          <w:color w:val="000000"/>
          <w:sz w:val="28"/>
          <w:szCs w:val="28"/>
          <w:lang w:val="en-US" w:eastAsia="zh-CN" w:bidi="ar-SA"/>
        </w:rPr>
      </w:pPr>
      <w:bookmarkStart w:id="115" w:name="_Toc900115"/>
      <w:r>
        <w:rPr>
          <w:rFonts w:hint="eastAsia" w:ascii="宋体" w:hAnsi="宋体" w:eastAsia="宋体" w:cs="宋体"/>
          <w:b/>
          <w:snapToGrid w:val="0"/>
          <w:color w:val="000000"/>
          <w:sz w:val="28"/>
          <w:szCs w:val="28"/>
          <w:lang w:val="en-US" w:eastAsia="zh-CN" w:bidi="ar-SA"/>
        </w:rPr>
        <w:t>3.5 检测报告自动生成</w:t>
      </w:r>
      <w:bookmarkEnd w:id="115"/>
    </w:p>
    <w:p>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 xml:space="preserve">检测报告自动生成是本期的核心建设内容。试验数据经采集与确认后，系统依次完成结果计算、模板匹配、初稿生成、辅助校核与审核签发，报告编制由人工整理数据转为系统生成、人员审核。报告分为试验报告与专项检测报告两类，分别采用不同的实现方式。</w:t>
      </w:r>
    </w:p>
    <w:p>
      <w:pPr>
        <w:pStyle w:val="4"/>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 xml:space="preserve">（1）试验报告自动生成</w:t>
      </w:r>
    </w:p>
    <w:p>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 xml:space="preserve">试验报告面向试验室内部完成的常规试验项目。试验数据经直采或人工确认提交后，系统按以下步骤生成报告：</w:t>
      </w:r>
    </w:p>
    <w:p>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 xml:space="preserve">1. 数据汇聚：按委托编号与样品编号汇聚该委托下各检测项目的试验数据，包括原始数值与试验曲线。</w:t>
      </w:r>
    </w:p>
    <w:p>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 xml:space="preserve">2. 结果计算：调用委托系统已配置的检测项目计算公式完成检测结果计算，并依据检测依据中的判定规则与标准限值给出符合性判定。</w:t>
      </w:r>
    </w:p>
    <w:p>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 xml:space="preserve">3. 模板匹配：按检测项目匹配现行报告模板，将委托信息、试验数据、计算结果与数据图表填入模板对应字段，生成Word、PDF格式的试验报告初稿。</w:t>
      </w:r>
    </w:p>
    <w:p>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 xml:space="preserve">4. 审核签发：初稿推送至试验人员核对、审核人员审核，按现行质量管理程序签发后推送至客户。</w:t>
      </w:r>
    </w:p>
    <w:p>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 xml:space="preserve">报告数据直接取自采集的原始数据，数据在传递过程中不经人工转录，报告数据与原始数据保持一致。实施时优先覆盖业务量最大的常规试验项目，首批覆盖10类，经流程验证后按同一机制扩展至其他项目。</w:t>
      </w:r>
    </w:p>
    <w:p>
      <w:pPr>
        <w:pStyle w:val="4"/>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 xml:space="preserve">（2）报告模板与计算规则配置</w:t>
      </w:r>
    </w:p>
    <w:p>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 xml:space="preserve">报告自动生成以模板与规则的规范配置为前提。本期按检测项目建立“报告模板—数据字段—数据来源—计算公式”的对应关系：报告模板中的每一个数据项，均对应唯一的数据来源字段与计算规则。检测依据或标准发生更新时，仅调整对应的模板与规则配置，不改动生成程序；同时保留模板的版本记录，使历史报告可按出具时的模板版本复现。</w:t>
      </w:r>
    </w:p>
    <w:p>
      <w:pPr>
        <w:pStyle w:val="4"/>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 xml:space="preserve">（3）专项检测报告（桥检报告）</w:t>
      </w:r>
    </w:p>
    <w:p>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 xml:space="preserve">桥梁检测等外业专项报告的数据来源于现场检测，其业务逻辑与试验室内部检测流程不同，且已有成熟的独立编制框架。本期沿用该框架，将其封装为平台中的独立功能入口，纳入现有功能模块使用；不要求其适配试验室内部的任务与数据流程，也不改变其现有作业方式。</w:t>
      </w:r>
    </w:p>
    <w:p>
      <w:pPr>
        <w:pStyle w:val="4"/>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 xml:space="preserve">（4）报告智能辅助校核</w:t>
      </w:r>
    </w:p>
    <w:p>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 xml:space="preserve">报告初稿生成后，“小浦”在审核前对初稿进行辅助校核，校核内容包括三个方面：一是数据一致性校核，将报告中的数据逐项与采集的原始数据比对；二是计算复核，依据计算公式对检测结果重新计算并与报告结果比对；三是限值符合性校核，将检测结果与标准限值、判定依据比对，核对判定结论是否正确。校核发现的差异在报告对应位置标注并给出依据，校核意见供审核人员参考，报告的最终结论由审核人员确认。</w:t>
      </w:r>
    </w:p>
    <w:p>
      <w:pPr>
        <w:keepNext/>
        <w:keepLines w:val="0"/>
        <w:pageBreakBefore w:val="0"/>
        <w:widowControl/>
        <w:kinsoku w:val="0"/>
        <w:wordWrap/>
        <w:overflowPunct/>
        <w:topLinePunct w:val="0"/>
        <w:autoSpaceDE w:val="0"/>
        <w:autoSpaceDN w:val="0"/>
        <w:bidi w:val="0"/>
        <w:adjustRightInd w:val="0"/>
        <w:snapToGrid w:val="0"/>
        <w:spacing w:before="120" w:after="0" w:line="360" w:lineRule="auto"/>
        <w:ind w:left="0" w:firstLine="0"/>
        <w:jc w:val="left"/>
        <w:textAlignment w:val="baseline"/>
        <w:outlineLvl w:val="1"/>
        <w:rPr>
          <w:rFonts w:hint="eastAsia" w:ascii="宋体" w:hAnsi="宋体" w:eastAsia="宋体" w:cs="宋体"/>
          <w:b/>
          <w:snapToGrid w:val="0"/>
          <w:color w:val="000000"/>
          <w:sz w:val="28"/>
          <w:szCs w:val="28"/>
          <w:lang w:val="en-US" w:eastAsia="zh-CN" w:bidi="ar-SA"/>
        </w:rPr>
      </w:pPr>
      <w:bookmarkStart w:id="116" w:name="_Toc900116"/>
      <w:r>
        <w:rPr>
          <w:rFonts w:hint="eastAsia" w:ascii="宋体" w:hAnsi="宋体" w:eastAsia="宋体" w:cs="宋体"/>
          <w:b/>
          <w:snapToGrid w:val="0"/>
          <w:color w:val="000000"/>
          <w:sz w:val="28"/>
          <w:szCs w:val="28"/>
          <w:lang w:val="en-US" w:eastAsia="zh-CN" w:bidi="ar-SA"/>
        </w:rPr>
        <w:t>3.6 “小浦”桌面智能体业务化应用</w:t>
      </w:r>
      <w:bookmarkEnd w:id="116"/>
    </w:p>
    <w:p>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 xml:space="preserve">“小浦”已具备行业知识问答、检测任务信息查询和部分设备控制能力。本期业务流程投入运行后，委托、任务、样品、试验数据与报告等业务数据统一汇聚于业务数据中枢。本期以桌面端与移动端智能体的形式，使“小浦”接入上述业务数据并具备业务操作能力，由知识问答助手升级为参与业务流转的业务智能体。</w:t>
      </w:r>
    </w:p>
    <w:p>
      <w:pPr>
        <w:keepNext/>
        <w:keepLines w:val="0"/>
        <w:pageBreakBefore w:val="0"/>
        <w:widowControl/>
        <w:kinsoku w:val="0"/>
        <w:wordWrap/>
        <w:overflowPunct/>
        <w:topLinePunct w:val="0"/>
        <w:autoSpaceDE w:val="0"/>
        <w:autoSpaceDN w:val="0"/>
        <w:bidi w:val="0"/>
        <w:adjustRightInd w:val="0"/>
        <w:snapToGrid w:val="0"/>
        <w:spacing w:after="0" w:line="360" w:lineRule="auto"/>
        <w:ind w:left="0" w:firstLine="0"/>
        <w:jc w:val="left"/>
        <w:textAlignment w:val="baseline"/>
        <w:outlineLvl w:val="2"/>
        <w:rPr>
          <w:rFonts w:hint="eastAsia" w:ascii="宋体" w:hAnsi="宋体" w:eastAsia="宋体" w:cs="宋体"/>
          <w:b/>
          <w:snapToGrid w:val="0"/>
          <w:color w:val="000000"/>
          <w:sz w:val="24"/>
          <w:szCs w:val="24"/>
          <w:lang w:val="en-US" w:eastAsia="zh-CN" w:bidi="ar-SA"/>
        </w:rPr>
      </w:pPr>
      <w:bookmarkStart w:id="117" w:name="_Toc900117"/>
      <w:r>
        <w:rPr>
          <w:rFonts w:hint="eastAsia" w:ascii="宋体" w:hAnsi="宋体" w:eastAsia="宋体" w:cs="宋体"/>
          <w:b/>
          <w:snapToGrid w:val="0"/>
          <w:color w:val="000000"/>
          <w:sz w:val="24"/>
          <w:szCs w:val="24"/>
          <w:lang w:val="en-US" w:eastAsia="zh-CN" w:bidi="ar-SA"/>
        </w:rPr>
        <w:t>3.6.1业务数据与权限接入</w:t>
      </w:r>
      <w:bookmarkEnd w:id="117"/>
    </w:p>
    <w:p>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 xml:space="preserve">为“小浦”开放结构化业务数据的查询接口，查询范围覆盖委托、任务、样品、试验数据与报告。数据访问按提问人员的账号角色进行权限过滤：客户仅可查询本单位的委托信息，试验人员可查询所承担的任务，管理人员可查询全部业务统计数据。智能体的每次数据查询与业务操作均形成调用记录，供事后追溯。</w:t>
      </w:r>
    </w:p>
    <w:p>
      <w:pPr>
        <w:keepNext/>
        <w:keepLines w:val="0"/>
        <w:pageBreakBefore w:val="0"/>
        <w:widowControl/>
        <w:kinsoku w:val="0"/>
        <w:wordWrap/>
        <w:overflowPunct/>
        <w:topLinePunct w:val="0"/>
        <w:autoSpaceDE w:val="0"/>
        <w:autoSpaceDN w:val="0"/>
        <w:bidi w:val="0"/>
        <w:adjustRightInd w:val="0"/>
        <w:snapToGrid w:val="0"/>
        <w:spacing w:after="0" w:line="360" w:lineRule="auto"/>
        <w:ind w:left="0" w:firstLine="0"/>
        <w:jc w:val="left"/>
        <w:textAlignment w:val="baseline"/>
        <w:outlineLvl w:val="2"/>
        <w:rPr>
          <w:rFonts w:hint="eastAsia" w:ascii="宋体" w:hAnsi="宋体" w:eastAsia="宋体" w:cs="宋体"/>
          <w:b/>
          <w:snapToGrid w:val="0"/>
          <w:color w:val="000000"/>
          <w:sz w:val="24"/>
          <w:szCs w:val="24"/>
          <w:lang w:val="en-US" w:eastAsia="zh-CN" w:bidi="ar-SA"/>
        </w:rPr>
      </w:pPr>
      <w:bookmarkStart w:id="118" w:name="_Toc900118"/>
      <w:r>
        <w:rPr>
          <w:rFonts w:hint="eastAsia" w:ascii="宋体" w:hAnsi="宋体" w:eastAsia="宋体" w:cs="宋体"/>
          <w:b/>
          <w:snapToGrid w:val="0"/>
          <w:color w:val="000000"/>
          <w:sz w:val="24"/>
          <w:szCs w:val="24"/>
          <w:lang w:val="en-US" w:eastAsia="zh-CN" w:bidi="ar-SA"/>
        </w:rPr>
        <w:t>3.6.2业务工具封装</w:t>
      </w:r>
      <w:bookmarkEnd w:id="118"/>
    </w:p>
    <w:p>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 xml:space="preserve">将预委托填报、任务查询、委托进度查询、报告校核等高频业务操作封装为大模型可调用的工具，由“小浦”依据用户的自然语言指令选择并调用相应工具。涉及业务数据写入的操作，如提交委托、确认试验数据，须经相关人员确认后执行，智能体不直接变更业务数据。</w:t>
      </w:r>
    </w:p>
    <w:p>
      <w:pPr>
        <w:keepNext/>
        <w:keepLines w:val="0"/>
        <w:pageBreakBefore w:val="0"/>
        <w:widowControl/>
        <w:kinsoku w:val="0"/>
        <w:wordWrap/>
        <w:overflowPunct/>
        <w:topLinePunct w:val="0"/>
        <w:autoSpaceDE w:val="0"/>
        <w:autoSpaceDN w:val="0"/>
        <w:bidi w:val="0"/>
        <w:adjustRightInd w:val="0"/>
        <w:snapToGrid w:val="0"/>
        <w:spacing w:after="0" w:line="360" w:lineRule="auto"/>
        <w:ind w:left="0" w:firstLine="0"/>
        <w:jc w:val="left"/>
        <w:textAlignment w:val="baseline"/>
        <w:outlineLvl w:val="2"/>
        <w:rPr>
          <w:rFonts w:hint="eastAsia" w:ascii="宋体" w:hAnsi="宋体" w:eastAsia="宋体" w:cs="宋体"/>
          <w:b/>
          <w:snapToGrid w:val="0"/>
          <w:color w:val="000000"/>
          <w:sz w:val="24"/>
          <w:szCs w:val="24"/>
          <w:lang w:val="en-US" w:eastAsia="zh-CN" w:bidi="ar-SA"/>
        </w:rPr>
      </w:pPr>
      <w:bookmarkStart w:id="119" w:name="_Toc900119"/>
      <w:r>
        <w:rPr>
          <w:rFonts w:hint="eastAsia" w:ascii="宋体" w:hAnsi="宋体" w:eastAsia="宋体" w:cs="宋体"/>
          <w:b/>
          <w:snapToGrid w:val="0"/>
          <w:color w:val="000000"/>
          <w:sz w:val="24"/>
          <w:szCs w:val="24"/>
          <w:lang w:val="en-US" w:eastAsia="zh-CN" w:bidi="ar-SA"/>
        </w:rPr>
        <w:t>3.6.3信息提取与智能填表</w:t>
      </w:r>
      <w:bookmarkEnd w:id="119"/>
    </w:p>
    <w:p>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 xml:space="preserve">客户提供格式不一的纸质委托单时，“小浦”调用视觉识别模型提取委托单位、联系人、检测项目、样品信息等关键内容，并映射至系统的标准委托表单。识别结果以预填形式呈现，客户核对确认后提交；识别置信度较低的字段在表单中标注，提示客户重点核对。</w:t>
      </w:r>
    </w:p>
    <w:p>
      <w:pPr>
        <w:keepNext/>
        <w:keepLines w:val="0"/>
        <w:pageBreakBefore w:val="0"/>
        <w:widowControl/>
        <w:kinsoku w:val="0"/>
        <w:wordWrap/>
        <w:overflowPunct/>
        <w:topLinePunct w:val="0"/>
        <w:autoSpaceDE w:val="0"/>
        <w:autoSpaceDN w:val="0"/>
        <w:bidi w:val="0"/>
        <w:adjustRightInd w:val="0"/>
        <w:snapToGrid w:val="0"/>
        <w:spacing w:after="0" w:line="360" w:lineRule="auto"/>
        <w:ind w:left="0" w:firstLine="0"/>
        <w:jc w:val="left"/>
        <w:textAlignment w:val="baseline"/>
        <w:outlineLvl w:val="2"/>
        <w:rPr>
          <w:rFonts w:hint="eastAsia" w:ascii="宋体" w:hAnsi="宋体" w:eastAsia="宋体" w:cs="宋体"/>
          <w:b/>
          <w:snapToGrid w:val="0"/>
          <w:color w:val="000000"/>
          <w:sz w:val="24"/>
          <w:szCs w:val="24"/>
          <w:lang w:val="en-US" w:eastAsia="zh-CN" w:bidi="ar-SA"/>
        </w:rPr>
      </w:pPr>
      <w:bookmarkStart w:id="120" w:name="_Toc900120"/>
      <w:r>
        <w:rPr>
          <w:rFonts w:hint="eastAsia" w:ascii="宋体" w:hAnsi="宋体" w:eastAsia="宋体" w:cs="宋体"/>
          <w:b/>
          <w:snapToGrid w:val="0"/>
          <w:color w:val="000000"/>
          <w:sz w:val="24"/>
          <w:szCs w:val="24"/>
          <w:lang w:val="en-US" w:eastAsia="zh-CN" w:bidi="ar-SA"/>
        </w:rPr>
        <w:t>3.6.4多角色业务查询</w:t>
      </w:r>
      <w:bookmarkEnd w:id="120"/>
    </w:p>
    <w:p>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 xml:space="preserve">不同角色的人员可通过自然语言查询业务信息，“小浦”跨模块获取数据后汇总答复。客户可询问“某批沥青样品当前处于哪个环节、何时出具报告”；试验人员可询问“今天下午还有几批钢筋拉伸试验”；管理人员可询问“今日超时未完成的试验任务”。各角色经统一入口完成查询，无需分别进入各业务模块检索数据或汇总报表。</w:t>
      </w:r>
    </w:p>
    <w:p>
      <w:pPr>
        <w:keepNext/>
        <w:keepLines w:val="0"/>
        <w:pageBreakBefore/>
        <w:widowControl/>
        <w:kinsoku w:val="0"/>
        <w:wordWrap/>
        <w:overflowPunct/>
        <w:topLinePunct w:val="0"/>
        <w:autoSpaceDE w:val="0"/>
        <w:autoSpaceDN w:val="0"/>
        <w:bidi w:val="0"/>
        <w:adjustRightInd w:val="0"/>
        <w:snapToGrid w:val="0"/>
        <w:spacing w:before="120" w:after="0" w:line="360" w:lineRule="auto"/>
        <w:ind w:left="0" w:firstLine="0"/>
        <w:jc w:val="left"/>
        <w:textAlignment w:val="baseline"/>
        <w:outlineLvl w:val="0"/>
        <w:rPr>
          <w:rFonts w:hint="eastAsia" w:ascii="宋体" w:hAnsi="宋体" w:eastAsia="宋体" w:cs="宋体"/>
          <w:b/>
          <w:snapToGrid w:val="0"/>
          <w:color w:val="000000"/>
          <w:sz w:val="28"/>
          <w:szCs w:val="28"/>
          <w:lang w:val="en-US" w:eastAsia="zh-CN" w:bidi="ar-SA"/>
        </w:rPr>
      </w:pPr>
      <w:bookmarkStart w:id="121" w:name="_Toc900121"/>
      <w:r>
        <w:rPr>
          <w:rFonts w:hint="eastAsia" w:ascii="宋体" w:hAnsi="宋体" w:eastAsia="宋体" w:cs="宋体"/>
          <w:b/>
          <w:snapToGrid w:val="0"/>
          <w:color w:val="000000"/>
          <w:sz w:val="28"/>
          <w:szCs w:val="28"/>
          <w:lang w:val="en-US" w:eastAsia="zh-CN" w:bidi="ar-SA"/>
        </w:rPr>
        <w:t>四、项目计划</w:t>
      </w:r>
      <w:bookmarkEnd w:id="121"/>
    </w:p>
    <w:p>
      <w:pPr>
        <w:keepNext/>
        <w:keepLines w:val="0"/>
        <w:pageBreakBefore w:val="0"/>
        <w:widowControl/>
        <w:kinsoku w:val="0"/>
        <w:wordWrap/>
        <w:overflowPunct/>
        <w:topLinePunct w:val="0"/>
        <w:autoSpaceDE w:val="0"/>
        <w:autoSpaceDN w:val="0"/>
        <w:bidi w:val="0"/>
        <w:adjustRightInd w:val="0"/>
        <w:snapToGrid w:val="0"/>
        <w:spacing w:before="120" w:after="0" w:line="360" w:lineRule="auto"/>
        <w:ind w:left="0" w:firstLine="0"/>
        <w:jc w:val="left"/>
        <w:textAlignment w:val="baseline"/>
        <w:outlineLvl w:val="1"/>
        <w:rPr>
          <w:rFonts w:hint="eastAsia" w:ascii="宋体" w:hAnsi="宋体" w:eastAsia="宋体" w:cs="宋体"/>
          <w:b/>
          <w:snapToGrid w:val="0"/>
          <w:color w:val="000000"/>
          <w:sz w:val="28"/>
          <w:szCs w:val="28"/>
          <w:lang w:val="en-US" w:eastAsia="zh-CN" w:bidi="ar-SA"/>
        </w:rPr>
      </w:pPr>
      <w:bookmarkStart w:id="122" w:name="_Toc900122"/>
      <w:r>
        <w:rPr>
          <w:rFonts w:hint="eastAsia" w:ascii="宋体" w:hAnsi="宋体" w:eastAsia="宋体" w:cs="宋体"/>
          <w:b/>
          <w:snapToGrid w:val="0"/>
          <w:color w:val="000000"/>
          <w:sz w:val="28"/>
          <w:szCs w:val="28"/>
          <w:lang w:val="en-US" w:eastAsia="zh-CN" w:bidi="ar-SA"/>
        </w:rPr>
        <w:t>4.1 工作安排</w:t>
      </w:r>
      <w:bookmarkEnd w:id="122"/>
    </w:p>
    <w:p>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 xml:space="preserve">项目自2026年10月中旬启动，计划于2027年春节前实施完毕，整体工期约16周，划分为六个阶段。</w:t>
      </w:r>
    </w:p>
    <w:tbl>
      <w:tblPr>
        <w:tblStyle w:val="15"/>
        <w:tblW w:w="8306" w:type="dxa"/>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525"/>
        <w:gridCol w:w="1864"/>
        <w:gridCol w:w="2712"/>
        <w:gridCol w:w="2205"/>
      </w:tblGrid>
      <w:tr>
        <w:trPr>
          <w:cantSplit/>
          <w:tblHeader/>
          <w:jc w:val="center"/>
        </w:trPr>
        <w:tc>
          <w:tcPr>
            <w:tcW w:w="1525" w:type="dxa"/>
            <w:shd w:val="clear" w:color="auto" w:fill="17365D"/>
            <w:tcMar>
              <w:top w:w="100" w:type="dxa"/>
              <w:left w:w="60" w:type="dxa"/>
              <w:bottom w:w="100" w:type="dxa"/>
              <w:right w:w="60" w:type="dxa"/>
            </w:tcMar>
            <w:vAlign w:val="center"/>
          </w:tcPr>
          <w:p>
            <w:pPr>
              <w:spacing w:before="0" w:after="0" w:line="269" w:lineRule="auto"/>
              <w:jc w:val="center"/>
              <w:rPr>
                <w:rFonts w:hint="eastAsia" w:ascii="宋体" w:hAnsi="宋体" w:eastAsia="宋体" w:cs="宋体"/>
                <w:b/>
                <w:color w:val="FFFFFF"/>
                <w:sz w:val="18"/>
                <w:szCs w:val="18"/>
                <w:lang w:val="en-US" w:eastAsia="zh-CN"/>
              </w:rPr>
            </w:pPr>
            <w:r>
              <w:rPr>
                <w:rFonts w:hint="eastAsia" w:ascii="宋体" w:hAnsi="宋体" w:eastAsia="宋体" w:cs="宋体"/>
                <w:b/>
                <w:color w:val="FFFFFF"/>
                <w:sz w:val="18"/>
                <w:szCs w:val="18"/>
                <w:lang w:val="en-US" w:eastAsia="zh-CN"/>
              </w:rPr>
              <w:t xml:space="preserve">阶段</w:t>
            </w:r>
          </w:p>
        </w:tc>
        <w:tc>
          <w:tcPr>
            <w:tcW w:w="1864" w:type="dxa"/>
            <w:shd w:val="clear" w:color="auto" w:fill="17365D"/>
            <w:tcMar>
              <w:top w:w="100" w:type="dxa"/>
              <w:left w:w="60" w:type="dxa"/>
              <w:bottom w:w="100" w:type="dxa"/>
              <w:right w:w="60" w:type="dxa"/>
            </w:tcMar>
            <w:vAlign w:val="center"/>
          </w:tcPr>
          <w:p>
            <w:pPr>
              <w:spacing w:before="0" w:after="0" w:line="269" w:lineRule="auto"/>
              <w:jc w:val="center"/>
              <w:rPr>
                <w:rFonts w:hint="eastAsia" w:ascii="宋体" w:hAnsi="宋体" w:eastAsia="宋体" w:cs="宋体"/>
                <w:b/>
                <w:color w:val="FFFFFF"/>
                <w:sz w:val="18"/>
                <w:szCs w:val="18"/>
                <w:lang w:val="en-US" w:eastAsia="zh-CN"/>
              </w:rPr>
            </w:pPr>
            <w:r>
              <w:rPr>
                <w:rFonts w:hint="eastAsia" w:ascii="宋体" w:hAnsi="宋体" w:eastAsia="宋体" w:cs="宋体"/>
                <w:b/>
                <w:color w:val="FFFFFF"/>
                <w:sz w:val="18"/>
                <w:szCs w:val="18"/>
                <w:lang w:val="en-US" w:eastAsia="zh-CN"/>
              </w:rPr>
              <w:t xml:space="preserve">时间安排</w:t>
            </w:r>
          </w:p>
        </w:tc>
        <w:tc>
          <w:tcPr>
            <w:tcW w:w="2712" w:type="dxa"/>
            <w:shd w:val="clear" w:color="auto" w:fill="17365D"/>
            <w:tcMar>
              <w:top w:w="100" w:type="dxa"/>
              <w:left w:w="60" w:type="dxa"/>
              <w:bottom w:w="100" w:type="dxa"/>
              <w:right w:w="60" w:type="dxa"/>
            </w:tcMar>
            <w:vAlign w:val="center"/>
          </w:tcPr>
          <w:p>
            <w:pPr>
              <w:spacing w:before="0" w:after="0" w:line="269" w:lineRule="auto"/>
              <w:jc w:val="center"/>
              <w:rPr>
                <w:rFonts w:hint="eastAsia" w:ascii="宋体" w:hAnsi="宋体" w:eastAsia="宋体" w:cs="宋体"/>
                <w:b/>
                <w:color w:val="FFFFFF"/>
                <w:sz w:val="18"/>
                <w:szCs w:val="18"/>
                <w:lang w:val="en-US" w:eastAsia="zh-CN"/>
              </w:rPr>
            </w:pPr>
            <w:r>
              <w:rPr>
                <w:rFonts w:hint="eastAsia" w:ascii="宋体" w:hAnsi="宋体" w:eastAsia="宋体" w:cs="宋体"/>
                <w:b/>
                <w:color w:val="FFFFFF"/>
                <w:sz w:val="18"/>
                <w:szCs w:val="18"/>
                <w:lang w:val="en-US" w:eastAsia="zh-CN"/>
              </w:rPr>
              <w:t xml:space="preserve">主要工作</w:t>
            </w:r>
          </w:p>
        </w:tc>
        <w:tc>
          <w:tcPr>
            <w:tcW w:w="2205" w:type="dxa"/>
            <w:shd w:val="clear" w:color="auto" w:fill="17365D"/>
            <w:tcMar>
              <w:top w:w="100" w:type="dxa"/>
              <w:left w:w="60" w:type="dxa"/>
              <w:bottom w:w="100" w:type="dxa"/>
              <w:right w:w="60" w:type="dxa"/>
            </w:tcMar>
            <w:vAlign w:val="center"/>
          </w:tcPr>
          <w:p>
            <w:pPr>
              <w:spacing w:before="0" w:after="0" w:line="269" w:lineRule="auto"/>
              <w:jc w:val="center"/>
              <w:rPr>
                <w:rFonts w:hint="eastAsia" w:ascii="宋体" w:hAnsi="宋体" w:eastAsia="宋体" w:cs="宋体"/>
                <w:b/>
                <w:color w:val="FFFFFF"/>
                <w:sz w:val="18"/>
                <w:szCs w:val="18"/>
                <w:lang w:val="en-US" w:eastAsia="zh-CN"/>
              </w:rPr>
            </w:pPr>
            <w:r>
              <w:rPr>
                <w:rFonts w:hint="eastAsia" w:ascii="宋体" w:hAnsi="宋体" w:eastAsia="宋体" w:cs="宋体"/>
                <w:b/>
                <w:color w:val="FFFFFF"/>
                <w:sz w:val="18"/>
                <w:szCs w:val="18"/>
                <w:lang w:val="en-US" w:eastAsia="zh-CN"/>
              </w:rPr>
              <w:t xml:space="preserve">阶段成果</w:t>
            </w:r>
          </w:p>
        </w:tc>
      </w:tr>
      <w:tr>
        <w:trPr>
          <w:cantSplit/>
          <w:jc w:val="center"/>
        </w:trPr>
        <w:tc>
          <w:tcPr>
            <w:tcW w:w="1525" w:type="dxa"/>
            <w:tcMar>
              <w:top w:w="100" w:type="dxa"/>
              <w:left w:w="60" w:type="dxa"/>
              <w:bottom w:w="100" w:type="dxa"/>
              <w:right w:w="60" w:type="dxa"/>
            </w:tcMar>
            <w:vAlign w:val="center"/>
          </w:tcPr>
          <w:p>
            <w:pPr>
              <w:spacing w:before="0" w:after="0" w:line="269" w:lineRule="auto"/>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第一阶段：需求确认与基础优化</w:t>
            </w:r>
          </w:p>
        </w:tc>
        <w:tc>
          <w:tcPr>
            <w:tcW w:w="1864"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2026年10月中旬—11月上旬</w:t>
            </w:r>
          </w:p>
        </w:tc>
        <w:tc>
          <w:tcPr>
            <w:tcW w:w="271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建设内容确认、委托数据联动、委托前台引导屏与试验室信息屏显示对接</w:t>
            </w:r>
          </w:p>
        </w:tc>
        <w:tc>
          <w:tcPr>
            <w:tcW w:w="2205"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平台可获取实时委托数据；建设内容确认单</w:t>
            </w:r>
          </w:p>
        </w:tc>
      </w:tr>
      <w:tr>
        <w:trPr>
          <w:cantSplit/>
          <w:jc w:val="center"/>
        </w:trPr>
        <w:tc>
          <w:tcPr>
            <w:tcW w:w="1525" w:type="dxa"/>
            <w:tcMar>
              <w:top w:w="100" w:type="dxa"/>
              <w:left w:w="60" w:type="dxa"/>
              <w:bottom w:w="100" w:type="dxa"/>
              <w:right w:w="60" w:type="dxa"/>
            </w:tcMar>
            <w:vAlign w:val="center"/>
          </w:tcPr>
          <w:p>
            <w:pPr>
              <w:spacing w:before="0" w:after="0" w:line="269" w:lineRule="auto"/>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第二阶段：报告模板梳理</w:t>
            </w:r>
          </w:p>
        </w:tc>
        <w:tc>
          <w:tcPr>
            <w:tcW w:w="1864"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2026年10月中旬—11月下旬（并行）</w:t>
            </w:r>
          </w:p>
        </w:tc>
        <w:tc>
          <w:tcPr>
            <w:tcW w:w="271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梳理常规试验项目的报告模板与计算规则，确认桥检报告的接入方式</w:t>
            </w:r>
          </w:p>
        </w:tc>
        <w:tc>
          <w:tcPr>
            <w:tcW w:w="2205"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报告模板与字段映射清单</w:t>
            </w:r>
          </w:p>
        </w:tc>
      </w:tr>
      <w:tr>
        <w:trPr>
          <w:cantSplit/>
          <w:jc w:val="center"/>
        </w:trPr>
        <w:tc>
          <w:tcPr>
            <w:tcW w:w="1525" w:type="dxa"/>
            <w:tcMar>
              <w:top w:w="100" w:type="dxa"/>
              <w:left w:w="60" w:type="dxa"/>
              <w:bottom w:w="100" w:type="dxa"/>
              <w:right w:w="60" w:type="dxa"/>
            </w:tcMar>
            <w:vAlign w:val="center"/>
          </w:tcPr>
          <w:p>
            <w:pPr>
              <w:spacing w:before="0" w:after="0" w:line="269" w:lineRule="auto"/>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第三阶段：数据采集与报告生成开发</w:t>
            </w:r>
          </w:p>
        </w:tc>
        <w:tc>
          <w:tcPr>
            <w:tcW w:w="1864"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2026年11月—12月中旬</w:t>
            </w:r>
          </w:p>
        </w:tc>
        <w:tc>
          <w:tcPr>
            <w:tcW w:w="271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拍照识别组件开发、设备直采协议开发、数据人工确认流程、试验报告自动生成</w:t>
            </w:r>
          </w:p>
        </w:tc>
        <w:tc>
          <w:tcPr>
            <w:tcW w:w="2205"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试验数据可自动采集入库，报告初稿可自动生成</w:t>
            </w:r>
          </w:p>
        </w:tc>
      </w:tr>
      <w:tr>
        <w:trPr>
          <w:cantSplit/>
          <w:jc w:val="center"/>
        </w:trPr>
        <w:tc>
          <w:tcPr>
            <w:tcW w:w="1525" w:type="dxa"/>
            <w:tcMar>
              <w:top w:w="100" w:type="dxa"/>
              <w:left w:w="60" w:type="dxa"/>
              <w:bottom w:w="100" w:type="dxa"/>
              <w:right w:w="60" w:type="dxa"/>
            </w:tcMar>
            <w:vAlign w:val="center"/>
          </w:tcPr>
          <w:p>
            <w:pPr>
              <w:spacing w:before="0" w:after="0" w:line="269" w:lineRule="auto"/>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第四阶段：智能体升级与运输配置</w:t>
            </w:r>
          </w:p>
        </w:tc>
        <w:tc>
          <w:tcPr>
            <w:tcW w:w="1864"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2026年12月</w:t>
            </w:r>
          </w:p>
        </w:tc>
        <w:tc>
          <w:tcPr>
            <w:tcW w:w="271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“小浦”业务数据接入与桌面智能体部署；机器人采购部署、门禁联动与调度测试</w:t>
            </w:r>
          </w:p>
        </w:tc>
        <w:tc>
          <w:tcPr>
            <w:tcW w:w="2205"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机器人按指令运行，“小浦”支持业务查询与报告校核</w:t>
            </w:r>
          </w:p>
        </w:tc>
      </w:tr>
      <w:tr>
        <w:trPr>
          <w:cantSplit/>
          <w:jc w:val="center"/>
        </w:trPr>
        <w:tc>
          <w:tcPr>
            <w:tcW w:w="1525" w:type="dxa"/>
            <w:tcMar>
              <w:top w:w="100" w:type="dxa"/>
              <w:left w:w="60" w:type="dxa"/>
              <w:bottom w:w="100" w:type="dxa"/>
              <w:right w:w="60" w:type="dxa"/>
            </w:tcMar>
            <w:vAlign w:val="center"/>
          </w:tcPr>
          <w:p>
            <w:pPr>
              <w:spacing w:before="0" w:after="0" w:line="269" w:lineRule="auto"/>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第五阶段：全流程联调</w:t>
            </w:r>
          </w:p>
        </w:tc>
        <w:tc>
          <w:tcPr>
            <w:tcW w:w="1864"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2027年1月上旬</w:t>
            </w:r>
          </w:p>
        </w:tc>
        <w:tc>
          <w:tcPr>
            <w:tcW w:w="271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扫码委托、任务下发、样品运输、数据采集与报告生成全流程联调</w:t>
            </w:r>
          </w:p>
        </w:tc>
        <w:tc>
          <w:tcPr>
            <w:tcW w:w="2205"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业务主流程完整运行</w:t>
            </w:r>
          </w:p>
        </w:tc>
      </w:tr>
      <w:tr>
        <w:trPr>
          <w:cantSplit/>
          <w:jc w:val="center"/>
        </w:trPr>
        <w:tc>
          <w:tcPr>
            <w:tcW w:w="1525" w:type="dxa"/>
            <w:tcMar>
              <w:top w:w="100" w:type="dxa"/>
              <w:left w:w="60" w:type="dxa"/>
              <w:bottom w:w="100" w:type="dxa"/>
              <w:right w:w="60" w:type="dxa"/>
            </w:tcMar>
            <w:vAlign w:val="center"/>
          </w:tcPr>
          <w:p>
            <w:pPr>
              <w:spacing w:before="0" w:after="0" w:line="269" w:lineRule="auto"/>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第六阶段：试运行与验收</w:t>
            </w:r>
          </w:p>
        </w:tc>
        <w:tc>
          <w:tcPr>
            <w:tcW w:w="1864"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2027年1月中旬—1月底</w:t>
            </w:r>
          </w:p>
        </w:tc>
        <w:tc>
          <w:tcPr>
            <w:tcW w:w="271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日常业务试运行、识别模型迭代、成果整理与验收</w:t>
            </w:r>
          </w:p>
        </w:tc>
        <w:tc>
          <w:tcPr>
            <w:tcW w:w="2205"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试运行报告、验收材料</w:t>
            </w:r>
          </w:p>
        </w:tc>
      </w:tr>
    </w:tbl>
    <w:p>
      <w:pPr>
        <w:spacing w:after="0" w:line="20" w:lineRule="exact"/>
        <w:rPr>
          <w:sz w:val="2"/>
        </w:rPr>
      </w:pPr>
    </w:p>
    <w:p>
      <w:pPr>
        <w:keepNext/>
        <w:keepLines w:val="0"/>
        <w:pageBreakBefore w:val="0"/>
        <w:widowControl/>
        <w:kinsoku w:val="0"/>
        <w:wordWrap/>
        <w:overflowPunct/>
        <w:topLinePunct w:val="0"/>
        <w:autoSpaceDE w:val="0"/>
        <w:autoSpaceDN w:val="0"/>
        <w:bidi w:val="0"/>
        <w:adjustRightInd w:val="0"/>
        <w:snapToGrid w:val="0"/>
        <w:spacing w:before="120" w:after="0" w:line="360" w:lineRule="auto"/>
        <w:ind w:left="0" w:firstLine="0"/>
        <w:jc w:val="left"/>
        <w:textAlignment w:val="baseline"/>
        <w:outlineLvl w:val="1"/>
        <w:rPr>
          <w:rFonts w:hint="eastAsia" w:ascii="宋体" w:hAnsi="宋体" w:eastAsia="宋体" w:cs="宋体"/>
          <w:b/>
          <w:snapToGrid w:val="0"/>
          <w:color w:val="000000"/>
          <w:sz w:val="28"/>
          <w:szCs w:val="28"/>
          <w:lang w:val="en-US" w:eastAsia="zh-CN" w:bidi="ar-SA"/>
        </w:rPr>
      </w:pPr>
      <w:bookmarkStart w:id="123" w:name="_Toc900123"/>
      <w:r>
        <w:rPr>
          <w:rFonts w:hint="eastAsia" w:ascii="宋体" w:hAnsi="宋体" w:eastAsia="宋体" w:cs="宋体"/>
          <w:b/>
          <w:snapToGrid w:val="0"/>
          <w:color w:val="000000"/>
          <w:sz w:val="28"/>
          <w:szCs w:val="28"/>
          <w:lang w:val="en-US" w:eastAsia="zh-CN" w:bidi="ar-SA"/>
        </w:rPr>
        <w:t>4.2 验收指标</w:t>
      </w:r>
      <w:bookmarkEnd w:id="123"/>
    </w:p>
    <w:tbl>
      <w:tblPr>
        <w:tblStyle w:val="15"/>
        <w:tblW w:w="8306" w:type="dxa"/>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057"/>
        <w:gridCol w:w="7249"/>
      </w:tblGrid>
      <w:tr>
        <w:trPr>
          <w:cantSplit/>
          <w:tblHeader/>
          <w:jc w:val="center"/>
        </w:trPr>
        <w:tc>
          <w:tcPr>
            <w:tcW w:w="1057" w:type="dxa"/>
            <w:shd w:val="clear" w:color="auto" w:fill="17365D"/>
            <w:tcMar>
              <w:top w:w="100" w:type="dxa"/>
              <w:left w:w="60" w:type="dxa"/>
              <w:bottom w:w="100" w:type="dxa"/>
              <w:right w:w="60" w:type="dxa"/>
            </w:tcMar>
            <w:vAlign w:val="center"/>
          </w:tcPr>
          <w:p>
            <w:pPr>
              <w:spacing w:before="0" w:after="0" w:line="269" w:lineRule="auto"/>
              <w:jc w:val="center"/>
              <w:rPr>
                <w:rFonts w:hint="eastAsia" w:ascii="宋体" w:hAnsi="宋体" w:eastAsia="宋体" w:cs="宋体"/>
                <w:b/>
                <w:color w:val="FFFFFF"/>
                <w:sz w:val="18"/>
                <w:szCs w:val="18"/>
                <w:lang w:val="en-US" w:eastAsia="zh-CN"/>
              </w:rPr>
            </w:pPr>
            <w:r>
              <w:rPr>
                <w:rFonts w:hint="eastAsia" w:ascii="宋体" w:hAnsi="宋体" w:eastAsia="宋体" w:cs="宋体"/>
                <w:b/>
                <w:color w:val="FFFFFF"/>
                <w:sz w:val="18"/>
                <w:szCs w:val="18"/>
                <w:lang w:val="en-US" w:eastAsia="zh-CN"/>
              </w:rPr>
              <w:t xml:space="preserve">序号</w:t>
            </w:r>
          </w:p>
        </w:tc>
        <w:tc>
          <w:tcPr>
            <w:tcW w:w="7249" w:type="dxa"/>
            <w:shd w:val="clear" w:color="auto" w:fill="17365D"/>
            <w:tcMar>
              <w:top w:w="100" w:type="dxa"/>
              <w:left w:w="60" w:type="dxa"/>
              <w:bottom w:w="100" w:type="dxa"/>
              <w:right w:w="60" w:type="dxa"/>
            </w:tcMar>
            <w:vAlign w:val="center"/>
          </w:tcPr>
          <w:p>
            <w:pPr>
              <w:spacing w:before="0" w:after="0" w:line="269" w:lineRule="auto"/>
              <w:jc w:val="center"/>
              <w:rPr>
                <w:rFonts w:hint="eastAsia" w:ascii="宋体" w:hAnsi="宋体" w:eastAsia="宋体" w:cs="宋体"/>
                <w:b/>
                <w:color w:val="FFFFFF"/>
                <w:sz w:val="18"/>
                <w:szCs w:val="18"/>
                <w:lang w:val="en-US" w:eastAsia="zh-CN"/>
              </w:rPr>
            </w:pPr>
            <w:r>
              <w:rPr>
                <w:rFonts w:hint="eastAsia" w:ascii="宋体" w:hAnsi="宋体" w:eastAsia="宋体" w:cs="宋体"/>
                <w:b/>
                <w:color w:val="FFFFFF"/>
                <w:sz w:val="18"/>
                <w:szCs w:val="18"/>
                <w:lang w:val="en-US" w:eastAsia="zh-CN"/>
              </w:rPr>
              <w:t xml:space="preserve">验收指标</w:t>
            </w:r>
          </w:p>
        </w:tc>
      </w:tr>
      <w:tr>
        <w:trPr>
          <w:cantSplit/>
          <w:jc w:val="center"/>
        </w:trPr>
        <w:tc>
          <w:tcPr>
            <w:tcW w:w="1057" w:type="dxa"/>
            <w:tcMar>
              <w:top w:w="100" w:type="dxa"/>
              <w:left w:w="60" w:type="dxa"/>
              <w:bottom w:w="100" w:type="dxa"/>
              <w:right w:w="60" w:type="dxa"/>
            </w:tcMar>
            <w:vAlign w:val="center"/>
          </w:tcPr>
          <w:p>
            <w:pPr>
              <w:spacing w:before="0" w:after="0" w:line="269" w:lineRule="auto"/>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1</w:t>
            </w:r>
          </w:p>
        </w:tc>
        <w:tc>
          <w:tcPr>
            <w:tcW w:w="7249"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以真实委托完整运行“扫码委托—任务下发—试验数据采集—检测报告生成”全流程，设备直采数据无需人工二次录入</w:t>
            </w:r>
          </w:p>
        </w:tc>
      </w:tr>
      <w:tr>
        <w:trPr>
          <w:cantSplit/>
          <w:jc w:val="center"/>
        </w:trPr>
        <w:tc>
          <w:tcPr>
            <w:tcW w:w="1057" w:type="dxa"/>
            <w:tcMar>
              <w:top w:w="100" w:type="dxa"/>
              <w:left w:w="60" w:type="dxa"/>
              <w:bottom w:w="100" w:type="dxa"/>
              <w:right w:w="60" w:type="dxa"/>
            </w:tcMar>
            <w:vAlign w:val="center"/>
          </w:tcPr>
          <w:p>
            <w:pPr>
              <w:spacing w:before="0" w:after="0" w:line="269" w:lineRule="auto"/>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2</w:t>
            </w:r>
          </w:p>
        </w:tc>
        <w:tc>
          <w:tcPr>
            <w:tcW w:w="7249"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受理完成后1分钟内，试验人员收到任务通知，委托前台引导屏与试验室信息屏同步更新</w:t>
            </w:r>
          </w:p>
        </w:tc>
      </w:tr>
      <w:tr>
        <w:trPr>
          <w:cantSplit/>
          <w:jc w:val="center"/>
        </w:trPr>
        <w:tc>
          <w:tcPr>
            <w:tcW w:w="1057" w:type="dxa"/>
            <w:tcMar>
              <w:top w:w="100" w:type="dxa"/>
              <w:left w:w="60" w:type="dxa"/>
              <w:bottom w:w="100" w:type="dxa"/>
              <w:right w:w="60" w:type="dxa"/>
            </w:tcMar>
            <w:vAlign w:val="center"/>
          </w:tcPr>
          <w:p>
            <w:pPr>
              <w:spacing w:before="0" w:after="0" w:line="269" w:lineRule="auto"/>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3</w:t>
            </w:r>
          </w:p>
        </w:tc>
        <w:tc>
          <w:tcPr>
            <w:tcW w:w="7249"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拍照识别数据与设备直采数据能够准确匹配对应任务并自动入库</w:t>
            </w:r>
          </w:p>
        </w:tc>
      </w:tr>
      <w:tr>
        <w:trPr>
          <w:cantSplit/>
          <w:jc w:val="center"/>
        </w:trPr>
        <w:tc>
          <w:tcPr>
            <w:tcW w:w="1057" w:type="dxa"/>
            <w:tcMar>
              <w:top w:w="100" w:type="dxa"/>
              <w:left w:w="60" w:type="dxa"/>
              <w:bottom w:w="100" w:type="dxa"/>
              <w:right w:w="60" w:type="dxa"/>
            </w:tcMar>
            <w:vAlign w:val="center"/>
          </w:tcPr>
          <w:p>
            <w:pPr>
              <w:spacing w:before="0" w:after="0" w:line="269" w:lineRule="auto"/>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4</w:t>
            </w:r>
          </w:p>
        </w:tc>
        <w:tc>
          <w:tcPr>
            <w:tcW w:w="7249"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常规试验项目的试验报告由系统自动生成初稿，并由“小浦”给出辅助校核结果</w:t>
            </w:r>
          </w:p>
        </w:tc>
      </w:tr>
      <w:tr>
        <w:trPr>
          <w:cantSplit/>
          <w:jc w:val="center"/>
        </w:trPr>
        <w:tc>
          <w:tcPr>
            <w:tcW w:w="1057" w:type="dxa"/>
            <w:tcMar>
              <w:top w:w="100" w:type="dxa"/>
              <w:left w:w="60" w:type="dxa"/>
              <w:bottom w:w="100" w:type="dxa"/>
              <w:right w:w="60" w:type="dxa"/>
            </w:tcMar>
            <w:vAlign w:val="center"/>
          </w:tcPr>
          <w:p>
            <w:pPr>
              <w:spacing w:before="0" w:after="0" w:line="269" w:lineRule="auto"/>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5</w:t>
            </w:r>
          </w:p>
        </w:tc>
        <w:tc>
          <w:tcPr>
            <w:tcW w:w="7249"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桥检报告模块集成后，原有出具流程可正常使用</w:t>
            </w:r>
          </w:p>
        </w:tc>
      </w:tr>
      <w:tr>
        <w:trPr>
          <w:cantSplit/>
          <w:jc w:val="center"/>
        </w:trPr>
        <w:tc>
          <w:tcPr>
            <w:tcW w:w="1057" w:type="dxa"/>
            <w:tcMar>
              <w:top w:w="100" w:type="dxa"/>
              <w:left w:w="60" w:type="dxa"/>
              <w:bottom w:w="100" w:type="dxa"/>
              <w:right w:w="60" w:type="dxa"/>
            </w:tcMar>
            <w:vAlign w:val="center"/>
          </w:tcPr>
          <w:p>
            <w:pPr>
              <w:spacing w:before="0" w:after="0" w:line="269" w:lineRule="auto"/>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6</w:t>
            </w:r>
          </w:p>
        </w:tc>
        <w:tc>
          <w:tcPr>
            <w:tcW w:w="7249"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“小浦”能够正确答复委托进度、当前任务等业务查询</w:t>
            </w:r>
          </w:p>
        </w:tc>
      </w:tr>
      <w:tr>
        <w:trPr>
          <w:cantSplit/>
          <w:jc w:val="center"/>
        </w:trPr>
        <w:tc>
          <w:tcPr>
            <w:tcW w:w="1057" w:type="dxa"/>
            <w:tcMar>
              <w:top w:w="100" w:type="dxa"/>
              <w:left w:w="60" w:type="dxa"/>
              <w:bottom w:w="100" w:type="dxa"/>
              <w:right w:w="60" w:type="dxa"/>
            </w:tcMar>
            <w:vAlign w:val="center"/>
          </w:tcPr>
          <w:p>
            <w:pPr>
              <w:spacing w:before="0" w:after="0" w:line="269" w:lineRule="auto"/>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7</w:t>
            </w:r>
          </w:p>
        </w:tc>
        <w:tc>
          <w:tcPr>
            <w:tcW w:w="7249"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X300B运输机器人试运行期间，规划路线内的送达准确率不低于90%</w:t>
            </w:r>
          </w:p>
        </w:tc>
      </w:tr>
    </w:tbl>
    <w:p>
      <w:pPr>
        <w:spacing w:after="0" w:line="20" w:lineRule="exact"/>
        <w:rPr>
          <w:sz w:val="2"/>
        </w:rPr>
      </w:pPr>
    </w:p>
    <w:p>
      <w:pPr>
        <w:keepNext/>
        <w:keepLines w:val="0"/>
        <w:pageBreakBefore/>
        <w:widowControl/>
        <w:kinsoku w:val="0"/>
        <w:wordWrap/>
        <w:overflowPunct/>
        <w:topLinePunct w:val="0"/>
        <w:autoSpaceDE w:val="0"/>
        <w:autoSpaceDN w:val="0"/>
        <w:bidi w:val="0"/>
        <w:adjustRightInd w:val="0"/>
        <w:snapToGrid w:val="0"/>
        <w:spacing w:before="120" w:after="0" w:line="360" w:lineRule="auto"/>
        <w:ind w:left="0" w:firstLine="0"/>
        <w:jc w:val="left"/>
        <w:textAlignment w:val="baseline"/>
        <w:outlineLvl w:val="0"/>
        <w:rPr>
          <w:rFonts w:hint="eastAsia" w:ascii="宋体" w:hAnsi="宋体" w:eastAsia="宋体" w:cs="宋体"/>
          <w:b/>
          <w:snapToGrid w:val="0"/>
          <w:color w:val="000000"/>
          <w:sz w:val="28"/>
          <w:szCs w:val="28"/>
          <w:lang w:val="en-US" w:eastAsia="zh-CN" w:bidi="ar-SA"/>
        </w:rPr>
      </w:pPr>
      <w:bookmarkStart w:id="124" w:name="_Toc900124"/>
      <w:r>
        <w:rPr>
          <w:rFonts w:hint="eastAsia" w:ascii="宋体" w:hAnsi="宋体" w:eastAsia="宋体" w:cs="宋体"/>
          <w:b/>
          <w:snapToGrid w:val="0"/>
          <w:color w:val="000000"/>
          <w:sz w:val="28"/>
          <w:szCs w:val="28"/>
          <w:lang w:val="en-US" w:eastAsia="zh-CN" w:bidi="ar-SA"/>
        </w:rPr>
        <w:t>五、费用测算</w:t>
      </w:r>
      <w:bookmarkEnd w:id="124"/>
    </w:p>
    <w:p>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 xml:space="preserve">本期项目整体报价分为硬件报价与软件报价两部分：硬件包括样品运输机器人、智能门禁、引导屏与边缘采集网关；软件包括委托受理、任务下发、试验数据采集、检测报告自动生成、“小浦”智能体升级及系统实施服务。大模型调用费用计入软件报价，不单独采购高成本算力硬件。</w:t>
      </w:r>
    </w:p>
    <w:p>
      <w:pPr>
        <w:keepNext/>
        <w:keepLines w:val="0"/>
        <w:pageBreakBefore w:val="0"/>
        <w:widowControl/>
        <w:kinsoku w:val="0"/>
        <w:wordWrap/>
        <w:overflowPunct/>
        <w:topLinePunct w:val="0"/>
        <w:autoSpaceDE w:val="0"/>
        <w:autoSpaceDN w:val="0"/>
        <w:bidi w:val="0"/>
        <w:adjustRightInd w:val="0"/>
        <w:snapToGrid w:val="0"/>
        <w:spacing w:before="120" w:after="0" w:line="360" w:lineRule="auto"/>
        <w:ind w:left="0" w:firstLine="0"/>
        <w:jc w:val="left"/>
        <w:textAlignment w:val="baseline"/>
        <w:outlineLvl w:val="1"/>
        <w:rPr>
          <w:rFonts w:hint="eastAsia" w:ascii="宋体" w:hAnsi="宋体" w:eastAsia="宋体" w:cs="宋体"/>
          <w:b/>
          <w:snapToGrid w:val="0"/>
          <w:color w:val="000000"/>
          <w:sz w:val="28"/>
          <w:szCs w:val="28"/>
          <w:lang w:val="en-US" w:eastAsia="zh-CN" w:bidi="ar-SA"/>
        </w:rPr>
      </w:pPr>
      <w:bookmarkStart w:id="125" w:name="_Toc900125"/>
      <w:r>
        <w:rPr>
          <w:rFonts w:hint="eastAsia" w:ascii="宋体" w:hAnsi="宋体" w:eastAsia="宋体" w:cs="宋体"/>
          <w:b/>
          <w:snapToGrid w:val="0"/>
          <w:color w:val="000000"/>
          <w:sz w:val="28"/>
          <w:szCs w:val="28"/>
          <w:lang w:val="en-US" w:eastAsia="zh-CN" w:bidi="ar-SA"/>
        </w:rPr>
        <w:t>5.1 硬件报价清单</w:t>
      </w:r>
      <w:bookmarkEnd w:id="125"/>
    </w:p>
    <w:tbl>
      <w:tblPr>
        <w:tblStyle w:val="15"/>
        <w:tblW w:w="8306" w:type="dxa"/>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672"/>
        <w:gridCol w:w="480"/>
        <w:gridCol w:w="912"/>
        <w:gridCol w:w="2400"/>
        <w:gridCol w:w="432"/>
        <w:gridCol w:w="528"/>
        <w:gridCol w:w="960"/>
        <w:gridCol w:w="1008"/>
        <w:gridCol w:w="914"/>
      </w:tblGrid>
      <w:tr>
        <w:trPr>
          <w:cantSplit/>
          <w:tblHeader/>
          <w:jc w:val="center"/>
        </w:trPr>
        <w:tc>
          <w:tcPr>
            <w:tcW w:w="672" w:type="dxa"/>
            <w:shd w:val="clear" w:color="auto" w:fill="17365D"/>
            <w:tcMar>
              <w:top w:w="100" w:type="dxa"/>
              <w:left w:w="60" w:type="dxa"/>
              <w:bottom w:w="100" w:type="dxa"/>
              <w:right w:w="60" w:type="dxa"/>
            </w:tcMar>
            <w:vAlign w:val="center"/>
          </w:tcPr>
          <w:p>
            <w:pPr>
              <w:spacing w:before="0" w:after="0" w:line="269" w:lineRule="auto"/>
              <w:jc w:val="center"/>
              <w:rPr>
                <w:rFonts w:hint="eastAsia" w:ascii="宋体" w:hAnsi="宋体" w:eastAsia="宋体" w:cs="宋体"/>
                <w:b/>
                <w:color w:val="FFFFFF"/>
                <w:sz w:val="18"/>
                <w:szCs w:val="18"/>
                <w:lang w:val="en-US" w:eastAsia="zh-CN"/>
              </w:rPr>
            </w:pPr>
            <w:r>
              <w:rPr>
                <w:rFonts w:hint="eastAsia" w:ascii="宋体" w:hAnsi="宋体" w:eastAsia="宋体" w:cs="宋体"/>
                <w:b/>
                <w:color w:val="FFFFFF"/>
                <w:sz w:val="18"/>
                <w:szCs w:val="18"/>
                <w:lang w:val="en-US" w:eastAsia="zh-CN"/>
              </w:rPr>
              <w:t xml:space="preserve">名称</w:t>
            </w:r>
          </w:p>
        </w:tc>
        <w:tc>
          <w:tcPr>
            <w:tcW w:w="480" w:type="dxa"/>
            <w:shd w:val="clear" w:color="auto" w:fill="17365D"/>
            <w:tcMar>
              <w:top w:w="100" w:type="dxa"/>
              <w:left w:w="60" w:type="dxa"/>
              <w:bottom w:w="100" w:type="dxa"/>
              <w:right w:w="60" w:type="dxa"/>
            </w:tcMar>
            <w:vAlign w:val="center"/>
          </w:tcPr>
          <w:p>
            <w:pPr>
              <w:spacing w:before="0" w:after="0" w:line="269" w:lineRule="auto"/>
              <w:jc w:val="center"/>
              <w:rPr>
                <w:rFonts w:hint="eastAsia" w:ascii="宋体" w:hAnsi="宋体" w:eastAsia="宋体" w:cs="宋体"/>
                <w:b/>
                <w:color w:val="FFFFFF"/>
                <w:sz w:val="18"/>
                <w:szCs w:val="18"/>
                <w:lang w:val="en-US" w:eastAsia="zh-CN"/>
              </w:rPr>
            </w:pPr>
            <w:r>
              <w:rPr>
                <w:rFonts w:hint="eastAsia" w:ascii="宋体" w:hAnsi="宋体" w:eastAsia="宋体" w:cs="宋体"/>
                <w:b/>
                <w:color w:val="FFFFFF"/>
                <w:sz w:val="18"/>
                <w:szCs w:val="18"/>
                <w:lang w:val="en-US" w:eastAsia="zh-CN"/>
              </w:rPr>
              <w:t xml:space="preserve">序号</w:t>
            </w:r>
          </w:p>
        </w:tc>
        <w:tc>
          <w:tcPr>
            <w:tcW w:w="912" w:type="dxa"/>
            <w:shd w:val="clear" w:color="auto" w:fill="17365D"/>
            <w:tcMar>
              <w:top w:w="100" w:type="dxa"/>
              <w:left w:w="60" w:type="dxa"/>
              <w:bottom w:w="100" w:type="dxa"/>
              <w:right w:w="60" w:type="dxa"/>
            </w:tcMar>
            <w:vAlign w:val="center"/>
          </w:tcPr>
          <w:p>
            <w:pPr>
              <w:spacing w:before="0" w:after="0" w:line="269" w:lineRule="auto"/>
              <w:jc w:val="center"/>
              <w:rPr>
                <w:rFonts w:hint="eastAsia" w:ascii="宋体" w:hAnsi="宋体" w:eastAsia="宋体" w:cs="宋体"/>
                <w:b/>
                <w:color w:val="FFFFFF"/>
                <w:sz w:val="18"/>
                <w:szCs w:val="18"/>
                <w:lang w:val="en-US" w:eastAsia="zh-CN"/>
              </w:rPr>
            </w:pPr>
            <w:r>
              <w:rPr>
                <w:rFonts w:hint="eastAsia" w:ascii="宋体" w:hAnsi="宋体" w:eastAsia="宋体" w:cs="宋体"/>
                <w:b/>
                <w:color w:val="FFFFFF"/>
                <w:sz w:val="18"/>
                <w:szCs w:val="18"/>
                <w:lang w:val="en-US" w:eastAsia="zh-CN"/>
              </w:rPr>
              <w:t xml:space="preserve">模块名称</w:t>
            </w:r>
          </w:p>
        </w:tc>
        <w:tc>
          <w:tcPr>
            <w:tcW w:w="2400" w:type="dxa"/>
            <w:shd w:val="clear" w:color="auto" w:fill="17365D"/>
            <w:tcMar>
              <w:top w:w="100" w:type="dxa"/>
              <w:left w:w="60" w:type="dxa"/>
              <w:bottom w:w="100" w:type="dxa"/>
              <w:right w:w="60" w:type="dxa"/>
            </w:tcMar>
            <w:vAlign w:val="center"/>
          </w:tcPr>
          <w:p>
            <w:pPr>
              <w:spacing w:before="0" w:after="0" w:line="269" w:lineRule="auto"/>
              <w:jc w:val="center"/>
              <w:rPr>
                <w:rFonts w:hint="eastAsia" w:ascii="宋体" w:hAnsi="宋体" w:eastAsia="宋体" w:cs="宋体"/>
                <w:b/>
                <w:color w:val="FFFFFF"/>
                <w:sz w:val="18"/>
                <w:szCs w:val="18"/>
                <w:lang w:val="en-US" w:eastAsia="zh-CN"/>
              </w:rPr>
            </w:pPr>
            <w:r>
              <w:rPr>
                <w:rFonts w:hint="eastAsia" w:ascii="宋体" w:hAnsi="宋体" w:eastAsia="宋体" w:cs="宋体"/>
                <w:b/>
                <w:color w:val="FFFFFF"/>
                <w:sz w:val="18"/>
                <w:szCs w:val="18"/>
                <w:lang w:val="en-US" w:eastAsia="zh-CN"/>
              </w:rPr>
              <w:t xml:space="preserve">项目特征与需求描述</w:t>
            </w:r>
          </w:p>
        </w:tc>
        <w:tc>
          <w:tcPr>
            <w:tcW w:w="432" w:type="dxa"/>
            <w:shd w:val="clear" w:color="auto" w:fill="17365D"/>
            <w:tcMar>
              <w:top w:w="100" w:type="dxa"/>
              <w:left w:w="60" w:type="dxa"/>
              <w:bottom w:w="100" w:type="dxa"/>
              <w:right w:w="60" w:type="dxa"/>
            </w:tcMar>
            <w:vAlign w:val="center"/>
          </w:tcPr>
          <w:p>
            <w:pPr>
              <w:spacing w:before="0" w:after="0" w:line="269" w:lineRule="auto"/>
              <w:jc w:val="center"/>
              <w:rPr>
                <w:rFonts w:hint="eastAsia" w:ascii="宋体" w:hAnsi="宋体" w:eastAsia="宋体" w:cs="宋体"/>
                <w:b/>
                <w:color w:val="FFFFFF"/>
                <w:sz w:val="18"/>
                <w:szCs w:val="18"/>
                <w:lang w:val="en-US" w:eastAsia="zh-CN"/>
              </w:rPr>
            </w:pPr>
            <w:r>
              <w:rPr>
                <w:rFonts w:hint="eastAsia" w:ascii="宋体" w:hAnsi="宋体" w:eastAsia="宋体" w:cs="宋体"/>
                <w:b/>
                <w:color w:val="FFFFFF"/>
                <w:sz w:val="18"/>
                <w:szCs w:val="18"/>
                <w:lang w:val="en-US" w:eastAsia="zh-CN"/>
              </w:rPr>
              <w:t xml:space="preserve">单位</w:t>
            </w:r>
          </w:p>
        </w:tc>
        <w:tc>
          <w:tcPr>
            <w:tcW w:w="528" w:type="dxa"/>
            <w:shd w:val="clear" w:color="auto" w:fill="17365D"/>
            <w:tcMar>
              <w:top w:w="100" w:type="dxa"/>
              <w:left w:w="60" w:type="dxa"/>
              <w:bottom w:w="100" w:type="dxa"/>
              <w:right w:w="60" w:type="dxa"/>
            </w:tcMar>
            <w:vAlign w:val="center"/>
          </w:tcPr>
          <w:p>
            <w:pPr>
              <w:spacing w:before="0" w:after="0" w:line="269" w:lineRule="auto"/>
              <w:jc w:val="center"/>
              <w:rPr>
                <w:rFonts w:hint="eastAsia" w:ascii="宋体" w:hAnsi="宋体" w:eastAsia="宋体" w:cs="宋体"/>
                <w:b/>
                <w:color w:val="FFFFFF"/>
                <w:sz w:val="18"/>
                <w:szCs w:val="18"/>
                <w:lang w:val="en-US" w:eastAsia="zh-CN"/>
              </w:rPr>
            </w:pPr>
            <w:r>
              <w:rPr>
                <w:rFonts w:hint="eastAsia" w:ascii="宋体" w:hAnsi="宋体" w:eastAsia="宋体" w:cs="宋体"/>
                <w:b/>
                <w:color w:val="FFFFFF"/>
                <w:sz w:val="18"/>
                <w:szCs w:val="18"/>
                <w:lang w:val="en-US" w:eastAsia="zh-CN"/>
              </w:rPr>
              <w:t xml:space="preserve">工程量</w:t>
            </w:r>
          </w:p>
        </w:tc>
        <w:tc>
          <w:tcPr>
            <w:tcW w:w="960" w:type="dxa"/>
            <w:shd w:val="clear" w:color="auto" w:fill="17365D"/>
            <w:tcMar>
              <w:top w:w="100" w:type="dxa"/>
              <w:left w:w="60" w:type="dxa"/>
              <w:bottom w:w="100" w:type="dxa"/>
              <w:right w:w="60" w:type="dxa"/>
            </w:tcMar>
            <w:vAlign w:val="center"/>
          </w:tcPr>
          <w:p>
            <w:pPr>
              <w:spacing w:before="0" w:after="0" w:line="269" w:lineRule="auto"/>
              <w:jc w:val="center"/>
              <w:rPr>
                <w:rFonts w:hint="eastAsia" w:ascii="宋体" w:hAnsi="宋体" w:eastAsia="宋体" w:cs="宋体"/>
                <w:b/>
                <w:color w:val="FFFFFF"/>
                <w:sz w:val="18"/>
                <w:szCs w:val="18"/>
                <w:lang w:val="en-US" w:eastAsia="zh-CN"/>
              </w:rPr>
            </w:pPr>
            <w:r>
              <w:rPr>
                <w:rFonts w:hint="eastAsia" w:ascii="宋体" w:hAnsi="宋体" w:eastAsia="宋体" w:cs="宋体"/>
                <w:b/>
                <w:color w:val="FFFFFF"/>
                <w:sz w:val="18"/>
                <w:szCs w:val="18"/>
                <w:lang w:val="en-US" w:eastAsia="zh-CN"/>
              </w:rPr>
              <w:t xml:space="preserve">单价（元）</w:t>
            </w:r>
          </w:p>
        </w:tc>
        <w:tc>
          <w:tcPr>
            <w:tcW w:w="1008" w:type="dxa"/>
            <w:shd w:val="clear" w:color="auto" w:fill="17365D"/>
            <w:tcMar>
              <w:top w:w="100" w:type="dxa"/>
              <w:left w:w="60" w:type="dxa"/>
              <w:bottom w:w="100" w:type="dxa"/>
              <w:right w:w="60" w:type="dxa"/>
            </w:tcMar>
            <w:vAlign w:val="center"/>
          </w:tcPr>
          <w:p>
            <w:pPr>
              <w:spacing w:before="0" w:after="0" w:line="269" w:lineRule="auto"/>
              <w:jc w:val="center"/>
              <w:rPr>
                <w:rFonts w:hint="eastAsia" w:ascii="宋体" w:hAnsi="宋体" w:eastAsia="宋体" w:cs="宋体"/>
                <w:b/>
                <w:color w:val="FFFFFF"/>
                <w:sz w:val="18"/>
                <w:szCs w:val="18"/>
                <w:lang w:val="en-US" w:eastAsia="zh-CN"/>
              </w:rPr>
            </w:pPr>
            <w:r>
              <w:rPr>
                <w:rFonts w:hint="eastAsia" w:ascii="宋体" w:hAnsi="宋体" w:eastAsia="宋体" w:cs="宋体"/>
                <w:b/>
                <w:color w:val="FFFFFF"/>
                <w:sz w:val="18"/>
                <w:szCs w:val="18"/>
                <w:lang w:val="en-US" w:eastAsia="zh-CN"/>
              </w:rPr>
              <w:t xml:space="preserve">合价（元）</w:t>
            </w:r>
          </w:p>
        </w:tc>
        <w:tc>
          <w:tcPr>
            <w:tcW w:w="914" w:type="dxa"/>
            <w:shd w:val="clear" w:color="auto" w:fill="17365D"/>
            <w:tcMar>
              <w:top w:w="100" w:type="dxa"/>
              <w:left w:w="60" w:type="dxa"/>
              <w:bottom w:w="100" w:type="dxa"/>
              <w:right w:w="60" w:type="dxa"/>
            </w:tcMar>
            <w:vAlign w:val="center"/>
          </w:tcPr>
          <w:p>
            <w:pPr>
              <w:spacing w:before="0" w:after="0" w:line="269" w:lineRule="auto"/>
              <w:jc w:val="center"/>
              <w:rPr>
                <w:rFonts w:hint="eastAsia" w:ascii="宋体" w:hAnsi="宋体" w:eastAsia="宋体" w:cs="宋体"/>
                <w:b/>
                <w:color w:val="FFFFFF"/>
                <w:sz w:val="18"/>
                <w:szCs w:val="18"/>
                <w:lang w:val="en-US" w:eastAsia="zh-CN"/>
              </w:rPr>
            </w:pPr>
            <w:r>
              <w:rPr>
                <w:rFonts w:hint="eastAsia" w:ascii="宋体" w:hAnsi="宋体" w:eastAsia="宋体" w:cs="宋体"/>
                <w:b/>
                <w:color w:val="FFFFFF"/>
                <w:sz w:val="18"/>
                <w:szCs w:val="18"/>
                <w:lang w:val="en-US" w:eastAsia="zh-CN"/>
              </w:rPr>
              <w:t xml:space="preserve">备注</w:t>
            </w:r>
          </w:p>
        </w:tc>
      </w:tr>
      <w:tr>
        <w:trPr>
          <w:cantSplit/>
          <w:jc w:val="center"/>
        </w:trPr>
        <w:tc>
          <w:tcPr>
            <w:tcW w:w="672" w:type="dxa"/>
            <w:tcMar>
              <w:top w:w="100" w:type="dxa"/>
              <w:left w:w="60" w:type="dxa"/>
              <w:bottom w:w="100" w:type="dxa"/>
              <w:right w:w="60" w:type="dxa"/>
            </w:tcMar>
            <w:vAlign w:val="center"/>
          </w:tcPr>
          <w:p>
            <w:pPr>
              <w:spacing w:before="0" w:after="0" w:line="269" w:lineRule="auto"/>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样品运输设备</w:t>
            </w:r>
          </w:p>
        </w:tc>
        <w:tc>
          <w:tcPr>
            <w:tcW w:w="48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1</w:t>
            </w:r>
          </w:p>
        </w:tc>
        <w:tc>
          <w:tcPr>
            <w:tcW w:w="91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样品运输机器人</w:t>
            </w:r>
          </w:p>
        </w:tc>
        <w:tc>
          <w:tcPr>
            <w:tcW w:w="240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X300B工业搬运机器人，双轮差速驱动，激光SLAM导航，举升高度60 mm，导航到点精度&lt;±20 mm；含电池、自动回充桩、调度管理系统授权及现场建图调试</w:t>
            </w:r>
          </w:p>
        </w:tc>
        <w:tc>
          <w:tcPr>
            <w:tcW w:w="43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台</w:t>
            </w:r>
          </w:p>
        </w:tc>
        <w:tc>
          <w:tcPr>
            <w:tcW w:w="528"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2</w:t>
            </w:r>
          </w:p>
        </w:tc>
        <w:tc>
          <w:tcPr>
            <w:tcW w:w="96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100,000</w:t>
            </w:r>
          </w:p>
        </w:tc>
        <w:tc>
          <w:tcPr>
            <w:tcW w:w="1008"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200,000</w:t>
            </w:r>
          </w:p>
        </w:tc>
        <w:tc>
          <w:tcPr>
            <w:tcW w:w="914"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单台10万元</w:t>
            </w:r>
          </w:p>
        </w:tc>
      </w:tr>
      <w:tr>
        <w:trPr>
          <w:cantSplit/>
          <w:jc w:val="center"/>
        </w:trPr>
        <w:tc>
          <w:tcPr>
            <w:tcW w:w="672" w:type="dxa"/>
            <w:tcMar>
              <w:top w:w="100" w:type="dxa"/>
              <w:left w:w="60" w:type="dxa"/>
              <w:bottom w:w="100" w:type="dxa"/>
              <w:right w:w="60" w:type="dxa"/>
            </w:tcMar>
            <w:vAlign w:val="center"/>
          </w:tcPr>
          <w:p>
            <w:pPr>
              <w:spacing w:before="0" w:after="0" w:line="269" w:lineRule="auto"/>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门禁与显示设备</w:t>
            </w:r>
          </w:p>
        </w:tc>
        <w:tc>
          <w:tcPr>
            <w:tcW w:w="48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2</w:t>
            </w:r>
          </w:p>
        </w:tc>
        <w:tc>
          <w:tcPr>
            <w:tcW w:w="91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运输机器人联动改造</w:t>
            </w:r>
          </w:p>
        </w:tc>
        <w:tc>
          <w:tcPr>
            <w:tcW w:w="240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运输路线上的试验室门体加装联动控制器与电动开门机，具备开门、关门及到位信号输出</w:t>
            </w:r>
          </w:p>
        </w:tc>
        <w:tc>
          <w:tcPr>
            <w:tcW w:w="43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扇</w:t>
            </w:r>
          </w:p>
        </w:tc>
        <w:tc>
          <w:tcPr>
            <w:tcW w:w="528"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4</w:t>
            </w:r>
          </w:p>
        </w:tc>
        <w:tc>
          <w:tcPr>
            <w:tcW w:w="96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6,000</w:t>
            </w:r>
          </w:p>
        </w:tc>
        <w:tc>
          <w:tcPr>
            <w:tcW w:w="1008"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24,000</w:t>
            </w:r>
          </w:p>
        </w:tc>
        <w:tc>
          <w:tcPr>
            <w:tcW w:w="914"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含安装；数量以现场勘查为准</w:t>
            </w:r>
          </w:p>
        </w:tc>
      </w:tr>
      <w:tr>
        <w:trPr>
          <w:cantSplit/>
          <w:jc w:val="center"/>
        </w:trPr>
        <w:tc>
          <w:tcPr>
            <w:tcW w:w="672" w:type="dxa"/>
            <w:tcMar>
              <w:top w:w="100" w:type="dxa"/>
              <w:left w:w="60" w:type="dxa"/>
              <w:bottom w:w="100" w:type="dxa"/>
              <w:right w:w="60" w:type="dxa"/>
            </w:tcMar>
            <w:vAlign w:val="center"/>
          </w:tcPr>
          <w:p>
            <w:pPr>
              <w:spacing w:before="0" w:after="0" w:line="269" w:lineRule="auto"/>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门禁与显示设备</w:t>
            </w:r>
          </w:p>
        </w:tc>
        <w:tc>
          <w:tcPr>
            <w:tcW w:w="48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3</w:t>
            </w:r>
          </w:p>
        </w:tc>
        <w:tc>
          <w:tcPr>
            <w:tcW w:w="91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委托前台引导屏</w:t>
            </w:r>
          </w:p>
        </w:tc>
        <w:tc>
          <w:tcPr>
            <w:tcW w:w="240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55英寸商用显示屏，用于滚动展示当日及次日试验任务</w:t>
            </w:r>
          </w:p>
        </w:tc>
        <w:tc>
          <w:tcPr>
            <w:tcW w:w="43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台</w:t>
            </w:r>
          </w:p>
        </w:tc>
        <w:tc>
          <w:tcPr>
            <w:tcW w:w="528"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1</w:t>
            </w:r>
          </w:p>
        </w:tc>
        <w:tc>
          <w:tcPr>
            <w:tcW w:w="96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8,000</w:t>
            </w:r>
          </w:p>
        </w:tc>
        <w:tc>
          <w:tcPr>
            <w:tcW w:w="1008"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8,000</w:t>
            </w:r>
          </w:p>
        </w:tc>
        <w:tc>
          <w:tcPr>
            <w:tcW w:w="914"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含支架与安装</w:t>
            </w:r>
          </w:p>
        </w:tc>
      </w:tr>
      <w:tr>
        <w:trPr>
          <w:cantSplit/>
          <w:jc w:val="center"/>
        </w:trPr>
        <w:tc>
          <w:tcPr>
            <w:tcW w:w="672" w:type="dxa"/>
            <w:tcMar>
              <w:top w:w="100" w:type="dxa"/>
              <w:left w:w="60" w:type="dxa"/>
              <w:bottom w:w="100" w:type="dxa"/>
              <w:right w:w="60" w:type="dxa"/>
            </w:tcMar>
            <w:vAlign w:val="center"/>
          </w:tcPr>
          <w:p>
            <w:pPr>
              <w:spacing w:before="0" w:after="0" w:line="269" w:lineRule="auto"/>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数据采集设备</w:t>
            </w:r>
          </w:p>
        </w:tc>
        <w:tc>
          <w:tcPr>
            <w:tcW w:w="48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4</w:t>
            </w:r>
          </w:p>
        </w:tc>
        <w:tc>
          <w:tcPr>
            <w:tcW w:w="91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边缘采集网关</w:t>
            </w:r>
          </w:p>
        </w:tc>
        <w:tc>
          <w:tcPr>
            <w:tcW w:w="240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支持RS232/RS485串口与以太网接口，用于采集试验设备通信数据</w:t>
            </w:r>
          </w:p>
        </w:tc>
        <w:tc>
          <w:tcPr>
            <w:tcW w:w="43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台</w:t>
            </w:r>
          </w:p>
        </w:tc>
        <w:tc>
          <w:tcPr>
            <w:tcW w:w="528"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4</w:t>
            </w:r>
          </w:p>
        </w:tc>
        <w:tc>
          <w:tcPr>
            <w:tcW w:w="96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3,000</w:t>
            </w:r>
          </w:p>
        </w:tc>
        <w:tc>
          <w:tcPr>
            <w:tcW w:w="1008"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12,000</w:t>
            </w:r>
          </w:p>
        </w:tc>
        <w:tc>
          <w:tcPr>
            <w:tcW w:w="914"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数量以接入设备为准</w:t>
            </w:r>
          </w:p>
        </w:tc>
      </w:tr>
      <w:tr>
        <w:trPr>
          <w:cantSplit/>
          <w:jc w:val="center"/>
        </w:trPr>
        <w:tc>
          <w:tcPr>
            <w:tcW w:w="672" w:type="dxa"/>
            <w:tcMar>
              <w:top w:w="100" w:type="dxa"/>
              <w:left w:w="60" w:type="dxa"/>
              <w:bottom w:w="100" w:type="dxa"/>
              <w:right w:w="60" w:type="dxa"/>
            </w:tcMar>
            <w:vAlign w:val="center"/>
          </w:tcPr>
          <w:p>
            <w:pPr>
              <w:spacing w:before="0" w:after="0" w:line="269" w:lineRule="auto"/>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硬件小计</w:t>
            </w:r>
          </w:p>
        </w:tc>
        <w:tc>
          <w:tcPr>
            <w:tcW w:w="48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
            </w:r>
          </w:p>
        </w:tc>
        <w:tc>
          <w:tcPr>
            <w:tcW w:w="91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
            </w:r>
          </w:p>
        </w:tc>
        <w:tc>
          <w:tcPr>
            <w:tcW w:w="240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
            </w:r>
          </w:p>
        </w:tc>
        <w:tc>
          <w:tcPr>
            <w:tcW w:w="43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
            </w:r>
          </w:p>
        </w:tc>
        <w:tc>
          <w:tcPr>
            <w:tcW w:w="528"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
            </w:r>
          </w:p>
        </w:tc>
        <w:tc>
          <w:tcPr>
            <w:tcW w:w="96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
            </w:r>
          </w:p>
        </w:tc>
        <w:tc>
          <w:tcPr>
            <w:tcW w:w="1008"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244,000</w:t>
            </w:r>
          </w:p>
        </w:tc>
        <w:tc>
          <w:tcPr>
            <w:tcW w:w="914"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
            </w:r>
          </w:p>
        </w:tc>
      </w:tr>
    </w:tbl>
    <w:p>
      <w:pPr>
        <w:spacing w:after="0" w:line="20" w:lineRule="exact"/>
        <w:rPr>
          <w:sz w:val="2"/>
        </w:rPr>
      </w:pPr>
    </w:p>
    <w:p>
      <w:pPr>
        <w:keepNext/>
        <w:keepLines w:val="0"/>
        <w:pageBreakBefore w:val="0"/>
        <w:widowControl/>
        <w:kinsoku w:val="0"/>
        <w:wordWrap/>
        <w:overflowPunct/>
        <w:topLinePunct w:val="0"/>
        <w:autoSpaceDE w:val="0"/>
        <w:autoSpaceDN w:val="0"/>
        <w:bidi w:val="0"/>
        <w:adjustRightInd w:val="0"/>
        <w:snapToGrid w:val="0"/>
        <w:spacing w:before="120" w:after="0" w:line="360" w:lineRule="auto"/>
        <w:ind w:left="0" w:firstLine="0"/>
        <w:jc w:val="left"/>
        <w:textAlignment w:val="baseline"/>
        <w:outlineLvl w:val="1"/>
        <w:rPr>
          <w:rFonts w:hint="eastAsia" w:ascii="宋体" w:hAnsi="宋体" w:eastAsia="宋体" w:cs="宋体"/>
          <w:b/>
          <w:snapToGrid w:val="0"/>
          <w:color w:val="000000"/>
          <w:sz w:val="28"/>
          <w:szCs w:val="28"/>
          <w:lang w:val="en-US" w:eastAsia="zh-CN" w:bidi="ar-SA"/>
        </w:rPr>
      </w:pPr>
      <w:bookmarkStart w:id="126" w:name="_Toc900126"/>
      <w:r>
        <w:rPr>
          <w:rFonts w:hint="eastAsia" w:ascii="宋体" w:hAnsi="宋体" w:eastAsia="宋体" w:cs="宋体"/>
          <w:b/>
          <w:snapToGrid w:val="0"/>
          <w:color w:val="000000"/>
          <w:sz w:val="28"/>
          <w:szCs w:val="28"/>
          <w:lang w:val="en-US" w:eastAsia="zh-CN" w:bidi="ar-SA"/>
        </w:rPr>
        <w:t>5.2 软件报价清单</w:t>
      </w:r>
      <w:bookmarkEnd w:id="126"/>
    </w:p>
    <w:tbl>
      <w:tblPr>
        <w:tblStyle w:val="15"/>
        <w:tblW w:w="8306" w:type="dxa"/>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672"/>
        <w:gridCol w:w="480"/>
        <w:gridCol w:w="912"/>
        <w:gridCol w:w="2400"/>
        <w:gridCol w:w="432"/>
        <w:gridCol w:w="528"/>
        <w:gridCol w:w="960"/>
        <w:gridCol w:w="1008"/>
        <w:gridCol w:w="914"/>
      </w:tblGrid>
      <w:tr>
        <w:trPr>
          <w:cantSplit/>
          <w:tblHeader/>
          <w:jc w:val="center"/>
        </w:trPr>
        <w:tc>
          <w:tcPr>
            <w:tcW w:w="672" w:type="dxa"/>
            <w:shd w:val="clear" w:color="auto" w:fill="17365D"/>
            <w:tcMar>
              <w:top w:w="100" w:type="dxa"/>
              <w:left w:w="60" w:type="dxa"/>
              <w:bottom w:w="100" w:type="dxa"/>
              <w:right w:w="60" w:type="dxa"/>
            </w:tcMar>
            <w:vAlign w:val="center"/>
          </w:tcPr>
          <w:p>
            <w:pPr>
              <w:spacing w:before="0" w:after="0" w:line="269" w:lineRule="auto"/>
              <w:jc w:val="center"/>
              <w:rPr>
                <w:rFonts w:hint="eastAsia" w:ascii="宋体" w:hAnsi="宋体" w:eastAsia="宋体" w:cs="宋体"/>
                <w:b/>
                <w:color w:val="FFFFFF"/>
                <w:sz w:val="18"/>
                <w:szCs w:val="18"/>
                <w:lang w:val="en-US" w:eastAsia="zh-CN"/>
              </w:rPr>
            </w:pPr>
            <w:r>
              <w:rPr>
                <w:rFonts w:hint="eastAsia" w:ascii="宋体" w:hAnsi="宋体" w:eastAsia="宋体" w:cs="宋体"/>
                <w:b/>
                <w:color w:val="FFFFFF"/>
                <w:sz w:val="18"/>
                <w:szCs w:val="18"/>
                <w:lang w:val="en-US" w:eastAsia="zh-CN"/>
              </w:rPr>
              <w:t xml:space="preserve">名称</w:t>
            </w:r>
          </w:p>
        </w:tc>
        <w:tc>
          <w:tcPr>
            <w:tcW w:w="480" w:type="dxa"/>
            <w:shd w:val="clear" w:color="auto" w:fill="17365D"/>
            <w:tcMar>
              <w:top w:w="100" w:type="dxa"/>
              <w:left w:w="60" w:type="dxa"/>
              <w:bottom w:w="100" w:type="dxa"/>
              <w:right w:w="60" w:type="dxa"/>
            </w:tcMar>
            <w:vAlign w:val="center"/>
          </w:tcPr>
          <w:p>
            <w:pPr>
              <w:spacing w:before="0" w:after="0" w:line="269" w:lineRule="auto"/>
              <w:jc w:val="center"/>
              <w:rPr>
                <w:rFonts w:hint="eastAsia" w:ascii="宋体" w:hAnsi="宋体" w:eastAsia="宋体" w:cs="宋体"/>
                <w:b/>
                <w:color w:val="FFFFFF"/>
                <w:sz w:val="18"/>
                <w:szCs w:val="18"/>
                <w:lang w:val="en-US" w:eastAsia="zh-CN"/>
              </w:rPr>
            </w:pPr>
            <w:r>
              <w:rPr>
                <w:rFonts w:hint="eastAsia" w:ascii="宋体" w:hAnsi="宋体" w:eastAsia="宋体" w:cs="宋体"/>
                <w:b/>
                <w:color w:val="FFFFFF"/>
                <w:sz w:val="18"/>
                <w:szCs w:val="18"/>
                <w:lang w:val="en-US" w:eastAsia="zh-CN"/>
              </w:rPr>
              <w:t xml:space="preserve">序号</w:t>
            </w:r>
          </w:p>
        </w:tc>
        <w:tc>
          <w:tcPr>
            <w:tcW w:w="912" w:type="dxa"/>
            <w:shd w:val="clear" w:color="auto" w:fill="17365D"/>
            <w:tcMar>
              <w:top w:w="100" w:type="dxa"/>
              <w:left w:w="60" w:type="dxa"/>
              <w:bottom w:w="100" w:type="dxa"/>
              <w:right w:w="60" w:type="dxa"/>
            </w:tcMar>
            <w:vAlign w:val="center"/>
          </w:tcPr>
          <w:p>
            <w:pPr>
              <w:spacing w:before="0" w:after="0" w:line="269" w:lineRule="auto"/>
              <w:jc w:val="center"/>
              <w:rPr>
                <w:rFonts w:hint="eastAsia" w:ascii="宋体" w:hAnsi="宋体" w:eastAsia="宋体" w:cs="宋体"/>
                <w:b/>
                <w:color w:val="FFFFFF"/>
                <w:sz w:val="18"/>
                <w:szCs w:val="18"/>
                <w:lang w:val="en-US" w:eastAsia="zh-CN"/>
              </w:rPr>
            </w:pPr>
            <w:r>
              <w:rPr>
                <w:rFonts w:hint="eastAsia" w:ascii="宋体" w:hAnsi="宋体" w:eastAsia="宋体" w:cs="宋体"/>
                <w:b/>
                <w:color w:val="FFFFFF"/>
                <w:sz w:val="18"/>
                <w:szCs w:val="18"/>
                <w:lang w:val="en-US" w:eastAsia="zh-CN"/>
              </w:rPr>
              <w:t xml:space="preserve">模块名称</w:t>
            </w:r>
          </w:p>
        </w:tc>
        <w:tc>
          <w:tcPr>
            <w:tcW w:w="2400" w:type="dxa"/>
            <w:shd w:val="clear" w:color="auto" w:fill="17365D"/>
            <w:tcMar>
              <w:top w:w="100" w:type="dxa"/>
              <w:left w:w="60" w:type="dxa"/>
              <w:bottom w:w="100" w:type="dxa"/>
              <w:right w:w="60" w:type="dxa"/>
            </w:tcMar>
            <w:vAlign w:val="center"/>
          </w:tcPr>
          <w:p>
            <w:pPr>
              <w:spacing w:before="0" w:after="0" w:line="269" w:lineRule="auto"/>
              <w:jc w:val="center"/>
              <w:rPr>
                <w:rFonts w:hint="eastAsia" w:ascii="宋体" w:hAnsi="宋体" w:eastAsia="宋体" w:cs="宋体"/>
                <w:b/>
                <w:color w:val="FFFFFF"/>
                <w:sz w:val="18"/>
                <w:szCs w:val="18"/>
                <w:lang w:val="en-US" w:eastAsia="zh-CN"/>
              </w:rPr>
            </w:pPr>
            <w:r>
              <w:rPr>
                <w:rFonts w:hint="eastAsia" w:ascii="宋体" w:hAnsi="宋体" w:eastAsia="宋体" w:cs="宋体"/>
                <w:b/>
                <w:color w:val="FFFFFF"/>
                <w:sz w:val="18"/>
                <w:szCs w:val="18"/>
                <w:lang w:val="en-US" w:eastAsia="zh-CN"/>
              </w:rPr>
              <w:t xml:space="preserve">项目特征与需求描述</w:t>
            </w:r>
          </w:p>
        </w:tc>
        <w:tc>
          <w:tcPr>
            <w:tcW w:w="432" w:type="dxa"/>
            <w:shd w:val="clear" w:color="auto" w:fill="17365D"/>
            <w:tcMar>
              <w:top w:w="100" w:type="dxa"/>
              <w:left w:w="60" w:type="dxa"/>
              <w:bottom w:w="100" w:type="dxa"/>
              <w:right w:w="60" w:type="dxa"/>
            </w:tcMar>
            <w:vAlign w:val="center"/>
          </w:tcPr>
          <w:p>
            <w:pPr>
              <w:spacing w:before="0" w:after="0" w:line="269" w:lineRule="auto"/>
              <w:jc w:val="center"/>
              <w:rPr>
                <w:rFonts w:hint="eastAsia" w:ascii="宋体" w:hAnsi="宋体" w:eastAsia="宋体" w:cs="宋体"/>
                <w:b/>
                <w:color w:val="FFFFFF"/>
                <w:sz w:val="18"/>
                <w:szCs w:val="18"/>
                <w:lang w:val="en-US" w:eastAsia="zh-CN"/>
              </w:rPr>
            </w:pPr>
            <w:r>
              <w:rPr>
                <w:rFonts w:hint="eastAsia" w:ascii="宋体" w:hAnsi="宋体" w:eastAsia="宋体" w:cs="宋体"/>
                <w:b/>
                <w:color w:val="FFFFFF"/>
                <w:sz w:val="18"/>
                <w:szCs w:val="18"/>
                <w:lang w:val="en-US" w:eastAsia="zh-CN"/>
              </w:rPr>
              <w:t xml:space="preserve">单位</w:t>
            </w:r>
          </w:p>
        </w:tc>
        <w:tc>
          <w:tcPr>
            <w:tcW w:w="528" w:type="dxa"/>
            <w:shd w:val="clear" w:color="auto" w:fill="17365D"/>
            <w:tcMar>
              <w:top w:w="100" w:type="dxa"/>
              <w:left w:w="60" w:type="dxa"/>
              <w:bottom w:w="100" w:type="dxa"/>
              <w:right w:w="60" w:type="dxa"/>
            </w:tcMar>
            <w:vAlign w:val="center"/>
          </w:tcPr>
          <w:p>
            <w:pPr>
              <w:spacing w:before="0" w:after="0" w:line="269" w:lineRule="auto"/>
              <w:jc w:val="center"/>
              <w:rPr>
                <w:rFonts w:hint="eastAsia" w:ascii="宋体" w:hAnsi="宋体" w:eastAsia="宋体" w:cs="宋体"/>
                <w:b/>
                <w:color w:val="FFFFFF"/>
                <w:sz w:val="18"/>
                <w:szCs w:val="18"/>
                <w:lang w:val="en-US" w:eastAsia="zh-CN"/>
              </w:rPr>
            </w:pPr>
            <w:r>
              <w:rPr>
                <w:rFonts w:hint="eastAsia" w:ascii="宋体" w:hAnsi="宋体" w:eastAsia="宋体" w:cs="宋体"/>
                <w:b/>
                <w:color w:val="FFFFFF"/>
                <w:sz w:val="18"/>
                <w:szCs w:val="18"/>
                <w:lang w:val="en-US" w:eastAsia="zh-CN"/>
              </w:rPr>
              <w:t xml:space="preserve">工程量</w:t>
            </w:r>
          </w:p>
        </w:tc>
        <w:tc>
          <w:tcPr>
            <w:tcW w:w="960" w:type="dxa"/>
            <w:shd w:val="clear" w:color="auto" w:fill="17365D"/>
            <w:tcMar>
              <w:top w:w="100" w:type="dxa"/>
              <w:left w:w="60" w:type="dxa"/>
              <w:bottom w:w="100" w:type="dxa"/>
              <w:right w:w="60" w:type="dxa"/>
            </w:tcMar>
            <w:vAlign w:val="center"/>
          </w:tcPr>
          <w:p>
            <w:pPr>
              <w:spacing w:before="0" w:after="0" w:line="269" w:lineRule="auto"/>
              <w:jc w:val="center"/>
              <w:rPr>
                <w:rFonts w:hint="eastAsia" w:ascii="宋体" w:hAnsi="宋体" w:eastAsia="宋体" w:cs="宋体"/>
                <w:b/>
                <w:color w:val="FFFFFF"/>
                <w:sz w:val="18"/>
                <w:szCs w:val="18"/>
                <w:lang w:val="en-US" w:eastAsia="zh-CN"/>
              </w:rPr>
            </w:pPr>
            <w:r>
              <w:rPr>
                <w:rFonts w:hint="eastAsia" w:ascii="宋体" w:hAnsi="宋体" w:eastAsia="宋体" w:cs="宋体"/>
                <w:b/>
                <w:color w:val="FFFFFF"/>
                <w:sz w:val="18"/>
                <w:szCs w:val="18"/>
                <w:lang w:val="en-US" w:eastAsia="zh-CN"/>
              </w:rPr>
              <w:t xml:space="preserve">单价（元）</w:t>
            </w:r>
          </w:p>
        </w:tc>
        <w:tc>
          <w:tcPr>
            <w:tcW w:w="1008" w:type="dxa"/>
            <w:shd w:val="clear" w:color="auto" w:fill="17365D"/>
            <w:tcMar>
              <w:top w:w="100" w:type="dxa"/>
              <w:left w:w="60" w:type="dxa"/>
              <w:bottom w:w="100" w:type="dxa"/>
              <w:right w:w="60" w:type="dxa"/>
            </w:tcMar>
            <w:vAlign w:val="center"/>
          </w:tcPr>
          <w:p>
            <w:pPr>
              <w:spacing w:before="0" w:after="0" w:line="269" w:lineRule="auto"/>
              <w:jc w:val="center"/>
              <w:rPr>
                <w:rFonts w:hint="eastAsia" w:ascii="宋体" w:hAnsi="宋体" w:eastAsia="宋体" w:cs="宋体"/>
                <w:b/>
                <w:color w:val="FFFFFF"/>
                <w:sz w:val="18"/>
                <w:szCs w:val="18"/>
                <w:lang w:val="en-US" w:eastAsia="zh-CN"/>
              </w:rPr>
            </w:pPr>
            <w:r>
              <w:rPr>
                <w:rFonts w:hint="eastAsia" w:ascii="宋体" w:hAnsi="宋体" w:eastAsia="宋体" w:cs="宋体"/>
                <w:b/>
                <w:color w:val="FFFFFF"/>
                <w:sz w:val="18"/>
                <w:szCs w:val="18"/>
                <w:lang w:val="en-US" w:eastAsia="zh-CN"/>
              </w:rPr>
              <w:t xml:space="preserve">合价（元）</w:t>
            </w:r>
          </w:p>
        </w:tc>
        <w:tc>
          <w:tcPr>
            <w:tcW w:w="914" w:type="dxa"/>
            <w:shd w:val="clear" w:color="auto" w:fill="17365D"/>
            <w:tcMar>
              <w:top w:w="100" w:type="dxa"/>
              <w:left w:w="60" w:type="dxa"/>
              <w:bottom w:w="100" w:type="dxa"/>
              <w:right w:w="60" w:type="dxa"/>
            </w:tcMar>
            <w:vAlign w:val="center"/>
          </w:tcPr>
          <w:p>
            <w:pPr>
              <w:spacing w:before="0" w:after="0" w:line="269" w:lineRule="auto"/>
              <w:jc w:val="center"/>
              <w:rPr>
                <w:rFonts w:hint="eastAsia" w:ascii="宋体" w:hAnsi="宋体" w:eastAsia="宋体" w:cs="宋体"/>
                <w:b/>
                <w:color w:val="FFFFFF"/>
                <w:sz w:val="18"/>
                <w:szCs w:val="18"/>
                <w:lang w:val="en-US" w:eastAsia="zh-CN"/>
              </w:rPr>
            </w:pPr>
            <w:r>
              <w:rPr>
                <w:rFonts w:hint="eastAsia" w:ascii="宋体" w:hAnsi="宋体" w:eastAsia="宋体" w:cs="宋体"/>
                <w:b/>
                <w:color w:val="FFFFFF"/>
                <w:sz w:val="18"/>
                <w:szCs w:val="18"/>
                <w:lang w:val="en-US" w:eastAsia="zh-CN"/>
              </w:rPr>
              <w:t xml:space="preserve">备注</w:t>
            </w:r>
          </w:p>
        </w:tc>
      </w:tr>
      <w:tr>
        <w:trPr>
          <w:cantSplit/>
          <w:jc w:val="center"/>
        </w:trPr>
        <w:tc>
          <w:tcPr>
            <w:tcW w:w="672" w:type="dxa"/>
            <w:tcMar>
              <w:top w:w="100" w:type="dxa"/>
              <w:left w:w="60" w:type="dxa"/>
              <w:bottom w:w="100" w:type="dxa"/>
              <w:right w:w="60" w:type="dxa"/>
            </w:tcMar>
            <w:vAlign w:val="center"/>
          </w:tcPr>
          <w:p>
            <w:pPr>
              <w:spacing w:before="0" w:after="0" w:line="269" w:lineRule="auto"/>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委托受理</w:t>
            </w:r>
          </w:p>
        </w:tc>
        <w:tc>
          <w:tcPr>
            <w:tcW w:w="48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1</w:t>
            </w:r>
          </w:p>
        </w:tc>
        <w:tc>
          <w:tcPr>
            <w:tcW w:w="91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扫码预委托小程序</w:t>
            </w:r>
          </w:p>
        </w:tc>
        <w:tc>
          <w:tcPr>
            <w:tcW w:w="240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小程序端委托填报，支持历史信息自动带出、纸质委托单拍照上传与委托记录查询</w:t>
            </w:r>
          </w:p>
        </w:tc>
        <w:tc>
          <w:tcPr>
            <w:tcW w:w="43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项</w:t>
            </w:r>
          </w:p>
        </w:tc>
        <w:tc>
          <w:tcPr>
            <w:tcW w:w="528"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1</w:t>
            </w:r>
          </w:p>
        </w:tc>
        <w:tc>
          <w:tcPr>
            <w:tcW w:w="96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50,000</w:t>
            </w:r>
          </w:p>
        </w:tc>
        <w:tc>
          <w:tcPr>
            <w:tcW w:w="1008"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50,000</w:t>
            </w:r>
          </w:p>
        </w:tc>
        <w:tc>
          <w:tcPr>
            <w:tcW w:w="914"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
            </w:r>
          </w:p>
        </w:tc>
      </w:tr>
      <w:tr>
        <w:trPr>
          <w:cantSplit/>
          <w:jc w:val="center"/>
        </w:trPr>
        <w:tc>
          <w:tcPr>
            <w:tcW w:w="672" w:type="dxa"/>
            <w:tcMar>
              <w:top w:w="100" w:type="dxa"/>
              <w:left w:w="60" w:type="dxa"/>
              <w:bottom w:w="100" w:type="dxa"/>
              <w:right w:w="60" w:type="dxa"/>
            </w:tcMar>
            <w:vAlign w:val="center"/>
          </w:tcPr>
          <w:p>
            <w:pPr>
              <w:spacing w:before="0" w:after="0" w:line="269" w:lineRule="auto"/>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委托受理</w:t>
            </w:r>
          </w:p>
        </w:tc>
        <w:tc>
          <w:tcPr>
            <w:tcW w:w="48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2</w:t>
            </w:r>
          </w:p>
        </w:tc>
        <w:tc>
          <w:tcPr>
            <w:tcW w:w="91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委托数据联动接口</w:t>
            </w:r>
          </w:p>
        </w:tc>
        <w:tc>
          <w:tcPr>
            <w:tcW w:w="240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与委托系统的数据同步，委托、样品、检测项目的结构化关联</w:t>
            </w:r>
          </w:p>
        </w:tc>
        <w:tc>
          <w:tcPr>
            <w:tcW w:w="43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项</w:t>
            </w:r>
          </w:p>
        </w:tc>
        <w:tc>
          <w:tcPr>
            <w:tcW w:w="528"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1</w:t>
            </w:r>
          </w:p>
        </w:tc>
        <w:tc>
          <w:tcPr>
            <w:tcW w:w="96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20,000</w:t>
            </w:r>
          </w:p>
        </w:tc>
        <w:tc>
          <w:tcPr>
            <w:tcW w:w="1008"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20,000</w:t>
            </w:r>
          </w:p>
        </w:tc>
        <w:tc>
          <w:tcPr>
            <w:tcW w:w="914"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
            </w:r>
          </w:p>
        </w:tc>
      </w:tr>
      <w:tr>
        <w:trPr>
          <w:cantSplit/>
          <w:jc w:val="center"/>
        </w:trPr>
        <w:tc>
          <w:tcPr>
            <w:tcW w:w="672" w:type="dxa"/>
            <w:tcMar>
              <w:top w:w="100" w:type="dxa"/>
              <w:left w:w="60" w:type="dxa"/>
              <w:bottom w:w="100" w:type="dxa"/>
              <w:right w:w="60" w:type="dxa"/>
            </w:tcMar>
            <w:vAlign w:val="center"/>
          </w:tcPr>
          <w:p>
            <w:pPr>
              <w:spacing w:before="0" w:after="0" w:line="269" w:lineRule="auto"/>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委托受理</w:t>
            </w:r>
          </w:p>
        </w:tc>
        <w:tc>
          <w:tcPr>
            <w:tcW w:w="48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3</w:t>
            </w:r>
          </w:p>
        </w:tc>
        <w:tc>
          <w:tcPr>
            <w:tcW w:w="91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委托进度推送</w:t>
            </w:r>
          </w:p>
        </w:tc>
        <w:tc>
          <w:tcPr>
            <w:tcW w:w="240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按受理、检测、报告出具等节点通过小程序或短信推送进度</w:t>
            </w:r>
          </w:p>
        </w:tc>
        <w:tc>
          <w:tcPr>
            <w:tcW w:w="43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项</w:t>
            </w:r>
          </w:p>
        </w:tc>
        <w:tc>
          <w:tcPr>
            <w:tcW w:w="528"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1</w:t>
            </w:r>
          </w:p>
        </w:tc>
        <w:tc>
          <w:tcPr>
            <w:tcW w:w="96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10,000</w:t>
            </w:r>
          </w:p>
        </w:tc>
        <w:tc>
          <w:tcPr>
            <w:tcW w:w="1008"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10,000</w:t>
            </w:r>
          </w:p>
        </w:tc>
        <w:tc>
          <w:tcPr>
            <w:tcW w:w="914"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短信费用按实际发生</w:t>
            </w:r>
          </w:p>
        </w:tc>
      </w:tr>
      <w:tr>
        <w:trPr>
          <w:cantSplit/>
          <w:jc w:val="center"/>
        </w:trPr>
        <w:tc>
          <w:tcPr>
            <w:tcW w:w="672" w:type="dxa"/>
            <w:tcMar>
              <w:top w:w="100" w:type="dxa"/>
              <w:left w:w="60" w:type="dxa"/>
              <w:bottom w:w="100" w:type="dxa"/>
              <w:right w:w="60" w:type="dxa"/>
            </w:tcMar>
            <w:vAlign w:val="center"/>
          </w:tcPr>
          <w:p>
            <w:pPr>
              <w:spacing w:before="0" w:after="0" w:line="269" w:lineRule="auto"/>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委托受理</w:t>
            </w:r>
          </w:p>
        </w:tc>
        <w:tc>
          <w:tcPr>
            <w:tcW w:w="48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4</w:t>
            </w:r>
          </w:p>
        </w:tc>
        <w:tc>
          <w:tcPr>
            <w:tcW w:w="91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引导屏任务展示</w:t>
            </w:r>
          </w:p>
        </w:tc>
        <w:tc>
          <w:tcPr>
            <w:tcW w:w="240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委托前台引导屏展示当日及次日试验任务，按试验时间排期滚动显示</w:t>
            </w:r>
          </w:p>
        </w:tc>
        <w:tc>
          <w:tcPr>
            <w:tcW w:w="43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项</w:t>
            </w:r>
          </w:p>
        </w:tc>
        <w:tc>
          <w:tcPr>
            <w:tcW w:w="528"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1</w:t>
            </w:r>
          </w:p>
        </w:tc>
        <w:tc>
          <w:tcPr>
            <w:tcW w:w="96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10,000</w:t>
            </w:r>
          </w:p>
        </w:tc>
        <w:tc>
          <w:tcPr>
            <w:tcW w:w="1008"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10,000</w:t>
            </w:r>
          </w:p>
        </w:tc>
        <w:tc>
          <w:tcPr>
            <w:tcW w:w="914"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
            </w:r>
          </w:p>
        </w:tc>
      </w:tr>
      <w:tr>
        <w:trPr>
          <w:cantSplit/>
          <w:jc w:val="center"/>
        </w:trPr>
        <w:tc>
          <w:tcPr>
            <w:tcW w:w="672" w:type="dxa"/>
            <w:tcMar>
              <w:top w:w="100" w:type="dxa"/>
              <w:left w:w="60" w:type="dxa"/>
              <w:bottom w:w="100" w:type="dxa"/>
              <w:right w:w="60" w:type="dxa"/>
            </w:tcMar>
            <w:vAlign w:val="center"/>
          </w:tcPr>
          <w:p>
            <w:pPr>
              <w:spacing w:before="0" w:after="0" w:line="269" w:lineRule="auto"/>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任务下发</w:t>
            </w:r>
          </w:p>
        </w:tc>
        <w:tc>
          <w:tcPr>
            <w:tcW w:w="48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5</w:t>
            </w:r>
          </w:p>
        </w:tc>
        <w:tc>
          <w:tcPr>
            <w:tcW w:w="91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任务自动派发</w:t>
            </w:r>
          </w:p>
        </w:tc>
        <w:tc>
          <w:tcPr>
            <w:tcW w:w="240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受理完成后自动生成检测任务并分派试验人员，同步生成运输任务</w:t>
            </w:r>
          </w:p>
        </w:tc>
        <w:tc>
          <w:tcPr>
            <w:tcW w:w="43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项</w:t>
            </w:r>
          </w:p>
        </w:tc>
        <w:tc>
          <w:tcPr>
            <w:tcW w:w="528"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1</w:t>
            </w:r>
          </w:p>
        </w:tc>
        <w:tc>
          <w:tcPr>
            <w:tcW w:w="96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20,000</w:t>
            </w:r>
          </w:p>
        </w:tc>
        <w:tc>
          <w:tcPr>
            <w:tcW w:w="1008"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20,000</w:t>
            </w:r>
          </w:p>
        </w:tc>
        <w:tc>
          <w:tcPr>
            <w:tcW w:w="914"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
            </w:r>
          </w:p>
        </w:tc>
      </w:tr>
      <w:tr>
        <w:trPr>
          <w:cantSplit/>
          <w:jc w:val="center"/>
        </w:trPr>
        <w:tc>
          <w:tcPr>
            <w:tcW w:w="672" w:type="dxa"/>
            <w:tcMar>
              <w:top w:w="100" w:type="dxa"/>
              <w:left w:w="60" w:type="dxa"/>
              <w:bottom w:w="100" w:type="dxa"/>
              <w:right w:w="60" w:type="dxa"/>
            </w:tcMar>
            <w:vAlign w:val="center"/>
          </w:tcPr>
          <w:p>
            <w:pPr>
              <w:spacing w:before="0" w:after="0" w:line="269" w:lineRule="auto"/>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任务下发</w:t>
            </w:r>
          </w:p>
        </w:tc>
        <w:tc>
          <w:tcPr>
            <w:tcW w:w="48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6</w:t>
            </w:r>
          </w:p>
        </w:tc>
        <w:tc>
          <w:tcPr>
            <w:tcW w:w="91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移动端任务通知</w:t>
            </w:r>
          </w:p>
        </w:tc>
        <w:tc>
          <w:tcPr>
            <w:tcW w:w="240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试验人员移动端任务推送、样品送达提醒与任务确认</w:t>
            </w:r>
          </w:p>
        </w:tc>
        <w:tc>
          <w:tcPr>
            <w:tcW w:w="43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项</w:t>
            </w:r>
          </w:p>
        </w:tc>
        <w:tc>
          <w:tcPr>
            <w:tcW w:w="528"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1</w:t>
            </w:r>
          </w:p>
        </w:tc>
        <w:tc>
          <w:tcPr>
            <w:tcW w:w="96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15,000</w:t>
            </w:r>
          </w:p>
        </w:tc>
        <w:tc>
          <w:tcPr>
            <w:tcW w:w="1008"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15,000</w:t>
            </w:r>
          </w:p>
        </w:tc>
        <w:tc>
          <w:tcPr>
            <w:tcW w:w="914"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
            </w:r>
          </w:p>
        </w:tc>
      </w:tr>
      <w:tr>
        <w:trPr>
          <w:cantSplit/>
          <w:jc w:val="center"/>
        </w:trPr>
        <w:tc>
          <w:tcPr>
            <w:tcW w:w="672" w:type="dxa"/>
            <w:tcMar>
              <w:top w:w="100" w:type="dxa"/>
              <w:left w:w="60" w:type="dxa"/>
              <w:bottom w:w="100" w:type="dxa"/>
              <w:right w:w="60" w:type="dxa"/>
            </w:tcMar>
            <w:vAlign w:val="center"/>
          </w:tcPr>
          <w:p>
            <w:pPr>
              <w:spacing w:before="0" w:after="0" w:line="269" w:lineRule="auto"/>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任务下发</w:t>
            </w:r>
          </w:p>
        </w:tc>
        <w:tc>
          <w:tcPr>
            <w:tcW w:w="48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7</w:t>
            </w:r>
          </w:p>
        </w:tc>
        <w:tc>
          <w:tcPr>
            <w:tcW w:w="91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试验室信息屏动态显示</w:t>
            </w:r>
          </w:p>
        </w:tc>
        <w:tc>
          <w:tcPr>
            <w:tcW w:w="240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试验室信息屏按任务数据自动显示当前委托、样品、检测项目与任务状态</w:t>
            </w:r>
          </w:p>
        </w:tc>
        <w:tc>
          <w:tcPr>
            <w:tcW w:w="43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项</w:t>
            </w:r>
          </w:p>
        </w:tc>
        <w:tc>
          <w:tcPr>
            <w:tcW w:w="528"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1</w:t>
            </w:r>
          </w:p>
        </w:tc>
        <w:tc>
          <w:tcPr>
            <w:tcW w:w="96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10,000</w:t>
            </w:r>
          </w:p>
        </w:tc>
        <w:tc>
          <w:tcPr>
            <w:tcW w:w="1008"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10,000</w:t>
            </w:r>
          </w:p>
        </w:tc>
        <w:tc>
          <w:tcPr>
            <w:tcW w:w="914"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
            </w:r>
          </w:p>
        </w:tc>
      </w:tr>
      <w:tr>
        <w:trPr>
          <w:cantSplit/>
          <w:jc w:val="center"/>
        </w:trPr>
        <w:tc>
          <w:tcPr>
            <w:tcW w:w="672" w:type="dxa"/>
            <w:tcMar>
              <w:top w:w="100" w:type="dxa"/>
              <w:left w:w="60" w:type="dxa"/>
              <w:bottom w:w="100" w:type="dxa"/>
              <w:right w:w="60" w:type="dxa"/>
            </w:tcMar>
            <w:vAlign w:val="center"/>
          </w:tcPr>
          <w:p>
            <w:pPr>
              <w:spacing w:before="0" w:after="0" w:line="269" w:lineRule="auto"/>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任务下发</w:t>
            </w:r>
          </w:p>
        </w:tc>
        <w:tc>
          <w:tcPr>
            <w:tcW w:w="48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8</w:t>
            </w:r>
          </w:p>
        </w:tc>
        <w:tc>
          <w:tcPr>
            <w:tcW w:w="91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门禁与任务关联</w:t>
            </w:r>
          </w:p>
        </w:tc>
        <w:tc>
          <w:tcPr>
            <w:tcW w:w="240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门禁身份核验记录与试验任务自动关联</w:t>
            </w:r>
          </w:p>
        </w:tc>
        <w:tc>
          <w:tcPr>
            <w:tcW w:w="43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项</w:t>
            </w:r>
          </w:p>
        </w:tc>
        <w:tc>
          <w:tcPr>
            <w:tcW w:w="528"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1</w:t>
            </w:r>
          </w:p>
        </w:tc>
        <w:tc>
          <w:tcPr>
            <w:tcW w:w="96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10,000</w:t>
            </w:r>
          </w:p>
        </w:tc>
        <w:tc>
          <w:tcPr>
            <w:tcW w:w="1008"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10,000</w:t>
            </w:r>
          </w:p>
        </w:tc>
        <w:tc>
          <w:tcPr>
            <w:tcW w:w="914"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
            </w:r>
          </w:p>
        </w:tc>
      </w:tr>
      <w:tr>
        <w:trPr>
          <w:cantSplit/>
          <w:jc w:val="center"/>
        </w:trPr>
        <w:tc>
          <w:tcPr>
            <w:tcW w:w="672" w:type="dxa"/>
            <w:tcMar>
              <w:top w:w="100" w:type="dxa"/>
              <w:left w:w="60" w:type="dxa"/>
              <w:bottom w:w="100" w:type="dxa"/>
              <w:right w:w="60" w:type="dxa"/>
            </w:tcMar>
            <w:vAlign w:val="center"/>
          </w:tcPr>
          <w:p>
            <w:pPr>
              <w:spacing w:before="0" w:after="0" w:line="269" w:lineRule="auto"/>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任务下发</w:t>
            </w:r>
          </w:p>
        </w:tc>
        <w:tc>
          <w:tcPr>
            <w:tcW w:w="48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9</w:t>
            </w:r>
          </w:p>
        </w:tc>
        <w:tc>
          <w:tcPr>
            <w:tcW w:w="91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进门语音提示</w:t>
            </w:r>
          </w:p>
        </w:tc>
        <w:tc>
          <w:tcPr>
            <w:tcW w:w="240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“小浦”在试验人员进入时播报当前任务、样品数量与检测依据</w:t>
            </w:r>
          </w:p>
        </w:tc>
        <w:tc>
          <w:tcPr>
            <w:tcW w:w="43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项</w:t>
            </w:r>
          </w:p>
        </w:tc>
        <w:tc>
          <w:tcPr>
            <w:tcW w:w="528"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1</w:t>
            </w:r>
          </w:p>
        </w:tc>
        <w:tc>
          <w:tcPr>
            <w:tcW w:w="96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10,000</w:t>
            </w:r>
          </w:p>
        </w:tc>
        <w:tc>
          <w:tcPr>
            <w:tcW w:w="1008"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10,000</w:t>
            </w:r>
          </w:p>
        </w:tc>
        <w:tc>
          <w:tcPr>
            <w:tcW w:w="914"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
            </w:r>
          </w:p>
        </w:tc>
      </w:tr>
      <w:tr>
        <w:trPr>
          <w:cantSplit/>
          <w:jc w:val="center"/>
        </w:trPr>
        <w:tc>
          <w:tcPr>
            <w:tcW w:w="672" w:type="dxa"/>
            <w:tcMar>
              <w:top w:w="100" w:type="dxa"/>
              <w:left w:w="60" w:type="dxa"/>
              <w:bottom w:w="100" w:type="dxa"/>
              <w:right w:w="60" w:type="dxa"/>
            </w:tcMar>
            <w:vAlign w:val="center"/>
          </w:tcPr>
          <w:p>
            <w:pPr>
              <w:spacing w:before="0" w:after="0" w:line="269" w:lineRule="auto"/>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试验数据采集</w:t>
            </w:r>
          </w:p>
        </w:tc>
        <w:tc>
          <w:tcPr>
            <w:tcW w:w="48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10</w:t>
            </w:r>
          </w:p>
        </w:tc>
        <w:tc>
          <w:tcPr>
            <w:tcW w:w="91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拍照OCR识别组件</w:t>
            </w:r>
          </w:p>
        </w:tc>
        <w:tc>
          <w:tcPr>
            <w:tcW w:w="240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原始记录表与设备数显屏拍照识别，提取试验数据并写入委托字段</w:t>
            </w:r>
          </w:p>
        </w:tc>
        <w:tc>
          <w:tcPr>
            <w:tcW w:w="43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项</w:t>
            </w:r>
          </w:p>
        </w:tc>
        <w:tc>
          <w:tcPr>
            <w:tcW w:w="528"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1</w:t>
            </w:r>
          </w:p>
        </w:tc>
        <w:tc>
          <w:tcPr>
            <w:tcW w:w="96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30,000</w:t>
            </w:r>
          </w:p>
        </w:tc>
        <w:tc>
          <w:tcPr>
            <w:tcW w:w="1008"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30,000</w:t>
            </w:r>
          </w:p>
        </w:tc>
        <w:tc>
          <w:tcPr>
            <w:tcW w:w="914"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
            </w:r>
          </w:p>
        </w:tc>
      </w:tr>
      <w:tr>
        <w:trPr>
          <w:cantSplit/>
          <w:jc w:val="center"/>
        </w:trPr>
        <w:tc>
          <w:tcPr>
            <w:tcW w:w="672" w:type="dxa"/>
            <w:tcMar>
              <w:top w:w="100" w:type="dxa"/>
              <w:left w:w="60" w:type="dxa"/>
              <w:bottom w:w="100" w:type="dxa"/>
              <w:right w:w="60" w:type="dxa"/>
            </w:tcMar>
            <w:vAlign w:val="center"/>
          </w:tcPr>
          <w:p>
            <w:pPr>
              <w:spacing w:before="0" w:after="0" w:line="269" w:lineRule="auto"/>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试验数据采集</w:t>
            </w:r>
          </w:p>
        </w:tc>
        <w:tc>
          <w:tcPr>
            <w:tcW w:w="48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11</w:t>
            </w:r>
          </w:p>
        </w:tc>
        <w:tc>
          <w:tcPr>
            <w:tcW w:w="91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人工确认与模型迭代</w:t>
            </w:r>
          </w:p>
        </w:tc>
        <w:tc>
          <w:tcPr>
            <w:tcW w:w="240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低置信度数据标红提示与人工确认流程，确认数据纳入训练样本迭代识别模型</w:t>
            </w:r>
          </w:p>
        </w:tc>
        <w:tc>
          <w:tcPr>
            <w:tcW w:w="43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项</w:t>
            </w:r>
          </w:p>
        </w:tc>
        <w:tc>
          <w:tcPr>
            <w:tcW w:w="528"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1</w:t>
            </w:r>
          </w:p>
        </w:tc>
        <w:tc>
          <w:tcPr>
            <w:tcW w:w="96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20,000</w:t>
            </w:r>
          </w:p>
        </w:tc>
        <w:tc>
          <w:tcPr>
            <w:tcW w:w="1008"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20,000</w:t>
            </w:r>
          </w:p>
        </w:tc>
        <w:tc>
          <w:tcPr>
            <w:tcW w:w="914"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
            </w:r>
          </w:p>
        </w:tc>
      </w:tr>
      <w:tr>
        <w:trPr>
          <w:cantSplit/>
          <w:jc w:val="center"/>
        </w:trPr>
        <w:tc>
          <w:tcPr>
            <w:tcW w:w="672" w:type="dxa"/>
            <w:tcMar>
              <w:top w:w="100" w:type="dxa"/>
              <w:left w:w="60" w:type="dxa"/>
              <w:bottom w:w="100" w:type="dxa"/>
              <w:right w:w="60" w:type="dxa"/>
            </w:tcMar>
            <w:vAlign w:val="center"/>
          </w:tcPr>
          <w:p>
            <w:pPr>
              <w:spacing w:before="0" w:after="0" w:line="269" w:lineRule="auto"/>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试验数据采集</w:t>
            </w:r>
          </w:p>
        </w:tc>
        <w:tc>
          <w:tcPr>
            <w:tcW w:w="48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12</w:t>
            </w:r>
          </w:p>
        </w:tc>
        <w:tc>
          <w:tcPr>
            <w:tcW w:w="91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设备通信协议适配</w:t>
            </w:r>
          </w:p>
        </w:tc>
        <w:tc>
          <w:tcPr>
            <w:tcW w:w="240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针对万能试验机、压力机等设备开发串口/网口通信协议解析，获取试验曲线与荷载数据</w:t>
            </w:r>
          </w:p>
        </w:tc>
        <w:tc>
          <w:tcPr>
            <w:tcW w:w="43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类</w:t>
            </w:r>
          </w:p>
        </w:tc>
        <w:tc>
          <w:tcPr>
            <w:tcW w:w="528"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4</w:t>
            </w:r>
          </w:p>
        </w:tc>
        <w:tc>
          <w:tcPr>
            <w:tcW w:w="96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10,000</w:t>
            </w:r>
          </w:p>
        </w:tc>
        <w:tc>
          <w:tcPr>
            <w:tcW w:w="1008"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40,000</w:t>
            </w:r>
          </w:p>
        </w:tc>
        <w:tc>
          <w:tcPr>
            <w:tcW w:w="914"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按设备类型计</w:t>
            </w:r>
          </w:p>
        </w:tc>
      </w:tr>
      <w:tr>
        <w:trPr>
          <w:cantSplit/>
          <w:jc w:val="center"/>
        </w:trPr>
        <w:tc>
          <w:tcPr>
            <w:tcW w:w="672" w:type="dxa"/>
            <w:tcMar>
              <w:top w:w="100" w:type="dxa"/>
              <w:left w:w="60" w:type="dxa"/>
              <w:bottom w:w="100" w:type="dxa"/>
              <w:right w:w="60" w:type="dxa"/>
            </w:tcMar>
            <w:vAlign w:val="center"/>
          </w:tcPr>
          <w:p>
            <w:pPr>
              <w:spacing w:before="0" w:after="0" w:line="269" w:lineRule="auto"/>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试验数据采集</w:t>
            </w:r>
          </w:p>
        </w:tc>
        <w:tc>
          <w:tcPr>
            <w:tcW w:w="48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13</w:t>
            </w:r>
          </w:p>
        </w:tc>
        <w:tc>
          <w:tcPr>
            <w:tcW w:w="91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文件解析与API集成</w:t>
            </w:r>
          </w:p>
        </w:tc>
        <w:tc>
          <w:tcPr>
            <w:tcW w:w="240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上位机导出文件（Excel/CSV）自动读取与解析；开放API设备通过HTTP/MQTT对接</w:t>
            </w:r>
          </w:p>
        </w:tc>
        <w:tc>
          <w:tcPr>
            <w:tcW w:w="43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项</w:t>
            </w:r>
          </w:p>
        </w:tc>
        <w:tc>
          <w:tcPr>
            <w:tcW w:w="528"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1</w:t>
            </w:r>
          </w:p>
        </w:tc>
        <w:tc>
          <w:tcPr>
            <w:tcW w:w="96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20,000</w:t>
            </w:r>
          </w:p>
        </w:tc>
        <w:tc>
          <w:tcPr>
            <w:tcW w:w="1008"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20,000</w:t>
            </w:r>
          </w:p>
        </w:tc>
        <w:tc>
          <w:tcPr>
            <w:tcW w:w="914"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
            </w:r>
          </w:p>
        </w:tc>
      </w:tr>
      <w:tr>
        <w:trPr>
          <w:cantSplit/>
          <w:jc w:val="center"/>
        </w:trPr>
        <w:tc>
          <w:tcPr>
            <w:tcW w:w="672" w:type="dxa"/>
            <w:tcMar>
              <w:top w:w="100" w:type="dxa"/>
              <w:left w:w="60" w:type="dxa"/>
              <w:bottom w:w="100" w:type="dxa"/>
              <w:right w:w="60" w:type="dxa"/>
            </w:tcMar>
            <w:vAlign w:val="center"/>
          </w:tcPr>
          <w:p>
            <w:pPr>
              <w:spacing w:before="0" w:after="0" w:line="269" w:lineRule="auto"/>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试验数据采集</w:t>
            </w:r>
          </w:p>
        </w:tc>
        <w:tc>
          <w:tcPr>
            <w:tcW w:w="48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14</w:t>
            </w:r>
          </w:p>
        </w:tc>
        <w:tc>
          <w:tcPr>
            <w:tcW w:w="91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采集数据任务关联与校验</w:t>
            </w:r>
          </w:p>
        </w:tc>
        <w:tc>
          <w:tcPr>
            <w:tcW w:w="240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采集数据与委托、样品、任务自动关联，漏采、重复与单位异常提示</w:t>
            </w:r>
          </w:p>
        </w:tc>
        <w:tc>
          <w:tcPr>
            <w:tcW w:w="43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项</w:t>
            </w:r>
          </w:p>
        </w:tc>
        <w:tc>
          <w:tcPr>
            <w:tcW w:w="528"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1</w:t>
            </w:r>
          </w:p>
        </w:tc>
        <w:tc>
          <w:tcPr>
            <w:tcW w:w="96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15,000</w:t>
            </w:r>
          </w:p>
        </w:tc>
        <w:tc>
          <w:tcPr>
            <w:tcW w:w="1008"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15,000</w:t>
            </w:r>
          </w:p>
        </w:tc>
        <w:tc>
          <w:tcPr>
            <w:tcW w:w="914"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
            </w:r>
          </w:p>
        </w:tc>
      </w:tr>
      <w:tr>
        <w:trPr>
          <w:cantSplit/>
          <w:jc w:val="center"/>
        </w:trPr>
        <w:tc>
          <w:tcPr>
            <w:tcW w:w="672" w:type="dxa"/>
            <w:tcMar>
              <w:top w:w="100" w:type="dxa"/>
              <w:left w:w="60" w:type="dxa"/>
              <w:bottom w:w="100" w:type="dxa"/>
              <w:right w:w="60" w:type="dxa"/>
            </w:tcMar>
            <w:vAlign w:val="center"/>
          </w:tcPr>
          <w:p>
            <w:pPr>
              <w:spacing w:before="0" w:after="0" w:line="269" w:lineRule="auto"/>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检测报告生成</w:t>
            </w:r>
          </w:p>
        </w:tc>
        <w:tc>
          <w:tcPr>
            <w:tcW w:w="48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15</w:t>
            </w:r>
          </w:p>
        </w:tc>
        <w:tc>
          <w:tcPr>
            <w:tcW w:w="91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计算公式与判定阈值配置</w:t>
            </w:r>
          </w:p>
        </w:tc>
        <w:tc>
          <w:tcPr>
            <w:tcW w:w="240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常规试验项目计算公式调用与标准限值判定规则配置</w:t>
            </w:r>
          </w:p>
        </w:tc>
        <w:tc>
          <w:tcPr>
            <w:tcW w:w="43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项</w:t>
            </w:r>
          </w:p>
        </w:tc>
        <w:tc>
          <w:tcPr>
            <w:tcW w:w="528"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1</w:t>
            </w:r>
          </w:p>
        </w:tc>
        <w:tc>
          <w:tcPr>
            <w:tcW w:w="96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20,000</w:t>
            </w:r>
          </w:p>
        </w:tc>
        <w:tc>
          <w:tcPr>
            <w:tcW w:w="1008"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20,000</w:t>
            </w:r>
          </w:p>
        </w:tc>
        <w:tc>
          <w:tcPr>
            <w:tcW w:w="914"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
            </w:r>
          </w:p>
        </w:tc>
      </w:tr>
      <w:tr>
        <w:trPr>
          <w:cantSplit/>
          <w:jc w:val="center"/>
        </w:trPr>
        <w:tc>
          <w:tcPr>
            <w:tcW w:w="672" w:type="dxa"/>
            <w:tcMar>
              <w:top w:w="100" w:type="dxa"/>
              <w:left w:w="60" w:type="dxa"/>
              <w:bottom w:w="100" w:type="dxa"/>
              <w:right w:w="60" w:type="dxa"/>
            </w:tcMar>
            <w:vAlign w:val="center"/>
          </w:tcPr>
          <w:p>
            <w:pPr>
              <w:spacing w:before="0" w:after="0" w:line="269" w:lineRule="auto"/>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检测报告生成</w:t>
            </w:r>
          </w:p>
        </w:tc>
        <w:tc>
          <w:tcPr>
            <w:tcW w:w="48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16</w:t>
            </w:r>
          </w:p>
        </w:tc>
        <w:tc>
          <w:tcPr>
            <w:tcW w:w="91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报告模板引擎</w:t>
            </w:r>
          </w:p>
        </w:tc>
        <w:tc>
          <w:tcPr>
            <w:tcW w:w="240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Word/PDF报告模板匹配与数据填充，支持数据表格与试验曲线插入</w:t>
            </w:r>
          </w:p>
        </w:tc>
        <w:tc>
          <w:tcPr>
            <w:tcW w:w="43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项</w:t>
            </w:r>
          </w:p>
        </w:tc>
        <w:tc>
          <w:tcPr>
            <w:tcW w:w="528"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1</w:t>
            </w:r>
          </w:p>
        </w:tc>
        <w:tc>
          <w:tcPr>
            <w:tcW w:w="96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40,000</w:t>
            </w:r>
          </w:p>
        </w:tc>
        <w:tc>
          <w:tcPr>
            <w:tcW w:w="1008"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40,000</w:t>
            </w:r>
          </w:p>
        </w:tc>
        <w:tc>
          <w:tcPr>
            <w:tcW w:w="914"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
            </w:r>
          </w:p>
        </w:tc>
      </w:tr>
      <w:tr>
        <w:trPr>
          <w:cantSplit/>
          <w:jc w:val="center"/>
        </w:trPr>
        <w:tc>
          <w:tcPr>
            <w:tcW w:w="672" w:type="dxa"/>
            <w:tcMar>
              <w:top w:w="100" w:type="dxa"/>
              <w:left w:w="60" w:type="dxa"/>
              <w:bottom w:w="100" w:type="dxa"/>
              <w:right w:w="60" w:type="dxa"/>
            </w:tcMar>
            <w:vAlign w:val="center"/>
          </w:tcPr>
          <w:p>
            <w:pPr>
              <w:spacing w:before="0" w:after="0" w:line="269" w:lineRule="auto"/>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检测报告生成</w:t>
            </w:r>
          </w:p>
        </w:tc>
        <w:tc>
          <w:tcPr>
            <w:tcW w:w="48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17</w:t>
            </w:r>
          </w:p>
        </w:tc>
        <w:tc>
          <w:tcPr>
            <w:tcW w:w="91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常规试验报告模板配置</w:t>
            </w:r>
          </w:p>
        </w:tc>
        <w:tc>
          <w:tcPr>
            <w:tcW w:w="240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按试验项目逐项配置报告模板与字段映射</w:t>
            </w:r>
          </w:p>
        </w:tc>
        <w:tc>
          <w:tcPr>
            <w:tcW w:w="43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个</w:t>
            </w:r>
          </w:p>
        </w:tc>
        <w:tc>
          <w:tcPr>
            <w:tcW w:w="528"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10</w:t>
            </w:r>
          </w:p>
        </w:tc>
        <w:tc>
          <w:tcPr>
            <w:tcW w:w="96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3,000</w:t>
            </w:r>
          </w:p>
        </w:tc>
        <w:tc>
          <w:tcPr>
            <w:tcW w:w="1008"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30,000</w:t>
            </w:r>
          </w:p>
        </w:tc>
        <w:tc>
          <w:tcPr>
            <w:tcW w:w="914"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首批10类常规试验</w:t>
            </w:r>
          </w:p>
        </w:tc>
      </w:tr>
      <w:tr>
        <w:trPr>
          <w:cantSplit/>
          <w:jc w:val="center"/>
        </w:trPr>
        <w:tc>
          <w:tcPr>
            <w:tcW w:w="672" w:type="dxa"/>
            <w:tcMar>
              <w:top w:w="100" w:type="dxa"/>
              <w:left w:w="60" w:type="dxa"/>
              <w:bottom w:w="100" w:type="dxa"/>
              <w:right w:w="60" w:type="dxa"/>
            </w:tcMar>
            <w:vAlign w:val="center"/>
          </w:tcPr>
          <w:p>
            <w:pPr>
              <w:spacing w:before="0" w:after="0" w:line="269" w:lineRule="auto"/>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检测报告生成</w:t>
            </w:r>
          </w:p>
        </w:tc>
        <w:tc>
          <w:tcPr>
            <w:tcW w:w="48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18</w:t>
            </w:r>
          </w:p>
        </w:tc>
        <w:tc>
          <w:tcPr>
            <w:tcW w:w="91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桥检报告模块集成</w:t>
            </w:r>
          </w:p>
        </w:tc>
        <w:tc>
          <w:tcPr>
            <w:tcW w:w="240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将现有桥检报告编制框架作为独立功能入口集成至平台</w:t>
            </w:r>
          </w:p>
        </w:tc>
        <w:tc>
          <w:tcPr>
            <w:tcW w:w="43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项</w:t>
            </w:r>
          </w:p>
        </w:tc>
        <w:tc>
          <w:tcPr>
            <w:tcW w:w="528"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1</w:t>
            </w:r>
          </w:p>
        </w:tc>
        <w:tc>
          <w:tcPr>
            <w:tcW w:w="96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20,000</w:t>
            </w:r>
          </w:p>
        </w:tc>
        <w:tc>
          <w:tcPr>
            <w:tcW w:w="1008"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20,000</w:t>
            </w:r>
          </w:p>
        </w:tc>
        <w:tc>
          <w:tcPr>
            <w:tcW w:w="914"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
            </w:r>
          </w:p>
        </w:tc>
      </w:tr>
      <w:tr>
        <w:trPr>
          <w:cantSplit/>
          <w:jc w:val="center"/>
        </w:trPr>
        <w:tc>
          <w:tcPr>
            <w:tcW w:w="672" w:type="dxa"/>
            <w:tcMar>
              <w:top w:w="100" w:type="dxa"/>
              <w:left w:w="60" w:type="dxa"/>
              <w:bottom w:w="100" w:type="dxa"/>
              <w:right w:w="60" w:type="dxa"/>
            </w:tcMar>
            <w:vAlign w:val="center"/>
          </w:tcPr>
          <w:p>
            <w:pPr>
              <w:spacing w:before="0" w:after="0" w:line="269" w:lineRule="auto"/>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检测报告生成</w:t>
            </w:r>
          </w:p>
        </w:tc>
        <w:tc>
          <w:tcPr>
            <w:tcW w:w="48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19</w:t>
            </w:r>
          </w:p>
        </w:tc>
        <w:tc>
          <w:tcPr>
            <w:tcW w:w="91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报告一致性比对与辅助校核</w:t>
            </w:r>
          </w:p>
        </w:tc>
        <w:tc>
          <w:tcPr>
            <w:tcW w:w="240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原始数据与报告数据一致性比对、标准限值复核与错误提示</w:t>
            </w:r>
          </w:p>
        </w:tc>
        <w:tc>
          <w:tcPr>
            <w:tcW w:w="43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项</w:t>
            </w:r>
          </w:p>
        </w:tc>
        <w:tc>
          <w:tcPr>
            <w:tcW w:w="528"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1</w:t>
            </w:r>
          </w:p>
        </w:tc>
        <w:tc>
          <w:tcPr>
            <w:tcW w:w="96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25,000</w:t>
            </w:r>
          </w:p>
        </w:tc>
        <w:tc>
          <w:tcPr>
            <w:tcW w:w="1008"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25,000</w:t>
            </w:r>
          </w:p>
        </w:tc>
        <w:tc>
          <w:tcPr>
            <w:tcW w:w="914"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
            </w:r>
          </w:p>
        </w:tc>
      </w:tr>
      <w:tr>
        <w:trPr>
          <w:cantSplit/>
          <w:jc w:val="center"/>
        </w:trPr>
        <w:tc>
          <w:tcPr>
            <w:tcW w:w="672" w:type="dxa"/>
            <w:tcMar>
              <w:top w:w="100" w:type="dxa"/>
              <w:left w:w="60" w:type="dxa"/>
              <w:bottom w:w="100" w:type="dxa"/>
              <w:right w:w="60" w:type="dxa"/>
            </w:tcMar>
            <w:vAlign w:val="center"/>
          </w:tcPr>
          <w:p>
            <w:pPr>
              <w:spacing w:before="0" w:after="0" w:line="269" w:lineRule="auto"/>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智能交互</w:t>
            </w:r>
          </w:p>
        </w:tc>
        <w:tc>
          <w:tcPr>
            <w:tcW w:w="48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20</w:t>
            </w:r>
          </w:p>
        </w:tc>
        <w:tc>
          <w:tcPr>
            <w:tcW w:w="91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业务数据中枢</w:t>
            </w:r>
          </w:p>
        </w:tc>
        <w:tc>
          <w:tcPr>
            <w:tcW w:w="240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汇聚委托、任务、样品与试验数据，统一向“小浦”及各应用提供数据服务</w:t>
            </w:r>
          </w:p>
        </w:tc>
        <w:tc>
          <w:tcPr>
            <w:tcW w:w="43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项</w:t>
            </w:r>
          </w:p>
        </w:tc>
        <w:tc>
          <w:tcPr>
            <w:tcW w:w="528"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1</w:t>
            </w:r>
          </w:p>
        </w:tc>
        <w:tc>
          <w:tcPr>
            <w:tcW w:w="96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20,000</w:t>
            </w:r>
          </w:p>
        </w:tc>
        <w:tc>
          <w:tcPr>
            <w:tcW w:w="1008"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20,000</w:t>
            </w:r>
          </w:p>
        </w:tc>
        <w:tc>
          <w:tcPr>
            <w:tcW w:w="914"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
            </w:r>
          </w:p>
        </w:tc>
      </w:tr>
      <w:tr>
        <w:trPr>
          <w:cantSplit/>
          <w:jc w:val="center"/>
        </w:trPr>
        <w:tc>
          <w:tcPr>
            <w:tcW w:w="672" w:type="dxa"/>
            <w:tcMar>
              <w:top w:w="100" w:type="dxa"/>
              <w:left w:w="60" w:type="dxa"/>
              <w:bottom w:w="100" w:type="dxa"/>
              <w:right w:w="60" w:type="dxa"/>
            </w:tcMar>
            <w:vAlign w:val="center"/>
          </w:tcPr>
          <w:p>
            <w:pPr>
              <w:spacing w:before="0" w:after="0" w:line="269" w:lineRule="auto"/>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智能交互</w:t>
            </w:r>
          </w:p>
        </w:tc>
        <w:tc>
          <w:tcPr>
            <w:tcW w:w="48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21</w:t>
            </w:r>
          </w:p>
        </w:tc>
        <w:tc>
          <w:tcPr>
            <w:tcW w:w="91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“小浦”业务数据接入与权限</w:t>
            </w:r>
          </w:p>
        </w:tc>
        <w:tc>
          <w:tcPr>
            <w:tcW w:w="240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结构化业务数据查询接口，按账号角色进行权限过滤</w:t>
            </w:r>
          </w:p>
        </w:tc>
        <w:tc>
          <w:tcPr>
            <w:tcW w:w="43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项</w:t>
            </w:r>
          </w:p>
        </w:tc>
        <w:tc>
          <w:tcPr>
            <w:tcW w:w="528"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1</w:t>
            </w:r>
          </w:p>
        </w:tc>
        <w:tc>
          <w:tcPr>
            <w:tcW w:w="96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20,000</w:t>
            </w:r>
          </w:p>
        </w:tc>
        <w:tc>
          <w:tcPr>
            <w:tcW w:w="1008"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20,000</w:t>
            </w:r>
          </w:p>
        </w:tc>
        <w:tc>
          <w:tcPr>
            <w:tcW w:w="914"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
            </w:r>
          </w:p>
        </w:tc>
      </w:tr>
      <w:tr>
        <w:trPr>
          <w:cantSplit/>
          <w:jc w:val="center"/>
        </w:trPr>
        <w:tc>
          <w:tcPr>
            <w:tcW w:w="672" w:type="dxa"/>
            <w:tcMar>
              <w:top w:w="100" w:type="dxa"/>
              <w:left w:w="60" w:type="dxa"/>
              <w:bottom w:w="100" w:type="dxa"/>
              <w:right w:w="60" w:type="dxa"/>
            </w:tcMar>
            <w:vAlign w:val="center"/>
          </w:tcPr>
          <w:p>
            <w:pPr>
              <w:spacing w:before="0" w:after="0" w:line="269" w:lineRule="auto"/>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智能交互</w:t>
            </w:r>
          </w:p>
        </w:tc>
        <w:tc>
          <w:tcPr>
            <w:tcW w:w="48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22</w:t>
            </w:r>
          </w:p>
        </w:tc>
        <w:tc>
          <w:tcPr>
            <w:tcW w:w="91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“小浦”业务工具封装</w:t>
            </w:r>
          </w:p>
        </w:tc>
        <w:tc>
          <w:tcPr>
            <w:tcW w:w="240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将预委托填报、报告校核等高频操作封装为大模型可调用的工具</w:t>
            </w:r>
          </w:p>
        </w:tc>
        <w:tc>
          <w:tcPr>
            <w:tcW w:w="43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项</w:t>
            </w:r>
          </w:p>
        </w:tc>
        <w:tc>
          <w:tcPr>
            <w:tcW w:w="528"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1</w:t>
            </w:r>
          </w:p>
        </w:tc>
        <w:tc>
          <w:tcPr>
            <w:tcW w:w="96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15,000</w:t>
            </w:r>
          </w:p>
        </w:tc>
        <w:tc>
          <w:tcPr>
            <w:tcW w:w="1008"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15,000</w:t>
            </w:r>
          </w:p>
        </w:tc>
        <w:tc>
          <w:tcPr>
            <w:tcW w:w="914"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
            </w:r>
          </w:p>
        </w:tc>
      </w:tr>
      <w:tr>
        <w:trPr>
          <w:cantSplit/>
          <w:jc w:val="center"/>
        </w:trPr>
        <w:tc>
          <w:tcPr>
            <w:tcW w:w="672" w:type="dxa"/>
            <w:tcMar>
              <w:top w:w="100" w:type="dxa"/>
              <w:left w:w="60" w:type="dxa"/>
              <w:bottom w:w="100" w:type="dxa"/>
              <w:right w:w="60" w:type="dxa"/>
            </w:tcMar>
            <w:vAlign w:val="center"/>
          </w:tcPr>
          <w:p>
            <w:pPr>
              <w:spacing w:before="0" w:after="0" w:line="269" w:lineRule="auto"/>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智能交互</w:t>
            </w:r>
          </w:p>
        </w:tc>
        <w:tc>
          <w:tcPr>
            <w:tcW w:w="48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23</w:t>
            </w:r>
          </w:p>
        </w:tc>
        <w:tc>
          <w:tcPr>
            <w:tcW w:w="91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委托单信息提取</w:t>
            </w:r>
          </w:p>
        </w:tc>
        <w:tc>
          <w:tcPr>
            <w:tcW w:w="240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视觉识别模型提取纸质委托单关键信息并映射至标准表单</w:t>
            </w:r>
          </w:p>
        </w:tc>
        <w:tc>
          <w:tcPr>
            <w:tcW w:w="43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项</w:t>
            </w:r>
          </w:p>
        </w:tc>
        <w:tc>
          <w:tcPr>
            <w:tcW w:w="528"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1</w:t>
            </w:r>
          </w:p>
        </w:tc>
        <w:tc>
          <w:tcPr>
            <w:tcW w:w="96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10,000</w:t>
            </w:r>
          </w:p>
        </w:tc>
        <w:tc>
          <w:tcPr>
            <w:tcW w:w="1008"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10,000</w:t>
            </w:r>
          </w:p>
        </w:tc>
        <w:tc>
          <w:tcPr>
            <w:tcW w:w="914"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
            </w:r>
          </w:p>
        </w:tc>
      </w:tr>
      <w:tr>
        <w:trPr>
          <w:cantSplit/>
          <w:jc w:val="center"/>
        </w:trPr>
        <w:tc>
          <w:tcPr>
            <w:tcW w:w="672" w:type="dxa"/>
            <w:tcMar>
              <w:top w:w="100" w:type="dxa"/>
              <w:left w:w="60" w:type="dxa"/>
              <w:bottom w:w="100" w:type="dxa"/>
              <w:right w:w="60" w:type="dxa"/>
            </w:tcMar>
            <w:vAlign w:val="center"/>
          </w:tcPr>
          <w:p>
            <w:pPr>
              <w:spacing w:before="0" w:after="0" w:line="269" w:lineRule="auto"/>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智能交互</w:t>
            </w:r>
          </w:p>
        </w:tc>
        <w:tc>
          <w:tcPr>
            <w:tcW w:w="48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24</w:t>
            </w:r>
          </w:p>
        </w:tc>
        <w:tc>
          <w:tcPr>
            <w:tcW w:w="91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多角色业务查询</w:t>
            </w:r>
          </w:p>
        </w:tc>
        <w:tc>
          <w:tcPr>
            <w:tcW w:w="240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面向客户、试验人员、管理人员的自然语言业务查询与汇总答复</w:t>
            </w:r>
          </w:p>
        </w:tc>
        <w:tc>
          <w:tcPr>
            <w:tcW w:w="43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项</w:t>
            </w:r>
          </w:p>
        </w:tc>
        <w:tc>
          <w:tcPr>
            <w:tcW w:w="528"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1</w:t>
            </w:r>
          </w:p>
        </w:tc>
        <w:tc>
          <w:tcPr>
            <w:tcW w:w="96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10,000</w:t>
            </w:r>
          </w:p>
        </w:tc>
        <w:tc>
          <w:tcPr>
            <w:tcW w:w="1008"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10,000</w:t>
            </w:r>
          </w:p>
        </w:tc>
        <w:tc>
          <w:tcPr>
            <w:tcW w:w="914"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
            </w:r>
          </w:p>
        </w:tc>
      </w:tr>
      <w:tr>
        <w:trPr>
          <w:cantSplit/>
          <w:jc w:val="center"/>
        </w:trPr>
        <w:tc>
          <w:tcPr>
            <w:tcW w:w="672" w:type="dxa"/>
            <w:tcMar>
              <w:top w:w="100" w:type="dxa"/>
              <w:left w:w="60" w:type="dxa"/>
              <w:bottom w:w="100" w:type="dxa"/>
              <w:right w:w="60" w:type="dxa"/>
            </w:tcMar>
            <w:vAlign w:val="center"/>
          </w:tcPr>
          <w:p>
            <w:pPr>
              <w:spacing w:before="0" w:after="0" w:line="269" w:lineRule="auto"/>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智能交互</w:t>
            </w:r>
          </w:p>
        </w:tc>
        <w:tc>
          <w:tcPr>
            <w:tcW w:w="48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25</w:t>
            </w:r>
          </w:p>
        </w:tc>
        <w:tc>
          <w:tcPr>
            <w:tcW w:w="91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大模型调用服务</w:t>
            </w:r>
          </w:p>
        </w:tc>
        <w:tc>
          <w:tcPr>
            <w:tcW w:w="240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按调用量（token）计费，月均约数百元</w:t>
            </w:r>
          </w:p>
        </w:tc>
        <w:tc>
          <w:tcPr>
            <w:tcW w:w="43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年</w:t>
            </w:r>
          </w:p>
        </w:tc>
        <w:tc>
          <w:tcPr>
            <w:tcW w:w="528"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1</w:t>
            </w:r>
          </w:p>
        </w:tc>
        <w:tc>
          <w:tcPr>
            <w:tcW w:w="96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6,000</w:t>
            </w:r>
          </w:p>
        </w:tc>
        <w:tc>
          <w:tcPr>
            <w:tcW w:w="1008"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6,000</w:t>
            </w:r>
          </w:p>
        </w:tc>
        <w:tc>
          <w:tcPr>
            <w:tcW w:w="914"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首年</w:t>
            </w:r>
          </w:p>
        </w:tc>
      </w:tr>
      <w:tr>
        <w:trPr>
          <w:cantSplit/>
          <w:jc w:val="center"/>
        </w:trPr>
        <w:tc>
          <w:tcPr>
            <w:tcW w:w="672" w:type="dxa"/>
            <w:tcMar>
              <w:top w:w="100" w:type="dxa"/>
              <w:left w:w="60" w:type="dxa"/>
              <w:bottom w:w="100" w:type="dxa"/>
              <w:right w:w="60" w:type="dxa"/>
            </w:tcMar>
            <w:vAlign w:val="center"/>
          </w:tcPr>
          <w:p>
            <w:pPr>
              <w:spacing w:before="0" w:after="0" w:line="269" w:lineRule="auto"/>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系统对接</w:t>
            </w:r>
          </w:p>
        </w:tc>
        <w:tc>
          <w:tcPr>
            <w:tcW w:w="48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26</w:t>
            </w:r>
          </w:p>
        </w:tc>
        <w:tc>
          <w:tcPr>
            <w:tcW w:w="91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机器人调度系统对接</w:t>
            </w:r>
          </w:p>
        </w:tc>
        <w:tc>
          <w:tcPr>
            <w:tcW w:w="240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运输任务下发、机器人位置与状态回传、运输记录与委托任务关联</w:t>
            </w:r>
          </w:p>
        </w:tc>
        <w:tc>
          <w:tcPr>
            <w:tcW w:w="43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项</w:t>
            </w:r>
          </w:p>
        </w:tc>
        <w:tc>
          <w:tcPr>
            <w:tcW w:w="528"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1</w:t>
            </w:r>
          </w:p>
        </w:tc>
        <w:tc>
          <w:tcPr>
            <w:tcW w:w="96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20,000</w:t>
            </w:r>
          </w:p>
        </w:tc>
        <w:tc>
          <w:tcPr>
            <w:tcW w:w="1008"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20,000</w:t>
            </w:r>
          </w:p>
        </w:tc>
        <w:tc>
          <w:tcPr>
            <w:tcW w:w="914"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
            </w:r>
          </w:p>
        </w:tc>
      </w:tr>
      <w:tr>
        <w:trPr>
          <w:cantSplit/>
          <w:jc w:val="center"/>
        </w:trPr>
        <w:tc>
          <w:tcPr>
            <w:tcW w:w="672" w:type="dxa"/>
            <w:tcMar>
              <w:top w:w="100" w:type="dxa"/>
              <w:left w:w="60" w:type="dxa"/>
              <w:bottom w:w="100" w:type="dxa"/>
              <w:right w:w="60" w:type="dxa"/>
            </w:tcMar>
            <w:vAlign w:val="center"/>
          </w:tcPr>
          <w:p>
            <w:pPr>
              <w:spacing w:before="0" w:after="0" w:line="269" w:lineRule="auto"/>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系统对接</w:t>
            </w:r>
          </w:p>
        </w:tc>
        <w:tc>
          <w:tcPr>
            <w:tcW w:w="48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27</w:t>
            </w:r>
          </w:p>
        </w:tc>
        <w:tc>
          <w:tcPr>
            <w:tcW w:w="91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门禁联动控制接口</w:t>
            </w:r>
          </w:p>
        </w:tc>
        <w:tc>
          <w:tcPr>
            <w:tcW w:w="240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调度指令与智能门禁的开关门联动控制</w:t>
            </w:r>
          </w:p>
        </w:tc>
        <w:tc>
          <w:tcPr>
            <w:tcW w:w="43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项</w:t>
            </w:r>
          </w:p>
        </w:tc>
        <w:tc>
          <w:tcPr>
            <w:tcW w:w="528"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1</w:t>
            </w:r>
          </w:p>
        </w:tc>
        <w:tc>
          <w:tcPr>
            <w:tcW w:w="96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10,000</w:t>
            </w:r>
          </w:p>
        </w:tc>
        <w:tc>
          <w:tcPr>
            <w:tcW w:w="1008"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10,000</w:t>
            </w:r>
          </w:p>
        </w:tc>
        <w:tc>
          <w:tcPr>
            <w:tcW w:w="914"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
            </w:r>
          </w:p>
        </w:tc>
      </w:tr>
      <w:tr>
        <w:trPr>
          <w:cantSplit/>
          <w:jc w:val="center"/>
        </w:trPr>
        <w:tc>
          <w:tcPr>
            <w:tcW w:w="672" w:type="dxa"/>
            <w:tcMar>
              <w:top w:w="100" w:type="dxa"/>
              <w:left w:w="60" w:type="dxa"/>
              <w:bottom w:w="100" w:type="dxa"/>
              <w:right w:w="60" w:type="dxa"/>
            </w:tcMar>
            <w:vAlign w:val="center"/>
          </w:tcPr>
          <w:p>
            <w:pPr>
              <w:spacing w:before="0" w:after="0" w:line="269" w:lineRule="auto"/>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实施服务</w:t>
            </w:r>
          </w:p>
        </w:tc>
        <w:tc>
          <w:tcPr>
            <w:tcW w:w="48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28</w:t>
            </w:r>
          </w:p>
        </w:tc>
        <w:tc>
          <w:tcPr>
            <w:tcW w:w="91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系统部署与联调</w:t>
            </w:r>
          </w:p>
        </w:tc>
        <w:tc>
          <w:tcPr>
            <w:tcW w:w="240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系统部署、配置、全流程联调与试运行保障</w:t>
            </w:r>
          </w:p>
        </w:tc>
        <w:tc>
          <w:tcPr>
            <w:tcW w:w="43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项</w:t>
            </w:r>
          </w:p>
        </w:tc>
        <w:tc>
          <w:tcPr>
            <w:tcW w:w="528"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1</w:t>
            </w:r>
          </w:p>
        </w:tc>
        <w:tc>
          <w:tcPr>
            <w:tcW w:w="96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20,000</w:t>
            </w:r>
          </w:p>
        </w:tc>
        <w:tc>
          <w:tcPr>
            <w:tcW w:w="1008"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20,000</w:t>
            </w:r>
          </w:p>
        </w:tc>
        <w:tc>
          <w:tcPr>
            <w:tcW w:w="914"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
            </w:r>
          </w:p>
        </w:tc>
      </w:tr>
      <w:tr>
        <w:trPr>
          <w:cantSplit/>
          <w:jc w:val="center"/>
        </w:trPr>
        <w:tc>
          <w:tcPr>
            <w:tcW w:w="672" w:type="dxa"/>
            <w:tcMar>
              <w:top w:w="100" w:type="dxa"/>
              <w:left w:w="60" w:type="dxa"/>
              <w:bottom w:w="100" w:type="dxa"/>
              <w:right w:w="60" w:type="dxa"/>
            </w:tcMar>
            <w:vAlign w:val="center"/>
          </w:tcPr>
          <w:p>
            <w:pPr>
              <w:spacing w:before="0" w:after="0" w:line="269" w:lineRule="auto"/>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实施服务</w:t>
            </w:r>
          </w:p>
        </w:tc>
        <w:tc>
          <w:tcPr>
            <w:tcW w:w="48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29</w:t>
            </w:r>
          </w:p>
        </w:tc>
        <w:tc>
          <w:tcPr>
            <w:tcW w:w="91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培训服务</w:t>
            </w:r>
          </w:p>
        </w:tc>
        <w:tc>
          <w:tcPr>
            <w:tcW w:w="240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面向委托前台人员、试验人员与管理人员的操作培训</w:t>
            </w:r>
          </w:p>
        </w:tc>
        <w:tc>
          <w:tcPr>
            <w:tcW w:w="43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次</w:t>
            </w:r>
          </w:p>
        </w:tc>
        <w:tc>
          <w:tcPr>
            <w:tcW w:w="528"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2</w:t>
            </w:r>
          </w:p>
        </w:tc>
        <w:tc>
          <w:tcPr>
            <w:tcW w:w="96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5,000</w:t>
            </w:r>
          </w:p>
        </w:tc>
        <w:tc>
          <w:tcPr>
            <w:tcW w:w="1008"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10,000</w:t>
            </w:r>
          </w:p>
        </w:tc>
        <w:tc>
          <w:tcPr>
            <w:tcW w:w="914"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
            </w:r>
          </w:p>
        </w:tc>
      </w:tr>
      <w:tr>
        <w:trPr>
          <w:cantSplit/>
          <w:jc w:val="center"/>
        </w:trPr>
        <w:tc>
          <w:tcPr>
            <w:tcW w:w="672" w:type="dxa"/>
            <w:tcMar>
              <w:top w:w="100" w:type="dxa"/>
              <w:left w:w="60" w:type="dxa"/>
              <w:bottom w:w="100" w:type="dxa"/>
              <w:right w:w="60" w:type="dxa"/>
            </w:tcMar>
            <w:vAlign w:val="center"/>
          </w:tcPr>
          <w:p>
            <w:pPr>
              <w:spacing w:before="0" w:after="0" w:line="269" w:lineRule="auto"/>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软件小计</w:t>
            </w:r>
          </w:p>
        </w:tc>
        <w:tc>
          <w:tcPr>
            <w:tcW w:w="48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
            </w:r>
          </w:p>
        </w:tc>
        <w:tc>
          <w:tcPr>
            <w:tcW w:w="91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
            </w:r>
          </w:p>
        </w:tc>
        <w:tc>
          <w:tcPr>
            <w:tcW w:w="240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
            </w:r>
          </w:p>
        </w:tc>
        <w:tc>
          <w:tcPr>
            <w:tcW w:w="432"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
            </w:r>
          </w:p>
        </w:tc>
        <w:tc>
          <w:tcPr>
            <w:tcW w:w="528"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
            </w:r>
          </w:p>
        </w:tc>
        <w:tc>
          <w:tcPr>
            <w:tcW w:w="960"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
            </w:r>
          </w:p>
        </w:tc>
        <w:tc>
          <w:tcPr>
            <w:tcW w:w="1008"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556,000</w:t>
            </w:r>
          </w:p>
        </w:tc>
        <w:tc>
          <w:tcPr>
            <w:tcW w:w="914" w:type="dxa"/>
            <w:tcMar>
              <w:top w:w="100" w:type="dxa"/>
              <w:left w:w="60" w:type="dxa"/>
              <w:bottom w:w="100" w:type="dxa"/>
              <w:right w:w="60" w:type="dxa"/>
            </w:tcMar>
            <w:vAlign w:val="center"/>
          </w:tcPr>
          <w:p>
            <w:pPr>
              <w:spacing w:before="0" w:after="0" w:line="269" w:lineRule="auto"/>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 xml:space="preserve"/>
            </w:r>
          </w:p>
        </w:tc>
      </w:tr>
    </w:tbl>
    <w:p>
      <w:pPr>
        <w:spacing w:after="0" w:line="20" w:lineRule="exact"/>
        <w:rPr>
          <w:sz w:val="2"/>
        </w:rPr>
      </w:pPr>
    </w:p>
    <w:sectPr>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0"/>
    <w:family w:val="auto"/>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Arial Unicode MS">
    <w:panose1 w:val="020B0604020202020204"/>
    <w:charset w:val="86"/>
    <w:family w:val="auto"/>
    <w:pitch w:val="default"/>
    <w:sig w:usb0="FFFFFFFF" w:usb1="E9FFFFFF" w:usb2="0000003F" w:usb3="00000000" w:csb0="603F01FF" w:csb1="FFFF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仿宋">
    <w:altName w:val="仿宋-简"/>
    <w:panose1 w:val="02010609060101010101"/>
    <w:charset w:val="86"/>
    <w:family w:val="modern"/>
    <w:pitch w:val="default"/>
    <w:sig w:usb0="00000000" w:usb1="00000000" w:usb2="00000016" w:usb3="00000000" w:csb0="00040001" w:csb1="00000000"/>
  </w:font>
  <w:font w:name="仿宋-简">
    <w:panose1 w:val="02010609060101010101"/>
    <w:charset w:val="86"/>
    <w:family w:val="auto"/>
    <w:pitch w:val="default"/>
    <w:sig w:usb0="A00002BF" w:usb1="3A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AB2D94">
    <w:pPr>
      <w:pStyle w:val="10"/>
      <w:pBdr>
        <w:bottom w:val="single" w:color="auto" w:sz="4" w:space="1"/>
      </w:pBdr>
      <w:jc w:val="left"/>
    </w:pPr>
    <w:r>
      <w:drawing>
        <wp:inline distT="0" distB="0" distL="114300" distR="114300">
          <wp:extent cx="1403350" cy="313055"/>
          <wp:effectExtent l="0" t="0" r="19050" b="17145"/>
          <wp:docPr id="7" name="图片 7"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A picture containing text&#10;&#10;Description automatically generated"/>
                  <pic:cNvPicPr>
                    <a:picLocks noChangeAspect="1"/>
                  </pic:cNvPicPr>
                </pic:nvPicPr>
                <pic:blipFill>
                  <a:blip r:embed="rId1"/>
                  <a:stretch>
                    <a:fillRect/>
                  </a:stretch>
                </pic:blipFill>
                <pic:spPr>
                  <a:xfrm>
                    <a:off x="0" y="0"/>
                    <a:ext cx="1403350" cy="313055"/>
                  </a:xfrm>
                  <a:prstGeom prst="rect">
                    <a:avLst/>
                  </a:prstGeom>
                  <a:noFill/>
                  <a:ln>
                    <a:noFill/>
                  </a:ln>
                </pic:spPr>
              </pic:pic>
            </a:graphicData>
          </a:graphic>
        </wp:inline>
      </w:drawing>
    </w:r>
    <w:r>
      <w:rPr>
        <w:rFonts w:hint="eastAsia"/>
        <w:lang w:val="en-US" w:eastAsia="zh-CN"/>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5E34CE">
    <w:pPr>
      <w:keepNext w:val="0"/>
      <w:keepLines w:val="0"/>
      <w:widowControl/>
      <w:suppressLineNumbers w:val="0"/>
      <w:jc w:val="left"/>
      <w:rPr>
        <w:rFonts w:hint="eastAsia" w:ascii="Arial" w:hAnsi="Arial" w:eastAsia="Arial" w:cs="Arial"/>
        <w:snapToGrid w:val="0"/>
        <w:color w:val="000000"/>
        <w:sz w:val="18"/>
        <w:szCs w:val="21"/>
        <w:lang w:val="en-US" w:eastAsia="en-US" w:bidi="ar-SA"/>
      </w:rPr>
    </w:pPr>
    <w:r>
      <w:drawing>
        <wp:inline distT="0" distB="0" distL="114300" distR="114300">
          <wp:extent cx="1403350" cy="313055"/>
          <wp:effectExtent l="0" t="0" r="19050" b="17145"/>
          <wp:docPr id="6" name="图片 6"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A picture containing text&#10;&#10;Description automatically generated"/>
                  <pic:cNvPicPr>
                    <a:picLocks noChangeAspect="1"/>
                  </pic:cNvPicPr>
                </pic:nvPicPr>
                <pic:blipFill>
                  <a:blip r:embed="rId1"/>
                  <a:stretch>
                    <a:fillRect/>
                  </a:stretch>
                </pic:blipFill>
                <pic:spPr>
                  <a:xfrm>
                    <a:off x="0" y="0"/>
                    <a:ext cx="1403350" cy="313055"/>
                  </a:xfrm>
                  <a:prstGeom prst="rect">
                    <a:avLst/>
                  </a:prstGeom>
                  <a:noFill/>
                  <a:ln>
                    <a:noFill/>
                  </a:ln>
                </pic:spPr>
              </pic:pic>
            </a:graphicData>
          </a:graphic>
        </wp:inline>
      </w:drawing>
    </w:r>
    <w:r>
      <w:rPr>
        <w:rFonts w:hint="eastAsia"/>
        <w:lang w:val="en-US" w:eastAsia="zh-CN"/>
      </w:rPr>
      <w:t xml:space="preserve">                                            </w:t>
    </w:r>
  </w:p>
  <w:p w14:paraId="38C6142A">
    <w:pPr>
      <w:pStyle w:val="10"/>
      <w:pBdr>
        <w:bottom w:val="single" w:color="auto" w:sz="4" w:space="1"/>
      </w:pBdr>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BCDCA1"/>
    <w:multiLevelType w:val="singleLevel"/>
    <w:tmpl w:val="B6BCDCA1"/>
    <w:lvl w:ilvl="0" w:tentative="0">
      <w:start w:val="1"/>
      <w:numFmt w:val="bullet"/>
      <w:lvlText w:val=""/>
      <w:lvlJc w:val="left"/>
      <w:pPr>
        <w:ind w:left="420" w:hanging="420"/>
      </w:pPr>
      <w:rPr>
        <w:rFonts w:hint="default" w:ascii="Wingdings" w:hAnsi="Wingdings"/>
      </w:rPr>
    </w:lvl>
  </w:abstractNum>
  <w:abstractNum w:abstractNumId="1">
    <w:nsid w:val="FFF2696F"/>
    <w:multiLevelType w:val="singleLevel"/>
    <w:tmpl w:val="FFF2696F"/>
    <w:lvl w:ilvl="0" w:tentative="0">
      <w:start w:val="1"/>
      <w:numFmt w:val="bullet"/>
      <w:pStyle w:val="5"/>
      <w:lvlText w:val=""/>
      <w:lvlJc w:val="left"/>
      <w:pPr>
        <w:tabs>
          <w:tab w:val="left" w:pos="360"/>
        </w:tabs>
        <w:ind w:left="36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9"/>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630333"/>
    <w:rsid w:val="1BFA8461"/>
    <w:rsid w:val="1ED080BD"/>
    <w:rsid w:val="1EDF220B"/>
    <w:rsid w:val="1F33375E"/>
    <w:rsid w:val="1FEF9140"/>
    <w:rsid w:val="2DFDEE70"/>
    <w:rsid w:val="2FF94483"/>
    <w:rsid w:val="327DCF2F"/>
    <w:rsid w:val="33DED774"/>
    <w:rsid w:val="375F5D7E"/>
    <w:rsid w:val="379F861E"/>
    <w:rsid w:val="37FF6126"/>
    <w:rsid w:val="3AFF6272"/>
    <w:rsid w:val="3B7F3489"/>
    <w:rsid w:val="3BB5970A"/>
    <w:rsid w:val="3BD61ED1"/>
    <w:rsid w:val="3BFBB2CE"/>
    <w:rsid w:val="3D1710B2"/>
    <w:rsid w:val="3FEB66F4"/>
    <w:rsid w:val="3FEF810B"/>
    <w:rsid w:val="47F2881C"/>
    <w:rsid w:val="47FEB22A"/>
    <w:rsid w:val="49D72C44"/>
    <w:rsid w:val="4DF67666"/>
    <w:rsid w:val="4EF3D872"/>
    <w:rsid w:val="4EFB4673"/>
    <w:rsid w:val="4FBFE9E7"/>
    <w:rsid w:val="4FED1B77"/>
    <w:rsid w:val="4FF85545"/>
    <w:rsid w:val="537FD392"/>
    <w:rsid w:val="53F7EDA9"/>
    <w:rsid w:val="54CF6E6F"/>
    <w:rsid w:val="56FF190F"/>
    <w:rsid w:val="592C72C2"/>
    <w:rsid w:val="5953B797"/>
    <w:rsid w:val="5BE49703"/>
    <w:rsid w:val="5EBF77A5"/>
    <w:rsid w:val="5EDF6142"/>
    <w:rsid w:val="5F7F938E"/>
    <w:rsid w:val="5F976D2F"/>
    <w:rsid w:val="5FF7E1AC"/>
    <w:rsid w:val="66BE2141"/>
    <w:rsid w:val="673F6C1B"/>
    <w:rsid w:val="675FEFC4"/>
    <w:rsid w:val="67FC8D19"/>
    <w:rsid w:val="67FDE435"/>
    <w:rsid w:val="67FFFE4C"/>
    <w:rsid w:val="69FFB10D"/>
    <w:rsid w:val="6AFC7B0E"/>
    <w:rsid w:val="6BBF332B"/>
    <w:rsid w:val="6CF6EB2D"/>
    <w:rsid w:val="6D6E27C5"/>
    <w:rsid w:val="6FEFFA61"/>
    <w:rsid w:val="6FFBBDFA"/>
    <w:rsid w:val="6FFCD85F"/>
    <w:rsid w:val="739EB0DF"/>
    <w:rsid w:val="76EBE406"/>
    <w:rsid w:val="772DB61D"/>
    <w:rsid w:val="773EA5FC"/>
    <w:rsid w:val="77F7231C"/>
    <w:rsid w:val="77FFA482"/>
    <w:rsid w:val="79EF1C98"/>
    <w:rsid w:val="7ABF6117"/>
    <w:rsid w:val="7B56D7F6"/>
    <w:rsid w:val="7BBBD9B1"/>
    <w:rsid w:val="7BC6032B"/>
    <w:rsid w:val="7BC89389"/>
    <w:rsid w:val="7BF3CDD5"/>
    <w:rsid w:val="7D7B1019"/>
    <w:rsid w:val="7DD7CCA1"/>
    <w:rsid w:val="7DFED04C"/>
    <w:rsid w:val="7EDFB97A"/>
    <w:rsid w:val="7EDFBC4C"/>
    <w:rsid w:val="7EED800B"/>
    <w:rsid w:val="7EEF324D"/>
    <w:rsid w:val="7EFF6D6A"/>
    <w:rsid w:val="7FBBDEB0"/>
    <w:rsid w:val="7FBC82B6"/>
    <w:rsid w:val="7FDF81DE"/>
    <w:rsid w:val="7FDFC75B"/>
    <w:rsid w:val="7FEF671B"/>
    <w:rsid w:val="7FF7FA0B"/>
    <w:rsid w:val="88FEE08A"/>
    <w:rsid w:val="99F3ED61"/>
    <w:rsid w:val="9D3C8507"/>
    <w:rsid w:val="9DE3874C"/>
    <w:rsid w:val="9ECF3FE8"/>
    <w:rsid w:val="9FFF566F"/>
    <w:rsid w:val="A7FFF4BD"/>
    <w:rsid w:val="A9F7E814"/>
    <w:rsid w:val="AEFAFB90"/>
    <w:rsid w:val="AFFC33DB"/>
    <w:rsid w:val="B3FBF7F7"/>
    <w:rsid w:val="B4FF3F9E"/>
    <w:rsid w:val="B75DC99A"/>
    <w:rsid w:val="B7FFFDE0"/>
    <w:rsid w:val="BAFB7ACE"/>
    <w:rsid w:val="BB585742"/>
    <w:rsid w:val="BCFE1750"/>
    <w:rsid w:val="BDF87CBE"/>
    <w:rsid w:val="BE3332F9"/>
    <w:rsid w:val="BEB7336A"/>
    <w:rsid w:val="BFDFA24A"/>
    <w:rsid w:val="BFEB228E"/>
    <w:rsid w:val="BFFBA497"/>
    <w:rsid w:val="BFFE4CA0"/>
    <w:rsid w:val="C5BF8391"/>
    <w:rsid w:val="C7EB4D50"/>
    <w:rsid w:val="C7F5855D"/>
    <w:rsid w:val="CBB11D32"/>
    <w:rsid w:val="CD95C1D6"/>
    <w:rsid w:val="CFBF7DB0"/>
    <w:rsid w:val="CFFA54A6"/>
    <w:rsid w:val="D37DEE6F"/>
    <w:rsid w:val="D4ED989D"/>
    <w:rsid w:val="DAE6369A"/>
    <w:rsid w:val="DCCF63B0"/>
    <w:rsid w:val="DD579D3C"/>
    <w:rsid w:val="DDBFC95B"/>
    <w:rsid w:val="DDF1F4B6"/>
    <w:rsid w:val="DDFFB463"/>
    <w:rsid w:val="DE7F52D7"/>
    <w:rsid w:val="DEEB6839"/>
    <w:rsid w:val="DF73EADE"/>
    <w:rsid w:val="DFBF9DEE"/>
    <w:rsid w:val="DFF14DC5"/>
    <w:rsid w:val="E217E932"/>
    <w:rsid w:val="EBBFC750"/>
    <w:rsid w:val="EDBF244F"/>
    <w:rsid w:val="EDFB5A0F"/>
    <w:rsid w:val="EDFFC171"/>
    <w:rsid w:val="EEFB6DA3"/>
    <w:rsid w:val="EEFBDC94"/>
    <w:rsid w:val="EEFF262E"/>
    <w:rsid w:val="EF7FB75B"/>
    <w:rsid w:val="EFAFE33D"/>
    <w:rsid w:val="EFE1BBC1"/>
    <w:rsid w:val="F1F7C533"/>
    <w:rsid w:val="F2B35E7D"/>
    <w:rsid w:val="F36DA31F"/>
    <w:rsid w:val="F5DDF764"/>
    <w:rsid w:val="F77FBF52"/>
    <w:rsid w:val="F7B2A363"/>
    <w:rsid w:val="F7DB4137"/>
    <w:rsid w:val="F7DF443C"/>
    <w:rsid w:val="F7EDE43A"/>
    <w:rsid w:val="F7F68770"/>
    <w:rsid w:val="F7FF715A"/>
    <w:rsid w:val="F936A98B"/>
    <w:rsid w:val="F93DF0FD"/>
    <w:rsid w:val="F975FD7C"/>
    <w:rsid w:val="F9D34781"/>
    <w:rsid w:val="F9D7C7D1"/>
    <w:rsid w:val="FAA2C575"/>
    <w:rsid w:val="FAFF9877"/>
    <w:rsid w:val="FB737F02"/>
    <w:rsid w:val="FBAF3EEC"/>
    <w:rsid w:val="FBB80877"/>
    <w:rsid w:val="FBBB32E2"/>
    <w:rsid w:val="FBE7A758"/>
    <w:rsid w:val="FBF32F41"/>
    <w:rsid w:val="FBFC0752"/>
    <w:rsid w:val="FCD71B3A"/>
    <w:rsid w:val="FDE5B633"/>
    <w:rsid w:val="FDEF3D45"/>
    <w:rsid w:val="FDFFA34C"/>
    <w:rsid w:val="FE2D871E"/>
    <w:rsid w:val="FEFD4627"/>
    <w:rsid w:val="FF3D2033"/>
    <w:rsid w:val="FF7FEEE4"/>
    <w:rsid w:val="FFAFDC94"/>
    <w:rsid w:val="FFDF9697"/>
    <w:rsid w:val="FFEE75F6"/>
    <w:rsid w:val="FFF76FF4"/>
    <w:rsid w:val="FFFF4CE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sz w:val="21"/>
      <w:szCs w:val="22"/>
    </w:rPr>
  </w:style>
  <w:style w:type="paragraph" w:styleId="2">
    <w:name w:val="heading 2"/>
    <w:basedOn w:val="1"/>
    <w:next w:val="1"/>
    <w:qFormat/>
    <w:uiPriority w:val="0"/>
    <w:pPr>
      <w:outlineLvl w:val="1"/>
    </w:pPr>
    <w:rPr>
      <w:sz w:val="32"/>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4">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7">
    <w:name w:val="Default Paragraph Font"/>
    <w:semiHidden/>
    <w:uiPriority w:val="0"/>
  </w:style>
  <w:style w:type="table" w:default="1" w:styleId="15">
    <w:name w:val="Normal Table"/>
    <w:semiHidden/>
    <w:uiPriority w:val="0"/>
    <w:tblPr>
      <w:tblCellMar>
        <w:top w:w="0" w:type="dxa"/>
        <w:left w:w="108" w:type="dxa"/>
        <w:bottom w:w="0" w:type="dxa"/>
        <w:right w:w="108" w:type="dxa"/>
      </w:tblCellMar>
    </w:tblPr>
  </w:style>
  <w:style w:type="paragraph" w:styleId="5">
    <w:name w:val="List Bullet"/>
    <w:basedOn w:val="1"/>
    <w:uiPriority w:val="0"/>
    <w:pPr>
      <w:numPr>
        <w:ilvl w:val="0"/>
        <w:numId w:val="1"/>
      </w:numPr>
    </w:pPr>
  </w:style>
  <w:style w:type="paragraph" w:styleId="6">
    <w:name w:val="Body Text Indent"/>
    <w:basedOn w:val="1"/>
    <w:qFormat/>
    <w:uiPriority w:val="0"/>
    <w:pPr>
      <w:spacing w:line="200" w:lineRule="exact"/>
      <w:ind w:firstLine="301"/>
    </w:pPr>
    <w:rPr>
      <w:rFonts w:ascii="宋体" w:hAnsi="Courier New"/>
      <w:spacing w:val="-4"/>
      <w:sz w:val="18"/>
      <w:szCs w:val="20"/>
    </w:rPr>
  </w:style>
  <w:style w:type="paragraph" w:styleId="7">
    <w:name w:val="toc 3"/>
    <w:basedOn w:val="1"/>
    <w:next w:val="1"/>
    <w:uiPriority w:val="0"/>
    <w:pPr>
      <w:ind w:left="840" w:leftChars="400"/>
    </w:pPr>
  </w:style>
  <w:style w:type="paragraph" w:styleId="8">
    <w:name w:val="Body Text Indent 2"/>
    <w:basedOn w:val="1"/>
    <w:qFormat/>
    <w:uiPriority w:val="0"/>
    <w:pPr>
      <w:spacing w:line="500" w:lineRule="exact"/>
      <w:ind w:firstLine="540" w:firstLineChars="200"/>
    </w:pPr>
    <w:rPr>
      <w:rFonts w:ascii="宋体" w:hAnsi="宋体"/>
      <w:sz w:val="27"/>
      <w:szCs w:val="27"/>
    </w:rPr>
  </w:style>
  <w:style w:type="paragraph" w:styleId="9">
    <w:name w:val="footer"/>
    <w:basedOn w:val="1"/>
    <w:uiPriority w:val="0"/>
    <w:pPr>
      <w:tabs>
        <w:tab w:val="center" w:pos="4153"/>
        <w:tab w:val="right" w:pos="8306"/>
      </w:tabs>
      <w:snapToGrid w:val="0"/>
      <w:jc w:val="left"/>
    </w:pPr>
    <w:rPr>
      <w:sz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toc 1"/>
    <w:basedOn w:val="1"/>
    <w:next w:val="1"/>
    <w:uiPriority w:val="0"/>
  </w:style>
  <w:style w:type="paragraph" w:styleId="12">
    <w:name w:val="toc 2"/>
    <w:basedOn w:val="1"/>
    <w:next w:val="1"/>
    <w:uiPriority w:val="0"/>
    <w:pPr>
      <w:ind w:left="420" w:leftChars="200"/>
    </w:pPr>
  </w:style>
  <w:style w:type="paragraph" w:styleId="13">
    <w:name w:val="Normal (Web)"/>
    <w:basedOn w:val="1"/>
    <w:uiPriority w:val="0"/>
    <w:pPr>
      <w:spacing w:before="0" w:beforeAutospacing="1" w:after="0" w:afterAutospacing="1"/>
      <w:ind w:left="0" w:right="0"/>
      <w:jc w:val="left"/>
    </w:pPr>
    <w:rPr>
      <w:kern w:val="0"/>
      <w:sz w:val="24"/>
      <w:lang w:val="en-US" w:eastAsia="zh-CN" w:bidi="ar"/>
    </w:rPr>
  </w:style>
  <w:style w:type="paragraph" w:styleId="14">
    <w:name w:val="Body Text First Indent 2"/>
    <w:basedOn w:val="6"/>
    <w:next w:val="8"/>
    <w:unhideWhenUsed/>
    <w:qFormat/>
    <w:uiPriority w:val="99"/>
    <w:pPr>
      <w:ind w:firstLine="420" w:firstLineChars="200"/>
    </w:pPr>
  </w:style>
  <w:style w:type="table" w:styleId="16">
    <w:name w:val="Table Grid"/>
    <w:basedOn w:val="1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paragraph" w:customStyle="1" w:styleId="19">
    <w:name w:val="Caption Custom"/>
    <w:uiPriority w:val="0"/>
    <w:pPr>
      <w:spacing w:before="60" w:after="180" w:line="276" w:lineRule="auto"/>
      <w:jc w:val="center"/>
    </w:pPr>
    <w:rPr>
      <w:rFonts w:ascii="Arial Unicode MS" w:hAnsi="Arial Unicode MS" w:eastAsia="等线" w:cstheme="minorBidi"/>
      <w:color w:val="6B7280"/>
      <w:sz w:val="18"/>
      <w:szCs w:val="22"/>
      <w:lang w:val="en-US" w:eastAsia="en-US" w:bidi="ar-SA"/>
    </w:rPr>
  </w:style>
</w:styles>
</file>

<file path=word/_rels/document.xml.rels><?xml version="1.0" encoding="UTF-8" standalone="yes"?>
<Relationships xmlns="http://schemas.openxmlformats.org/package/2006/relationships"><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 Type="http://schemas.openxmlformats.org/officeDocument/2006/relationships/styles" Target="styles.xml"/><Relationship Id="rId31" Type="http://schemas.openxmlformats.org/officeDocument/2006/relationships/image" Target="media/c_diagram1.png"/><Relationship Id="rId32" Type="http://schemas.openxmlformats.org/officeDocument/2006/relationships/image" Target="media/c_diagram2.png"/><Relationship Id="rId33" Type="http://schemas.openxmlformats.org/officeDocument/2006/relationships/image" Target="media/c_diagram3.png"/><Relationship Id="rId34" Type="http://schemas.openxmlformats.org/officeDocument/2006/relationships/image" Target="media/c_diagram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Pages>
  <Words>12718</Words>
  <Characters>13010</Characters>
  <TotalTime>2</TotalTime>
  <ScaleCrop>false</ScaleCrop>
  <LinksUpToDate>false</LinksUpToDate>
  <CharactersWithSpaces>14090</CharactersWithSpaces>
  <Application>WPS Office_12.1.26055.26055_F1E327BC-269C-435d-A152-05C5408002CA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2026-06-12T11:26:00Z</dcterms:created>
  <dc:creator>Apache POI</dc:creator>
  <cp:lastModifiedBy>W</cp:lastModifiedBy>
  <dcterms:modified xsi:type="dcterms:W3CDTF">2026-09-22T21:28:01Z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2052-12.1.26055.26055</vt:lpwstr>
  </property>
  <property fmtid="{D5CDD505-2E9C-101B-9397-08002B2CF9AE}" pid="3" name="ICV">
    <vt:lpwstr>7CFB38B59C5240D4C347B26A3A55708F_43</vt:lpwstr>
  </property>
</Properties>
</file>