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DBAA64">
      <w:pPr>
        <w:bidi w:val="0"/>
        <w:rPr>
          <w:rFonts w:hint="eastAsia" w:ascii="仿宋" w:hAnsi="仿宋" w:eastAsia="仿宋" w:cs="仿宋"/>
          <w:lang w:eastAsia="zh-CN"/>
        </w:rPr>
      </w:pPr>
      <w:bookmarkStart w:id="0" w:name="_Toc30744"/>
      <w:bookmarkStart w:id="1" w:name="_Toc21525"/>
    </w:p>
    <w:p w14:paraId="12554CCC">
      <w:pPr>
        <w:pStyle w:val="12"/>
        <w:ind w:left="0" w:leftChars="0" w:firstLine="0" w:firstLineChars="0"/>
        <w:rPr>
          <w:rFonts w:hint="eastAsia" w:ascii="仿宋" w:hAnsi="仿宋" w:eastAsia="仿宋" w:cs="仿宋"/>
          <w:lang w:eastAsia="zh-CN"/>
        </w:rPr>
      </w:pPr>
    </w:p>
    <w:p w14:paraId="7DD5E69C">
      <w:pPr>
        <w:pStyle w:val="7"/>
        <w:ind w:left="0" w:leftChars="0" w:firstLine="0" w:firstLineChars="0"/>
        <w:outlineLvl w:val="9"/>
        <w:rPr>
          <w:rFonts w:hint="eastAsia" w:ascii="仿宋" w:hAnsi="仿宋" w:eastAsia="仿宋" w:cs="仿宋"/>
          <w:lang w:eastAsia="zh-CN"/>
        </w:rPr>
      </w:pPr>
    </w:p>
    <w:p w14:paraId="106B7D74">
      <w:pPr>
        <w:pStyle w:val="7"/>
        <w:outlineLvl w:val="9"/>
        <w:rPr>
          <w:rFonts w:hint="eastAsia" w:ascii="仿宋" w:hAnsi="仿宋" w:eastAsia="仿宋" w:cs="仿宋"/>
          <w:lang w:eastAsia="zh-CN"/>
        </w:rPr>
      </w:pPr>
    </w:p>
    <w:p w14:paraId="3450020B">
      <w:pPr>
        <w:pStyle w:val="7"/>
        <w:outlineLvl w:val="9"/>
        <w:rPr>
          <w:rFonts w:hint="eastAsia" w:ascii="仿宋" w:hAnsi="仿宋" w:eastAsia="仿宋" w:cs="仿宋"/>
          <w:lang w:eastAsia="zh-CN"/>
        </w:rPr>
      </w:pPr>
    </w:p>
    <w:p w14:paraId="134D4BE4">
      <w:pPr>
        <w:spacing w:line="360" w:lineRule="auto"/>
        <w:jc w:val="center"/>
        <w:outlineLvl w:val="9"/>
        <w:rPr>
          <w:rFonts w:hint="eastAsia" w:ascii="黑体" w:hAnsi="黑体" w:eastAsia="黑体" w:cs="黑体"/>
          <w:b w:val="0"/>
          <w:bCs w:val="0"/>
          <w:color w:val="auto"/>
          <w:sz w:val="52"/>
          <w:szCs w:val="52"/>
          <w:highlight w:val="none"/>
          <w:lang w:val="en-US" w:eastAsia="zh-CN"/>
        </w:rPr>
      </w:pPr>
      <w:r>
        <w:rPr>
          <w:rFonts w:hint="eastAsia" w:ascii="黑体" w:hAnsi="黑体" w:eastAsia="黑体" w:cs="黑体"/>
          <w:b w:val="0"/>
          <w:bCs w:val="0"/>
          <w:color w:val="auto"/>
          <w:sz w:val="52"/>
          <w:szCs w:val="52"/>
          <w:highlight w:val="none"/>
          <w:lang w:val="en-US" w:eastAsia="zh-CN"/>
        </w:rPr>
        <w:t>网联智慧试验室三期</w:t>
      </w:r>
    </w:p>
    <w:p w14:paraId="27F91D00">
      <w:pPr>
        <w:spacing w:line="360" w:lineRule="auto"/>
        <w:jc w:val="center"/>
        <w:outlineLvl w:val="9"/>
        <w:rPr>
          <w:rFonts w:hint="eastAsia" w:ascii="黑体" w:hAnsi="黑体" w:eastAsia="黑体" w:cs="黑体"/>
          <w:b w:val="0"/>
          <w:bCs w:val="0"/>
          <w:color w:val="auto"/>
          <w:sz w:val="52"/>
          <w:szCs w:val="52"/>
          <w:highlight w:val="none"/>
          <w:lang w:val="en-US" w:eastAsia="zh-CN"/>
        </w:rPr>
      </w:pPr>
      <w:r>
        <w:rPr>
          <w:rFonts w:hint="eastAsia" w:ascii="黑体" w:hAnsi="黑体" w:eastAsia="黑体" w:cs="黑体"/>
          <w:b w:val="0"/>
          <w:bCs w:val="0"/>
          <w:color w:val="auto"/>
          <w:sz w:val="52"/>
          <w:szCs w:val="52"/>
          <w:highlight w:val="none"/>
          <w:lang w:val="en-US" w:eastAsia="zh-CN"/>
        </w:rPr>
        <w:t>设备自动化与报告输出智能化</w:t>
      </w:r>
    </w:p>
    <w:p w14:paraId="5C54B49B">
      <w:pPr>
        <w:spacing w:line="360" w:lineRule="auto"/>
        <w:jc w:val="center"/>
        <w:outlineLvl w:val="9"/>
        <w:rPr>
          <w:rFonts w:hint="eastAsia" w:ascii="黑体" w:hAnsi="黑体" w:eastAsia="黑体" w:cs="黑体"/>
          <w:b w:val="0"/>
          <w:bCs w:val="0"/>
          <w:color w:val="auto"/>
          <w:sz w:val="52"/>
          <w:szCs w:val="52"/>
          <w:highlight w:val="none"/>
          <w:lang w:val="en-US" w:eastAsia="zh-CN"/>
        </w:rPr>
      </w:pPr>
      <w:r>
        <w:rPr>
          <w:rFonts w:hint="eastAsia" w:ascii="黑体" w:hAnsi="黑体" w:eastAsia="黑体" w:cs="黑体"/>
          <w:b w:val="0"/>
          <w:bCs w:val="0"/>
          <w:color w:val="auto"/>
          <w:sz w:val="52"/>
          <w:szCs w:val="52"/>
          <w:highlight w:val="none"/>
          <w:lang w:val="en-US" w:eastAsia="zh-CN"/>
        </w:rPr>
        <w:t>建设方案</w:t>
      </w:r>
    </w:p>
    <w:p w14:paraId="5EAA205B">
      <w:pPr>
        <w:bidi w:val="0"/>
        <w:outlineLvl w:val="9"/>
        <w:rPr>
          <w:rFonts w:hint="eastAsia" w:ascii="黑体" w:hAnsi="黑体" w:eastAsia="黑体" w:cs="黑体"/>
          <w:lang w:eastAsia="zh-CN"/>
        </w:rPr>
      </w:pPr>
    </w:p>
    <w:p w14:paraId="7E6A7042">
      <w:pPr>
        <w:bidi w:val="0"/>
        <w:outlineLvl w:val="9"/>
        <w:rPr>
          <w:rFonts w:hint="eastAsia" w:ascii="黑体" w:hAnsi="黑体" w:eastAsia="黑体" w:cs="黑体"/>
          <w:lang w:eastAsia="zh-CN"/>
        </w:rPr>
      </w:pPr>
    </w:p>
    <w:p w14:paraId="51EED85C">
      <w:pPr>
        <w:pStyle w:val="12"/>
        <w:outlineLvl w:val="9"/>
        <w:rPr>
          <w:rFonts w:hint="eastAsia" w:ascii="黑体" w:hAnsi="黑体" w:eastAsia="黑体" w:cs="黑体"/>
          <w:b/>
          <w:sz w:val="52"/>
          <w:szCs w:val="52"/>
          <w:lang w:eastAsia="zh-CN"/>
        </w:rPr>
      </w:pPr>
    </w:p>
    <w:p w14:paraId="173491C3">
      <w:pPr>
        <w:pStyle w:val="7"/>
        <w:outlineLvl w:val="9"/>
        <w:rPr>
          <w:rFonts w:hint="eastAsia" w:ascii="黑体" w:hAnsi="黑体" w:eastAsia="黑体" w:cs="黑体"/>
          <w:b/>
          <w:sz w:val="52"/>
          <w:szCs w:val="52"/>
          <w:lang w:eastAsia="zh-CN"/>
        </w:rPr>
      </w:pPr>
    </w:p>
    <w:p w14:paraId="74159DDF">
      <w:pPr>
        <w:pStyle w:val="7"/>
        <w:outlineLvl w:val="9"/>
        <w:rPr>
          <w:rFonts w:hint="eastAsia" w:ascii="黑体" w:hAnsi="黑体" w:eastAsia="黑体" w:cs="黑体"/>
          <w:b/>
          <w:sz w:val="52"/>
          <w:szCs w:val="52"/>
          <w:lang w:eastAsia="zh-CN"/>
        </w:rPr>
      </w:pPr>
    </w:p>
    <w:p w14:paraId="4D4907AB">
      <w:pPr>
        <w:pStyle w:val="7"/>
        <w:outlineLvl w:val="9"/>
        <w:rPr>
          <w:rFonts w:hint="eastAsia" w:ascii="黑体" w:hAnsi="黑体" w:eastAsia="黑体" w:cs="黑体"/>
          <w:b/>
          <w:sz w:val="52"/>
          <w:szCs w:val="52"/>
          <w:lang w:eastAsia="zh-CN"/>
        </w:rPr>
      </w:pPr>
    </w:p>
    <w:p w14:paraId="45E6AD8C">
      <w:pPr>
        <w:pStyle w:val="7"/>
        <w:outlineLvl w:val="9"/>
        <w:rPr>
          <w:rFonts w:hint="eastAsia" w:ascii="黑体" w:hAnsi="黑体" w:eastAsia="黑体" w:cs="黑体"/>
          <w:b/>
          <w:sz w:val="52"/>
          <w:szCs w:val="52"/>
          <w:lang w:eastAsia="zh-CN"/>
        </w:rPr>
      </w:pPr>
    </w:p>
    <w:p w14:paraId="43873E80">
      <w:pPr>
        <w:pStyle w:val="7"/>
        <w:ind w:left="0" w:leftChars="0" w:firstLine="0" w:firstLineChars="0"/>
        <w:outlineLvl w:val="9"/>
        <w:rPr>
          <w:rFonts w:hint="eastAsia" w:ascii="黑体" w:hAnsi="黑体" w:eastAsia="黑体" w:cs="黑体"/>
          <w:b/>
          <w:sz w:val="52"/>
          <w:szCs w:val="52"/>
          <w:lang w:eastAsia="zh-CN"/>
        </w:rPr>
      </w:pPr>
    </w:p>
    <w:p w14:paraId="6F7FA06C">
      <w:pPr>
        <w:pStyle w:val="7"/>
        <w:outlineLvl w:val="9"/>
        <w:rPr>
          <w:rFonts w:hint="eastAsia" w:ascii="黑体" w:hAnsi="黑体" w:eastAsia="黑体" w:cs="黑体"/>
          <w:b/>
          <w:sz w:val="52"/>
          <w:szCs w:val="52"/>
          <w:lang w:eastAsia="zh-CN"/>
        </w:rPr>
      </w:pPr>
    </w:p>
    <w:p w14:paraId="66EF2AAA">
      <w:pPr>
        <w:pStyle w:val="7"/>
        <w:outlineLvl w:val="9"/>
        <w:rPr>
          <w:rFonts w:hint="eastAsia" w:ascii="黑体" w:hAnsi="黑体" w:eastAsia="黑体" w:cs="黑体"/>
          <w:b/>
          <w:sz w:val="52"/>
          <w:szCs w:val="52"/>
          <w:lang w:eastAsia="zh-CN"/>
        </w:rPr>
      </w:pPr>
    </w:p>
    <w:p w14:paraId="344B8B96">
      <w:pPr>
        <w:keepNext w:val="0"/>
        <w:keepLines w:val="0"/>
        <w:pageBreakBefore w:val="0"/>
        <w:widowControl/>
        <w:kinsoku w:val="0"/>
        <w:wordWrap/>
        <w:overflowPunct/>
        <w:topLinePunct w:val="0"/>
        <w:autoSpaceDE w:val="0"/>
        <w:autoSpaceDN w:val="0"/>
        <w:bidi w:val="0"/>
        <w:adjustRightInd w:val="0"/>
        <w:snapToGrid w:val="0"/>
        <w:spacing w:before="58" w:line="480" w:lineRule="auto"/>
        <w:jc w:val="center"/>
        <w:textAlignment w:val="baseline"/>
        <w:outlineLvl w:val="9"/>
        <w:rPr>
          <w:rFonts w:hint="eastAsia" w:ascii="黑体" w:hAnsi="黑体" w:eastAsia="黑体" w:cs="黑体"/>
          <w:b w:val="0"/>
          <w:bCs/>
          <w:sz w:val="36"/>
          <w:szCs w:val="36"/>
        </w:rPr>
      </w:pPr>
      <w:r>
        <w:rPr>
          <w:rFonts w:hint="eastAsia" w:ascii="黑体" w:hAnsi="黑体" w:eastAsia="黑体" w:cs="黑体"/>
          <w:b w:val="0"/>
          <w:bCs/>
          <w:sz w:val="36"/>
          <w:szCs w:val="36"/>
          <w:lang w:val="en-US" w:eastAsia="zh-CN"/>
        </w:rPr>
        <w:t>江苏</w:t>
      </w:r>
      <w:r>
        <w:rPr>
          <w:rFonts w:hint="eastAsia" w:ascii="黑体" w:hAnsi="黑体" w:eastAsia="黑体" w:cs="黑体"/>
          <w:b w:val="0"/>
          <w:bCs/>
          <w:sz w:val="36"/>
          <w:szCs w:val="36"/>
        </w:rPr>
        <w:t>正方交通科技有限公司</w:t>
      </w:r>
    </w:p>
    <w:p w14:paraId="1D567C8C">
      <w:pPr>
        <w:keepNext w:val="0"/>
        <w:keepLines w:val="0"/>
        <w:pageBreakBefore w:val="0"/>
        <w:widowControl/>
        <w:kinsoku w:val="0"/>
        <w:wordWrap/>
        <w:overflowPunct/>
        <w:topLinePunct w:val="0"/>
        <w:autoSpaceDE w:val="0"/>
        <w:autoSpaceDN w:val="0"/>
        <w:bidi w:val="0"/>
        <w:adjustRightInd w:val="0"/>
        <w:snapToGrid w:val="0"/>
        <w:spacing w:line="480" w:lineRule="auto"/>
        <w:jc w:val="center"/>
        <w:textAlignment w:val="baseline"/>
        <w:outlineLvl w:val="9"/>
        <w:rPr>
          <w:rFonts w:hint="default" w:ascii="黑体" w:hAnsi="黑体" w:eastAsia="黑体" w:cs="黑体"/>
          <w:b w:val="0"/>
          <w:bCs/>
          <w:kern w:val="2"/>
          <w:sz w:val="36"/>
          <w:szCs w:val="36"/>
          <w:lang w:val="en-US" w:eastAsia="zh-CN" w:bidi="ar-SA"/>
        </w:rPr>
        <w:sectPr>
          <w:headerReference r:id="rId3" w:type="default"/>
          <w:pgSz w:w="11906" w:h="16838"/>
          <w:pgMar w:top="1440" w:right="1800" w:bottom="1440" w:left="1800" w:header="567" w:footer="992" w:gutter="0"/>
          <w:pgBorders>
            <w:top w:val="none" w:sz="0" w:space="0"/>
            <w:left w:val="none" w:sz="0" w:space="0"/>
            <w:bottom w:val="none" w:sz="0" w:space="0"/>
            <w:right w:val="none" w:sz="0" w:space="0"/>
          </w:pgBorders>
          <w:pgNumType w:fmt="decimal"/>
          <w:cols w:space="425" w:num="1"/>
          <w:docGrid w:type="lines" w:linePitch="312" w:charSpace="0"/>
        </w:sectPr>
      </w:pPr>
      <w:r>
        <w:rPr>
          <w:rFonts w:hint="eastAsia" w:ascii="黑体" w:hAnsi="黑体" w:eastAsia="黑体" w:cs="黑体"/>
          <w:b w:val="0"/>
          <w:bCs/>
          <w:kern w:val="2"/>
          <w:sz w:val="36"/>
          <w:szCs w:val="36"/>
          <w:lang w:val="en-US" w:eastAsia="zh-CN" w:bidi="ar-SA"/>
        </w:rPr>
        <w:t>2026年09</w:t>
      </w:r>
    </w:p>
    <w:bookmarkEnd w:id="0"/>
    <w:bookmarkEnd w:id="1"/>
    <w:sdt>
      <w:sdtPr>
        <w:rPr>
          <w:rFonts w:ascii="宋体" w:hAnsi="宋体" w:eastAsia="宋体"/>
          <w:sz w:val="21"/>
          <w:szCs w:val="22"/>
        </w:rPr>
        <w:id w:val="591240115"/>
        <w15:color w:val="DBDBDB"/>
        <w:docPartObj>
          <w:docPartGallery w:val="Table of Contents"/>
          <w:docPartUnique/>
        </w:docPartObj>
      </w:sdtPr>
      <w:sdtEndPr>
        <w:rPr>
          <w:rFonts w:ascii="宋体" w:hAnsi="宋体" w:eastAsia="宋体"/>
          <w:sz w:val="21"/>
          <w:szCs w:val="22"/>
        </w:rPr>
      </w:sdtEndPr>
      <w:sdtContent>
        <w:p w14:paraId="682BBA18">
          <w:pPr>
            <w:spacing w:before="0" w:beforeLines="0" w:after="0" w:afterLines="0" w:line="240" w:lineRule="auto"/>
            <w:ind w:left="0" w:leftChars="0" w:right="0" w:rightChars="0" w:firstLine="0" w:firstLineChars="0"/>
            <w:jc w:val="center"/>
          </w:pPr>
          <w:bookmarkStart w:id="43" w:name="_GoBack"/>
          <w:bookmarkEnd w:id="43"/>
          <w:bookmarkStart w:id="2" w:name="heading_0"/>
          <w:r>
            <w:rPr>
              <w:rFonts w:ascii="宋体" w:hAnsi="宋体" w:eastAsia="宋体"/>
              <w:sz w:val="21"/>
            </w:rPr>
            <w:t>目录</w:t>
          </w:r>
        </w:p>
        <w:p w14:paraId="324356B2">
          <w:pPr>
            <w:pStyle w:val="10"/>
            <w:tabs>
              <w:tab w:val="right" w:leader="dot" w:pos="8305"/>
            </w:tabs>
          </w:pPr>
          <w:r>
            <w:fldChar w:fldCharType="begin"/>
          </w:r>
          <w:r>
            <w:instrText xml:space="preserve">TOC \o "1-3" \h \u </w:instrText>
          </w:r>
          <w:r>
            <w:fldChar w:fldCharType="separate"/>
          </w:r>
          <w:r>
            <w:fldChar w:fldCharType="begin"/>
          </w:r>
          <w:r>
            <w:instrText xml:space="preserve"> HYPERLINK \l _Toc1405484602 </w:instrText>
          </w:r>
          <w:r>
            <w:fldChar w:fldCharType="separate"/>
          </w:r>
          <w:r>
            <w:rPr>
              <w:rFonts w:hint="eastAsia" w:ascii="宋体" w:hAnsi="宋体" w:eastAsia="宋体" w:cs="宋体"/>
              <w:snapToGrid w:val="0"/>
              <w:szCs w:val="28"/>
              <w:lang w:val="en-US" w:eastAsia="zh-CN" w:bidi="ar-SA"/>
            </w:rPr>
            <w:t>一、项目概述</w:t>
          </w:r>
          <w:r>
            <w:tab/>
          </w:r>
          <w:r>
            <w:fldChar w:fldCharType="begin"/>
          </w:r>
          <w:r>
            <w:instrText xml:space="preserve"> PAGEREF _Toc1405484602 \h </w:instrText>
          </w:r>
          <w:r>
            <w:fldChar w:fldCharType="separate"/>
          </w:r>
          <w:r>
            <w:t>3</w:t>
          </w:r>
          <w:r>
            <w:fldChar w:fldCharType="end"/>
          </w:r>
          <w:r>
            <w:fldChar w:fldCharType="end"/>
          </w:r>
        </w:p>
        <w:p w14:paraId="41F2F076">
          <w:pPr>
            <w:pStyle w:val="11"/>
            <w:tabs>
              <w:tab w:val="right" w:leader="dot" w:pos="8305"/>
            </w:tabs>
          </w:pPr>
          <w:r>
            <w:fldChar w:fldCharType="begin"/>
          </w:r>
          <w:r>
            <w:instrText xml:space="preserve"> HYPERLINK \l _Toc1807072461 </w:instrText>
          </w:r>
          <w:r>
            <w:fldChar w:fldCharType="separate"/>
          </w:r>
          <w:r>
            <w:rPr>
              <w:rFonts w:hint="eastAsia" w:ascii="宋体" w:hAnsi="宋体" w:eastAsia="宋体" w:cs="宋体"/>
              <w:snapToGrid w:val="0"/>
              <w:szCs w:val="28"/>
              <w:lang w:val="en-US" w:eastAsia="en-US" w:bidi="ar-SA"/>
            </w:rPr>
            <w:t>1.1 项目背景</w:t>
          </w:r>
          <w:r>
            <w:tab/>
          </w:r>
          <w:r>
            <w:fldChar w:fldCharType="begin"/>
          </w:r>
          <w:r>
            <w:instrText xml:space="preserve"> PAGEREF _Toc1807072461 \h </w:instrText>
          </w:r>
          <w:r>
            <w:fldChar w:fldCharType="separate"/>
          </w:r>
          <w:r>
            <w:t>3</w:t>
          </w:r>
          <w:r>
            <w:fldChar w:fldCharType="end"/>
          </w:r>
          <w:r>
            <w:fldChar w:fldCharType="end"/>
          </w:r>
        </w:p>
        <w:p w14:paraId="4143C7DB">
          <w:pPr>
            <w:pStyle w:val="11"/>
            <w:tabs>
              <w:tab w:val="right" w:leader="dot" w:pos="8305"/>
            </w:tabs>
          </w:pPr>
          <w:r>
            <w:fldChar w:fldCharType="begin"/>
          </w:r>
          <w:r>
            <w:instrText xml:space="preserve"> HYPERLINK \l _Toc1753116153 </w:instrText>
          </w:r>
          <w:r>
            <w:fldChar w:fldCharType="separate"/>
          </w:r>
          <w:r>
            <w:rPr>
              <w:rFonts w:hint="eastAsia" w:ascii="宋体" w:hAnsi="宋体" w:eastAsia="宋体" w:cs="宋体"/>
              <w:snapToGrid w:val="0"/>
              <w:szCs w:val="28"/>
              <w:lang w:val="en-US" w:eastAsia="en-US" w:bidi="ar-SA"/>
            </w:rPr>
            <w:t>1.</w:t>
          </w:r>
          <w:r>
            <w:rPr>
              <w:rFonts w:hint="eastAsia" w:ascii="宋体" w:hAnsi="宋体" w:cs="宋体"/>
              <w:snapToGrid w:val="0"/>
              <w:szCs w:val="28"/>
              <w:lang w:val="en-US" w:eastAsia="zh-CN" w:bidi="ar-SA"/>
            </w:rPr>
            <w:t>2</w:t>
          </w:r>
          <w:r>
            <w:rPr>
              <w:rFonts w:hint="eastAsia" w:ascii="宋体" w:hAnsi="宋体" w:eastAsia="宋体" w:cs="宋体"/>
              <w:snapToGrid w:val="0"/>
              <w:szCs w:val="28"/>
              <w:lang w:val="en-US" w:eastAsia="en-US" w:bidi="ar-SA"/>
            </w:rPr>
            <w:t xml:space="preserve"> </w:t>
          </w:r>
          <w:r>
            <w:rPr>
              <w:rFonts w:hint="eastAsia" w:ascii="宋体" w:hAnsi="宋体" w:cs="宋体"/>
              <w:snapToGrid w:val="0"/>
              <w:szCs w:val="28"/>
              <w:lang w:val="en-US" w:eastAsia="zh-CN" w:bidi="ar-SA"/>
            </w:rPr>
            <w:t>现存痛点</w:t>
          </w:r>
          <w:r>
            <w:tab/>
          </w:r>
          <w:r>
            <w:fldChar w:fldCharType="begin"/>
          </w:r>
          <w:r>
            <w:instrText xml:space="preserve"> PAGEREF _Toc1753116153 \h </w:instrText>
          </w:r>
          <w:r>
            <w:fldChar w:fldCharType="separate"/>
          </w:r>
          <w:r>
            <w:t>4</w:t>
          </w:r>
          <w:r>
            <w:fldChar w:fldCharType="end"/>
          </w:r>
          <w:r>
            <w:fldChar w:fldCharType="end"/>
          </w:r>
        </w:p>
        <w:p w14:paraId="46A0AC99">
          <w:pPr>
            <w:pStyle w:val="11"/>
            <w:tabs>
              <w:tab w:val="right" w:leader="dot" w:pos="8305"/>
            </w:tabs>
          </w:pPr>
          <w:r>
            <w:fldChar w:fldCharType="begin"/>
          </w:r>
          <w:r>
            <w:instrText xml:space="preserve"> HYPERLINK \l _Toc1147546631 </w:instrText>
          </w:r>
          <w:r>
            <w:fldChar w:fldCharType="separate"/>
          </w:r>
          <w:r>
            <w:rPr>
              <w:rFonts w:hint="eastAsia" w:ascii="宋体" w:hAnsi="宋体" w:eastAsia="宋体" w:cs="宋体"/>
              <w:snapToGrid w:val="0"/>
              <w:szCs w:val="28"/>
              <w:lang w:val="en-US" w:eastAsia="en-US" w:bidi="ar-SA"/>
            </w:rPr>
            <w:t>1.</w:t>
          </w:r>
          <w:r>
            <w:rPr>
              <w:rFonts w:hint="eastAsia" w:ascii="宋体" w:hAnsi="宋体" w:cs="宋体"/>
              <w:snapToGrid w:val="0"/>
              <w:szCs w:val="28"/>
              <w:lang w:val="en-US" w:eastAsia="zh-CN" w:bidi="ar-SA"/>
            </w:rPr>
            <w:t>3</w:t>
          </w:r>
          <w:r>
            <w:rPr>
              <w:rFonts w:hint="eastAsia" w:ascii="宋体" w:hAnsi="宋体" w:eastAsia="宋体" w:cs="宋体"/>
              <w:snapToGrid w:val="0"/>
              <w:szCs w:val="28"/>
              <w:lang w:val="en-US" w:eastAsia="en-US" w:bidi="ar-SA"/>
            </w:rPr>
            <w:t xml:space="preserve"> 项目</w:t>
          </w:r>
          <w:r>
            <w:rPr>
              <w:rFonts w:hint="eastAsia" w:ascii="宋体" w:hAnsi="宋体" w:cs="宋体"/>
              <w:snapToGrid w:val="0"/>
              <w:szCs w:val="28"/>
              <w:lang w:val="en-US" w:eastAsia="zh-CN" w:bidi="ar-SA"/>
            </w:rPr>
            <w:t>现状</w:t>
          </w:r>
          <w:r>
            <w:tab/>
          </w:r>
          <w:r>
            <w:fldChar w:fldCharType="begin"/>
          </w:r>
          <w:r>
            <w:instrText xml:space="preserve"> PAGEREF _Toc1147546631 \h </w:instrText>
          </w:r>
          <w:r>
            <w:fldChar w:fldCharType="separate"/>
          </w:r>
          <w:r>
            <w:t>4</w:t>
          </w:r>
          <w:r>
            <w:fldChar w:fldCharType="end"/>
          </w:r>
          <w:r>
            <w:fldChar w:fldCharType="end"/>
          </w:r>
        </w:p>
        <w:p w14:paraId="469FFA65">
          <w:pPr>
            <w:pStyle w:val="11"/>
            <w:tabs>
              <w:tab w:val="right" w:leader="dot" w:pos="8305"/>
            </w:tabs>
          </w:pPr>
          <w:r>
            <w:fldChar w:fldCharType="begin"/>
          </w:r>
          <w:r>
            <w:instrText xml:space="preserve"> HYPERLINK \l _Toc265593510 </w:instrText>
          </w:r>
          <w:r>
            <w:fldChar w:fldCharType="separate"/>
          </w:r>
          <w:r>
            <w:rPr>
              <w:rFonts w:hint="eastAsia" w:ascii="宋体" w:hAnsi="宋体" w:cs="宋体"/>
              <w:lang w:val="en-US" w:eastAsia="zh-CN"/>
            </w:rPr>
            <w:t>在现有设备管理的功能基础上，建立数据上传和管理入口，为历史数据查看、数据填充提供支撑；</w:t>
          </w:r>
          <w:r>
            <w:tab/>
          </w:r>
          <w:r>
            <w:fldChar w:fldCharType="begin"/>
          </w:r>
          <w:r>
            <w:instrText xml:space="preserve"> PAGEREF _Toc265593510 \h </w:instrText>
          </w:r>
          <w:r>
            <w:fldChar w:fldCharType="separate"/>
          </w:r>
          <w:r>
            <w:t>4</w:t>
          </w:r>
          <w:r>
            <w:fldChar w:fldCharType="end"/>
          </w:r>
          <w:r>
            <w:fldChar w:fldCharType="end"/>
          </w:r>
        </w:p>
        <w:p w14:paraId="7C9680AA">
          <w:pPr>
            <w:pStyle w:val="11"/>
            <w:tabs>
              <w:tab w:val="right" w:leader="dot" w:pos="8305"/>
            </w:tabs>
          </w:pPr>
          <w:r>
            <w:fldChar w:fldCharType="begin"/>
          </w:r>
          <w:r>
            <w:instrText xml:space="preserve"> HYPERLINK \l _Toc1359104104 </w:instrText>
          </w:r>
          <w:r>
            <w:fldChar w:fldCharType="separate"/>
          </w:r>
          <w:r>
            <w:rPr>
              <w:rFonts w:hint="eastAsia" w:ascii="宋体" w:hAnsi="宋体" w:eastAsia="宋体" w:cs="宋体"/>
              <w:snapToGrid w:val="0"/>
              <w:szCs w:val="28"/>
              <w:lang w:val="en-US" w:eastAsia="en-US" w:bidi="ar-SA"/>
            </w:rPr>
            <w:t xml:space="preserve">1.4 </w:t>
          </w:r>
          <w:r>
            <w:rPr>
              <w:rFonts w:hint="eastAsia" w:ascii="宋体" w:hAnsi="宋体" w:cs="宋体"/>
              <w:snapToGrid w:val="0"/>
              <w:szCs w:val="28"/>
              <w:lang w:val="en-US" w:eastAsia="zh-CN" w:bidi="ar-SA"/>
            </w:rPr>
            <w:t>需求梳理</w:t>
          </w:r>
          <w:r>
            <w:tab/>
          </w:r>
          <w:r>
            <w:fldChar w:fldCharType="begin"/>
          </w:r>
          <w:r>
            <w:instrText xml:space="preserve"> PAGEREF _Toc1359104104 \h </w:instrText>
          </w:r>
          <w:r>
            <w:fldChar w:fldCharType="separate"/>
          </w:r>
          <w:r>
            <w:t>5</w:t>
          </w:r>
          <w:r>
            <w:fldChar w:fldCharType="end"/>
          </w:r>
          <w:r>
            <w:fldChar w:fldCharType="end"/>
          </w:r>
        </w:p>
        <w:p w14:paraId="1F20A8E9">
          <w:pPr>
            <w:pStyle w:val="11"/>
            <w:tabs>
              <w:tab w:val="right" w:leader="dot" w:pos="8305"/>
            </w:tabs>
          </w:pPr>
          <w:r>
            <w:fldChar w:fldCharType="begin"/>
          </w:r>
          <w:r>
            <w:instrText xml:space="preserve"> HYPERLINK \l _Toc1826606436 </w:instrText>
          </w:r>
          <w:r>
            <w:fldChar w:fldCharType="separate"/>
          </w:r>
          <w:r>
            <w:rPr>
              <w:rFonts w:hint="eastAsia" w:ascii="宋体" w:hAnsi="宋体" w:eastAsia="宋体" w:cs="宋体"/>
              <w:snapToGrid w:val="0"/>
              <w:szCs w:val="28"/>
              <w:lang w:val="en-US" w:eastAsia="en-US" w:bidi="ar-SA"/>
            </w:rPr>
            <w:t>1.</w:t>
          </w:r>
          <w:r>
            <w:rPr>
              <w:rFonts w:hint="eastAsia" w:ascii="宋体" w:hAnsi="宋体" w:cs="宋体"/>
              <w:snapToGrid w:val="0"/>
              <w:szCs w:val="28"/>
              <w:lang w:val="en-US" w:eastAsia="zh-CN" w:bidi="ar-SA"/>
            </w:rPr>
            <w:t>5</w:t>
          </w:r>
          <w:r>
            <w:rPr>
              <w:rFonts w:hint="eastAsia" w:ascii="宋体" w:hAnsi="宋体" w:eastAsia="宋体" w:cs="宋体"/>
              <w:snapToGrid w:val="0"/>
              <w:szCs w:val="28"/>
              <w:lang w:val="en-US" w:eastAsia="en-US" w:bidi="ar-SA"/>
            </w:rPr>
            <w:t xml:space="preserve"> </w:t>
          </w:r>
          <w:r>
            <w:rPr>
              <w:rFonts w:hint="eastAsia" w:ascii="宋体" w:hAnsi="宋体" w:cs="宋体"/>
              <w:snapToGrid w:val="0"/>
              <w:szCs w:val="28"/>
              <w:lang w:val="en-US" w:eastAsia="zh-CN" w:bidi="ar-SA"/>
            </w:rPr>
            <w:t>项目目标与核心成果</w:t>
          </w:r>
          <w:r>
            <w:tab/>
          </w:r>
          <w:r>
            <w:fldChar w:fldCharType="begin"/>
          </w:r>
          <w:r>
            <w:instrText xml:space="preserve"> PAGEREF _Toc1826606436 \h </w:instrText>
          </w:r>
          <w:r>
            <w:fldChar w:fldCharType="separate"/>
          </w:r>
          <w:r>
            <w:t>5</w:t>
          </w:r>
          <w:r>
            <w:fldChar w:fldCharType="end"/>
          </w:r>
          <w:r>
            <w:fldChar w:fldCharType="end"/>
          </w:r>
        </w:p>
        <w:p w14:paraId="412D023E">
          <w:pPr>
            <w:pStyle w:val="10"/>
            <w:tabs>
              <w:tab w:val="right" w:leader="dot" w:pos="8305"/>
            </w:tabs>
          </w:pPr>
          <w:r>
            <w:fldChar w:fldCharType="begin"/>
          </w:r>
          <w:r>
            <w:instrText xml:space="preserve"> HYPERLINK \l _Toc1495635987 </w:instrText>
          </w:r>
          <w:r>
            <w:fldChar w:fldCharType="separate"/>
          </w:r>
          <w:r>
            <w:rPr>
              <w:rFonts w:hint="eastAsia" w:ascii="宋体" w:hAnsi="宋体" w:cs="宋体"/>
              <w:snapToGrid w:val="0"/>
              <w:szCs w:val="28"/>
              <w:lang w:val="en-US" w:eastAsia="zh-CN" w:bidi="ar-SA"/>
            </w:rPr>
            <w:t>二</w:t>
          </w:r>
          <w:r>
            <w:rPr>
              <w:rFonts w:hint="eastAsia" w:ascii="宋体" w:hAnsi="宋体" w:eastAsia="宋体" w:cs="宋体"/>
              <w:snapToGrid w:val="0"/>
              <w:szCs w:val="28"/>
              <w:lang w:val="en-US" w:eastAsia="zh-CN" w:bidi="ar-SA"/>
            </w:rPr>
            <w:t>、</w:t>
          </w:r>
          <w:r>
            <w:rPr>
              <w:rFonts w:hint="eastAsia" w:ascii="宋体" w:hAnsi="宋体" w:cs="宋体"/>
              <w:snapToGrid w:val="0"/>
              <w:szCs w:val="28"/>
              <w:lang w:val="en-US" w:eastAsia="zh-CN" w:bidi="ar-SA"/>
            </w:rPr>
            <w:t>总体架构</w:t>
          </w:r>
          <w:r>
            <w:tab/>
          </w:r>
          <w:r>
            <w:fldChar w:fldCharType="begin"/>
          </w:r>
          <w:r>
            <w:instrText xml:space="preserve"> PAGEREF _Toc1495635987 \h </w:instrText>
          </w:r>
          <w:r>
            <w:fldChar w:fldCharType="separate"/>
          </w:r>
          <w:r>
            <w:t>7</w:t>
          </w:r>
          <w:r>
            <w:fldChar w:fldCharType="end"/>
          </w:r>
          <w:r>
            <w:fldChar w:fldCharType="end"/>
          </w:r>
        </w:p>
        <w:p w14:paraId="3BB59D4B">
          <w:pPr>
            <w:pStyle w:val="10"/>
            <w:tabs>
              <w:tab w:val="right" w:leader="dot" w:pos="8305"/>
            </w:tabs>
          </w:pPr>
          <w:r>
            <w:fldChar w:fldCharType="begin"/>
          </w:r>
          <w:r>
            <w:instrText xml:space="preserve"> HYPERLINK \l _Toc857945374 </w:instrText>
          </w:r>
          <w:r>
            <w:fldChar w:fldCharType="separate"/>
          </w:r>
          <w:r>
            <w:rPr>
              <w:rFonts w:hint="eastAsia" w:ascii="宋体" w:hAnsi="宋体" w:cs="宋体"/>
              <w:snapToGrid w:val="0"/>
              <w:szCs w:val="28"/>
              <w:lang w:val="en-US" w:eastAsia="zh-CN" w:bidi="ar-SA"/>
            </w:rPr>
            <w:t>三</w:t>
          </w:r>
          <w:r>
            <w:rPr>
              <w:rFonts w:hint="eastAsia" w:ascii="宋体" w:hAnsi="宋体" w:eastAsia="宋体" w:cs="宋体"/>
              <w:snapToGrid w:val="0"/>
              <w:szCs w:val="28"/>
              <w:lang w:val="en-US" w:eastAsia="zh-CN" w:bidi="ar-SA"/>
            </w:rPr>
            <w:t>、</w:t>
          </w:r>
          <w:r>
            <w:rPr>
              <w:rFonts w:hint="eastAsia" w:ascii="宋体" w:hAnsi="宋体" w:cs="宋体"/>
              <w:snapToGrid w:val="0"/>
              <w:szCs w:val="28"/>
              <w:lang w:val="en-US" w:eastAsia="zh-CN" w:bidi="ar-SA"/>
            </w:rPr>
            <w:t>建设方案</w:t>
          </w:r>
          <w:r>
            <w:tab/>
          </w:r>
          <w:r>
            <w:fldChar w:fldCharType="begin"/>
          </w:r>
          <w:r>
            <w:instrText xml:space="preserve"> PAGEREF _Toc857945374 \h </w:instrText>
          </w:r>
          <w:r>
            <w:fldChar w:fldCharType="separate"/>
          </w:r>
          <w:r>
            <w:t>8</w:t>
          </w:r>
          <w:r>
            <w:fldChar w:fldCharType="end"/>
          </w:r>
          <w:r>
            <w:fldChar w:fldCharType="end"/>
          </w:r>
        </w:p>
        <w:p w14:paraId="13B00DC2">
          <w:pPr>
            <w:pStyle w:val="11"/>
            <w:tabs>
              <w:tab w:val="right" w:leader="dot" w:pos="8305"/>
            </w:tabs>
          </w:pPr>
          <w:r>
            <w:fldChar w:fldCharType="begin"/>
          </w:r>
          <w:r>
            <w:instrText xml:space="preserve"> HYPERLINK \l _Toc1282694860 </w:instrText>
          </w:r>
          <w:r>
            <w:fldChar w:fldCharType="separate"/>
          </w:r>
          <w:r>
            <w:rPr>
              <w:rFonts w:hint="eastAsia" w:ascii="宋体" w:hAnsi="宋体" w:cs="宋体"/>
              <w:snapToGrid w:val="0"/>
              <w:szCs w:val="28"/>
              <w:lang w:val="en-US" w:eastAsia="zh-CN" w:bidi="ar-SA"/>
            </w:rPr>
            <w:t>3.2 委托登记小程序</w:t>
          </w:r>
          <w:r>
            <w:tab/>
          </w:r>
          <w:r>
            <w:fldChar w:fldCharType="begin"/>
          </w:r>
          <w:r>
            <w:instrText xml:space="preserve"> PAGEREF _Toc1282694860 \h </w:instrText>
          </w:r>
          <w:r>
            <w:fldChar w:fldCharType="separate"/>
          </w:r>
          <w:r>
            <w:t>8</w:t>
          </w:r>
          <w:r>
            <w:fldChar w:fldCharType="end"/>
          </w:r>
          <w:r>
            <w:fldChar w:fldCharType="end"/>
          </w:r>
        </w:p>
        <w:p w14:paraId="53EEA7F9">
          <w:pPr>
            <w:pStyle w:val="6"/>
            <w:tabs>
              <w:tab w:val="right" w:leader="dot" w:pos="8305"/>
            </w:tabs>
          </w:pPr>
          <w:r>
            <w:fldChar w:fldCharType="begin"/>
          </w:r>
          <w:r>
            <w:instrText xml:space="preserve"> HYPERLINK \l _Toc1811663434 </w:instrText>
          </w:r>
          <w:r>
            <w:fldChar w:fldCharType="separate"/>
          </w:r>
          <w:r>
            <w:rPr>
              <w:rFonts w:hint="eastAsia" w:ascii="宋体" w:hAnsi="宋体" w:cs="宋体"/>
              <w:snapToGrid w:val="0"/>
              <w:szCs w:val="24"/>
              <w:lang w:val="en-US" w:eastAsia="zh-CN" w:bidi="ar-SA"/>
            </w:rPr>
            <w:t>3.2.1</w:t>
          </w:r>
          <w:r>
            <w:rPr>
              <w:rFonts w:hint="eastAsia" w:ascii="宋体" w:hAnsi="宋体" w:eastAsia="宋体" w:cs="宋体"/>
              <w:snapToGrid w:val="0"/>
              <w:szCs w:val="24"/>
              <w:lang w:val="en-US" w:eastAsia="zh-CN" w:bidi="ar-SA"/>
            </w:rPr>
            <w:t xml:space="preserve"> </w:t>
          </w:r>
          <w:r>
            <w:rPr>
              <w:rFonts w:hint="eastAsia" w:ascii="宋体" w:hAnsi="宋体" w:cs="宋体"/>
              <w:snapToGrid w:val="0"/>
              <w:szCs w:val="24"/>
              <w:lang w:val="en-US" w:eastAsia="zh-CN" w:bidi="ar-SA"/>
            </w:rPr>
            <w:t>委托人申请入口建设</w:t>
          </w:r>
          <w:r>
            <w:tab/>
          </w:r>
          <w:r>
            <w:fldChar w:fldCharType="begin"/>
          </w:r>
          <w:r>
            <w:instrText xml:space="preserve"> PAGEREF _Toc1811663434 \h </w:instrText>
          </w:r>
          <w:r>
            <w:fldChar w:fldCharType="separate"/>
          </w:r>
          <w:r>
            <w:t>8</w:t>
          </w:r>
          <w:r>
            <w:fldChar w:fldCharType="end"/>
          </w:r>
          <w:r>
            <w:fldChar w:fldCharType="end"/>
          </w:r>
        </w:p>
        <w:p w14:paraId="4327AD81">
          <w:pPr>
            <w:pStyle w:val="6"/>
            <w:tabs>
              <w:tab w:val="right" w:leader="dot" w:pos="8305"/>
            </w:tabs>
          </w:pPr>
          <w:r>
            <w:fldChar w:fldCharType="begin"/>
          </w:r>
          <w:r>
            <w:instrText xml:space="preserve"> HYPERLINK \l _Toc1604188072 </w:instrText>
          </w:r>
          <w:r>
            <w:fldChar w:fldCharType="separate"/>
          </w:r>
          <w:r>
            <w:rPr>
              <w:rFonts w:hint="eastAsia" w:ascii="宋体" w:hAnsi="宋体" w:cs="宋体"/>
              <w:snapToGrid w:val="0"/>
              <w:szCs w:val="24"/>
              <w:lang w:val="en-US" w:eastAsia="zh-CN" w:bidi="ar-SA"/>
            </w:rPr>
            <w:t>3</w:t>
          </w:r>
          <w:r>
            <w:rPr>
              <w:rFonts w:hint="eastAsia" w:ascii="宋体" w:hAnsi="宋体" w:cs="宋体"/>
              <w:snapToGrid w:val="0"/>
              <w:szCs w:val="24"/>
              <w:lang w:val="en-US" w:eastAsia="en-US" w:bidi="ar-SA"/>
            </w:rPr>
            <w:t>.2.2 委托申请内容梳理</w:t>
          </w:r>
          <w:r>
            <w:tab/>
          </w:r>
          <w:r>
            <w:fldChar w:fldCharType="begin"/>
          </w:r>
          <w:r>
            <w:instrText xml:space="preserve"> PAGEREF _Toc1604188072 \h </w:instrText>
          </w:r>
          <w:r>
            <w:fldChar w:fldCharType="separate"/>
          </w:r>
          <w:r>
            <w:t>9</w:t>
          </w:r>
          <w:r>
            <w:fldChar w:fldCharType="end"/>
          </w:r>
          <w:r>
            <w:fldChar w:fldCharType="end"/>
          </w:r>
        </w:p>
        <w:p w14:paraId="42134BD6">
          <w:pPr>
            <w:pStyle w:val="6"/>
            <w:tabs>
              <w:tab w:val="right" w:leader="dot" w:pos="8305"/>
            </w:tabs>
          </w:pPr>
          <w:r>
            <w:fldChar w:fldCharType="begin"/>
          </w:r>
          <w:r>
            <w:instrText xml:space="preserve"> HYPERLINK \l _Toc2079221666 </w:instrText>
          </w:r>
          <w:r>
            <w:fldChar w:fldCharType="separate"/>
          </w:r>
          <w:r>
            <w:rPr>
              <w:rFonts w:hint="eastAsia" w:ascii="宋体" w:hAnsi="宋体" w:cs="宋体"/>
              <w:snapToGrid w:val="0"/>
              <w:szCs w:val="24"/>
              <w:lang w:val="en-US" w:eastAsia="zh-CN" w:bidi="ar-SA"/>
            </w:rPr>
            <w:t>3</w:t>
          </w:r>
          <w:r>
            <w:rPr>
              <w:rFonts w:hint="eastAsia" w:ascii="宋体" w:hAnsi="宋体" w:cs="宋体"/>
              <w:snapToGrid w:val="0"/>
              <w:szCs w:val="24"/>
              <w:lang w:val="en-US" w:eastAsia="en-US" w:bidi="ar-SA"/>
            </w:rPr>
            <w:t>.2.</w:t>
          </w:r>
          <w:r>
            <w:rPr>
              <w:rFonts w:hint="eastAsia" w:ascii="宋体" w:hAnsi="宋体" w:cs="宋体"/>
              <w:snapToGrid w:val="0"/>
              <w:szCs w:val="24"/>
              <w:lang w:val="en-US" w:eastAsia="zh-CN" w:bidi="ar-SA"/>
            </w:rPr>
            <w:t>3</w:t>
          </w:r>
          <w:r>
            <w:rPr>
              <w:rFonts w:hint="eastAsia" w:ascii="宋体" w:hAnsi="宋体" w:cs="宋体"/>
              <w:snapToGrid w:val="0"/>
              <w:szCs w:val="24"/>
              <w:lang w:val="en-US" w:eastAsia="en-US" w:bidi="ar-SA"/>
            </w:rPr>
            <w:t xml:space="preserve"> 申请</w:t>
          </w:r>
          <w:r>
            <w:rPr>
              <w:rFonts w:hint="eastAsia" w:ascii="宋体" w:hAnsi="宋体" w:cs="宋体"/>
              <w:snapToGrid w:val="0"/>
              <w:szCs w:val="24"/>
              <w:lang w:val="en-US" w:eastAsia="zh-CN" w:bidi="ar-SA"/>
            </w:rPr>
            <w:t>受理功能建设</w:t>
          </w:r>
          <w:r>
            <w:tab/>
          </w:r>
          <w:r>
            <w:fldChar w:fldCharType="begin"/>
          </w:r>
          <w:r>
            <w:instrText xml:space="preserve"> PAGEREF _Toc2079221666 \h </w:instrText>
          </w:r>
          <w:r>
            <w:fldChar w:fldCharType="separate"/>
          </w:r>
          <w:r>
            <w:t>9</w:t>
          </w:r>
          <w:r>
            <w:fldChar w:fldCharType="end"/>
          </w:r>
          <w:r>
            <w:fldChar w:fldCharType="end"/>
          </w:r>
        </w:p>
        <w:p w14:paraId="5254411C">
          <w:pPr>
            <w:pStyle w:val="6"/>
            <w:tabs>
              <w:tab w:val="right" w:leader="dot" w:pos="8305"/>
            </w:tabs>
          </w:pPr>
          <w:r>
            <w:fldChar w:fldCharType="begin"/>
          </w:r>
          <w:r>
            <w:instrText xml:space="preserve"> HYPERLINK \l _Toc1624636478 </w:instrText>
          </w:r>
          <w:r>
            <w:fldChar w:fldCharType="separate"/>
          </w:r>
          <w:r>
            <w:rPr>
              <w:rFonts w:hint="eastAsia" w:ascii="宋体" w:hAnsi="宋体" w:cs="宋体"/>
              <w:snapToGrid w:val="0"/>
              <w:szCs w:val="24"/>
              <w:lang w:val="en-US" w:eastAsia="zh-CN" w:bidi="ar-SA"/>
            </w:rPr>
            <w:t>3</w:t>
          </w:r>
          <w:r>
            <w:rPr>
              <w:rFonts w:hint="eastAsia" w:ascii="宋体" w:hAnsi="宋体" w:cs="宋体"/>
              <w:snapToGrid w:val="0"/>
              <w:szCs w:val="24"/>
              <w:lang w:val="en-US" w:eastAsia="en-US" w:bidi="ar-SA"/>
            </w:rPr>
            <w:t>.2.</w:t>
          </w:r>
          <w:r>
            <w:rPr>
              <w:rFonts w:hint="eastAsia" w:ascii="宋体" w:hAnsi="宋体" w:cs="宋体"/>
              <w:snapToGrid w:val="0"/>
              <w:szCs w:val="24"/>
              <w:lang w:val="en-US" w:eastAsia="zh-CN" w:bidi="ar-SA"/>
            </w:rPr>
            <w:t>4</w:t>
          </w:r>
          <w:r>
            <w:rPr>
              <w:rFonts w:hint="eastAsia" w:ascii="宋体" w:hAnsi="宋体" w:cs="宋体"/>
              <w:snapToGrid w:val="0"/>
              <w:szCs w:val="24"/>
              <w:lang w:val="en-US" w:eastAsia="en-US" w:bidi="ar-SA"/>
            </w:rPr>
            <w:t xml:space="preserve"> </w:t>
          </w:r>
          <w:r>
            <w:rPr>
              <w:rFonts w:hint="eastAsia" w:ascii="宋体" w:hAnsi="宋体" w:cs="宋体"/>
              <w:snapToGrid w:val="0"/>
              <w:szCs w:val="24"/>
              <w:lang w:val="en-US" w:eastAsia="zh-CN" w:bidi="ar-SA"/>
            </w:rPr>
            <w:t>与任务系统建立完整流程链路</w:t>
          </w:r>
          <w:r>
            <w:tab/>
          </w:r>
          <w:r>
            <w:fldChar w:fldCharType="begin"/>
          </w:r>
          <w:r>
            <w:instrText xml:space="preserve"> PAGEREF _Toc1624636478 \h </w:instrText>
          </w:r>
          <w:r>
            <w:fldChar w:fldCharType="separate"/>
          </w:r>
          <w:r>
            <w:t>10</w:t>
          </w:r>
          <w:r>
            <w:fldChar w:fldCharType="end"/>
          </w:r>
          <w:r>
            <w:fldChar w:fldCharType="end"/>
          </w:r>
        </w:p>
        <w:p w14:paraId="03B2B27A">
          <w:pPr>
            <w:pStyle w:val="6"/>
            <w:tabs>
              <w:tab w:val="right" w:leader="dot" w:pos="8305"/>
            </w:tabs>
          </w:pPr>
          <w:r>
            <w:fldChar w:fldCharType="begin"/>
          </w:r>
          <w:r>
            <w:instrText xml:space="preserve"> HYPERLINK \l _Toc10714141 </w:instrText>
          </w:r>
          <w:r>
            <w:fldChar w:fldCharType="separate"/>
          </w:r>
          <w:r>
            <w:rPr>
              <w:rFonts w:hint="eastAsia" w:ascii="宋体" w:hAnsi="宋体" w:cs="宋体"/>
              <w:snapToGrid w:val="0"/>
              <w:szCs w:val="24"/>
              <w:lang w:val="en-US" w:eastAsia="zh-CN" w:bidi="ar-SA"/>
            </w:rPr>
            <w:t>3</w:t>
          </w:r>
          <w:r>
            <w:rPr>
              <w:rFonts w:hint="eastAsia" w:ascii="宋体" w:hAnsi="宋体" w:cs="宋体"/>
              <w:snapToGrid w:val="0"/>
              <w:szCs w:val="24"/>
              <w:lang w:val="en-US" w:eastAsia="en-US" w:bidi="ar-SA"/>
            </w:rPr>
            <w:t>.2.</w:t>
          </w:r>
          <w:r>
            <w:rPr>
              <w:rFonts w:hint="eastAsia" w:ascii="宋体" w:hAnsi="宋体" w:cs="宋体"/>
              <w:snapToGrid w:val="0"/>
              <w:szCs w:val="24"/>
              <w:lang w:val="en-US" w:eastAsia="zh-CN" w:bidi="ar-SA"/>
            </w:rPr>
            <w:t>5</w:t>
          </w:r>
          <w:r>
            <w:rPr>
              <w:rFonts w:hint="eastAsia" w:ascii="宋体" w:hAnsi="宋体" w:cs="宋体"/>
              <w:snapToGrid w:val="0"/>
              <w:szCs w:val="24"/>
              <w:lang w:val="en-US" w:eastAsia="en-US" w:bidi="ar-SA"/>
            </w:rPr>
            <w:t xml:space="preserve"> </w:t>
          </w:r>
          <w:r>
            <w:rPr>
              <w:rFonts w:hint="eastAsia" w:ascii="宋体" w:hAnsi="宋体" w:cs="宋体"/>
              <w:snapToGrid w:val="0"/>
              <w:szCs w:val="24"/>
              <w:lang w:val="en-US" w:eastAsia="zh-CN" w:bidi="ar-SA"/>
            </w:rPr>
            <w:t>申请反馈与过程记录</w:t>
          </w:r>
          <w:r>
            <w:tab/>
          </w:r>
          <w:r>
            <w:fldChar w:fldCharType="begin"/>
          </w:r>
          <w:r>
            <w:instrText xml:space="preserve"> PAGEREF _Toc10714141 \h </w:instrText>
          </w:r>
          <w:r>
            <w:fldChar w:fldCharType="separate"/>
          </w:r>
          <w:r>
            <w:t>10</w:t>
          </w:r>
          <w:r>
            <w:fldChar w:fldCharType="end"/>
          </w:r>
          <w:r>
            <w:fldChar w:fldCharType="end"/>
          </w:r>
        </w:p>
        <w:p w14:paraId="48E72D25">
          <w:pPr>
            <w:pStyle w:val="11"/>
            <w:tabs>
              <w:tab w:val="right" w:leader="dot" w:pos="8305"/>
            </w:tabs>
          </w:pPr>
          <w:r>
            <w:fldChar w:fldCharType="begin"/>
          </w:r>
          <w:r>
            <w:instrText xml:space="preserve"> HYPERLINK \l _Toc1831425086 </w:instrText>
          </w:r>
          <w:r>
            <w:fldChar w:fldCharType="separate"/>
          </w:r>
          <w:r>
            <w:rPr>
              <w:rFonts w:hint="eastAsia" w:ascii="宋体" w:hAnsi="宋体" w:cs="宋体"/>
              <w:snapToGrid w:val="0"/>
              <w:szCs w:val="28"/>
              <w:lang w:val="en-US" w:eastAsia="zh-CN" w:bidi="ar-SA"/>
            </w:rPr>
            <w:t>3.3 试验设备数据采集与录入</w:t>
          </w:r>
          <w:r>
            <w:tab/>
          </w:r>
          <w:r>
            <w:fldChar w:fldCharType="begin"/>
          </w:r>
          <w:r>
            <w:instrText xml:space="preserve"> PAGEREF _Toc1831425086 \h </w:instrText>
          </w:r>
          <w:r>
            <w:fldChar w:fldCharType="separate"/>
          </w:r>
          <w:r>
            <w:t>10</w:t>
          </w:r>
          <w:r>
            <w:fldChar w:fldCharType="end"/>
          </w:r>
          <w:r>
            <w:fldChar w:fldCharType="end"/>
          </w:r>
        </w:p>
        <w:p w14:paraId="170DC87B">
          <w:pPr>
            <w:pStyle w:val="6"/>
            <w:tabs>
              <w:tab w:val="right" w:leader="dot" w:pos="8305"/>
            </w:tabs>
          </w:pPr>
          <w:r>
            <w:fldChar w:fldCharType="begin"/>
          </w:r>
          <w:r>
            <w:instrText xml:space="preserve"> HYPERLINK \l _Toc878307951 </w:instrText>
          </w:r>
          <w:r>
            <w:fldChar w:fldCharType="separate"/>
          </w:r>
          <w:r>
            <w:rPr>
              <w:rFonts w:hint="eastAsia" w:ascii="宋体" w:hAnsi="宋体" w:cs="宋体"/>
              <w:snapToGrid w:val="0"/>
              <w:szCs w:val="24"/>
              <w:lang w:val="en-US" w:eastAsia="zh-CN" w:bidi="ar-SA"/>
            </w:rPr>
            <w:t>3.3</w:t>
          </w:r>
          <w:r>
            <w:rPr>
              <w:rFonts w:hint="default" w:ascii="宋体" w:hAnsi="宋体" w:cs="宋体"/>
              <w:snapToGrid w:val="0"/>
              <w:szCs w:val="24"/>
              <w:lang w:val="en-US" w:eastAsia="zh-CN" w:bidi="ar-SA"/>
            </w:rPr>
            <w:t>.1 设备范围与数据条件确认</w:t>
          </w:r>
          <w:r>
            <w:tab/>
          </w:r>
          <w:r>
            <w:fldChar w:fldCharType="begin"/>
          </w:r>
          <w:r>
            <w:instrText xml:space="preserve"> PAGEREF _Toc878307951 \h </w:instrText>
          </w:r>
          <w:r>
            <w:fldChar w:fldCharType="separate"/>
          </w:r>
          <w:r>
            <w:t>11</w:t>
          </w:r>
          <w:r>
            <w:fldChar w:fldCharType="end"/>
          </w:r>
          <w:r>
            <w:fldChar w:fldCharType="end"/>
          </w:r>
        </w:p>
        <w:p w14:paraId="026CFF06">
          <w:pPr>
            <w:pStyle w:val="6"/>
            <w:tabs>
              <w:tab w:val="right" w:leader="dot" w:pos="8305"/>
            </w:tabs>
          </w:pPr>
          <w:r>
            <w:fldChar w:fldCharType="begin"/>
          </w:r>
          <w:r>
            <w:instrText xml:space="preserve"> HYPERLINK \l _Toc2066626626 </w:instrText>
          </w:r>
          <w:r>
            <w:fldChar w:fldCharType="separate"/>
          </w:r>
          <w:r>
            <w:rPr>
              <w:rFonts w:hint="eastAsia" w:ascii="宋体" w:hAnsi="宋体" w:cs="宋体"/>
              <w:snapToGrid w:val="0"/>
              <w:szCs w:val="24"/>
              <w:lang w:val="en-US" w:eastAsia="zh-CN" w:bidi="ar-SA"/>
            </w:rPr>
            <w:t>3.3</w:t>
          </w:r>
          <w:r>
            <w:rPr>
              <w:rFonts w:hint="default" w:ascii="宋体" w:hAnsi="宋体" w:cs="宋体"/>
              <w:snapToGrid w:val="0"/>
              <w:szCs w:val="24"/>
              <w:lang w:val="en-US" w:eastAsia="zh-CN" w:bidi="ar-SA"/>
            </w:rPr>
            <w:t>.2 设备数据采集</w:t>
          </w:r>
          <w:r>
            <w:tab/>
          </w:r>
          <w:r>
            <w:fldChar w:fldCharType="begin"/>
          </w:r>
          <w:r>
            <w:instrText xml:space="preserve"> PAGEREF _Toc2066626626 \h </w:instrText>
          </w:r>
          <w:r>
            <w:fldChar w:fldCharType="separate"/>
          </w:r>
          <w:r>
            <w:t>11</w:t>
          </w:r>
          <w:r>
            <w:fldChar w:fldCharType="end"/>
          </w:r>
          <w:r>
            <w:fldChar w:fldCharType="end"/>
          </w:r>
        </w:p>
        <w:p w14:paraId="5BB2079D">
          <w:pPr>
            <w:pStyle w:val="6"/>
            <w:tabs>
              <w:tab w:val="right" w:leader="dot" w:pos="8305"/>
            </w:tabs>
          </w:pPr>
          <w:r>
            <w:fldChar w:fldCharType="begin"/>
          </w:r>
          <w:r>
            <w:instrText xml:space="preserve"> HYPERLINK \l _Toc393196604 </w:instrText>
          </w:r>
          <w:r>
            <w:fldChar w:fldCharType="separate"/>
          </w:r>
          <w:r>
            <w:rPr>
              <w:rFonts w:hint="eastAsia" w:ascii="宋体" w:hAnsi="宋体" w:cs="宋体"/>
              <w:snapToGrid w:val="0"/>
              <w:szCs w:val="24"/>
              <w:lang w:val="en-US" w:eastAsia="zh-CN" w:bidi="ar-SA"/>
            </w:rPr>
            <w:t>3.3</w:t>
          </w:r>
          <w:r>
            <w:rPr>
              <w:rFonts w:hint="default" w:ascii="宋体" w:hAnsi="宋体" w:cs="宋体"/>
              <w:snapToGrid w:val="0"/>
              <w:szCs w:val="24"/>
              <w:lang w:val="en-US" w:eastAsia="zh-CN" w:bidi="ar-SA"/>
            </w:rPr>
            <w:t>.3 试验任务关联</w:t>
          </w:r>
          <w:r>
            <w:tab/>
          </w:r>
          <w:r>
            <w:fldChar w:fldCharType="begin"/>
          </w:r>
          <w:r>
            <w:instrText xml:space="preserve"> PAGEREF _Toc393196604 \h </w:instrText>
          </w:r>
          <w:r>
            <w:fldChar w:fldCharType="separate"/>
          </w:r>
          <w:r>
            <w:t>12</w:t>
          </w:r>
          <w:r>
            <w:fldChar w:fldCharType="end"/>
          </w:r>
          <w:r>
            <w:fldChar w:fldCharType="end"/>
          </w:r>
        </w:p>
        <w:p w14:paraId="7DE2AAD8">
          <w:pPr>
            <w:pStyle w:val="6"/>
            <w:tabs>
              <w:tab w:val="right" w:leader="dot" w:pos="8305"/>
            </w:tabs>
          </w:pPr>
          <w:r>
            <w:fldChar w:fldCharType="begin"/>
          </w:r>
          <w:r>
            <w:instrText xml:space="preserve"> HYPERLINK \l _Toc648141609 </w:instrText>
          </w:r>
          <w:r>
            <w:fldChar w:fldCharType="separate"/>
          </w:r>
          <w:r>
            <w:rPr>
              <w:rFonts w:hint="eastAsia" w:ascii="宋体" w:hAnsi="宋体" w:cs="宋体"/>
              <w:snapToGrid w:val="0"/>
              <w:szCs w:val="24"/>
              <w:lang w:val="en-US" w:eastAsia="zh-CN" w:bidi="ar-SA"/>
            </w:rPr>
            <w:t>3.3</w:t>
          </w:r>
          <w:r>
            <w:rPr>
              <w:rFonts w:hint="default" w:ascii="宋体" w:hAnsi="宋体" w:cs="宋体"/>
              <w:snapToGrid w:val="0"/>
              <w:szCs w:val="24"/>
              <w:lang w:val="en-US" w:eastAsia="zh-CN" w:bidi="ar-SA"/>
            </w:rPr>
            <w:t>.4 数据检查与自动录入</w:t>
          </w:r>
          <w:r>
            <w:tab/>
          </w:r>
          <w:r>
            <w:fldChar w:fldCharType="begin"/>
          </w:r>
          <w:r>
            <w:instrText xml:space="preserve"> PAGEREF _Toc648141609 \h </w:instrText>
          </w:r>
          <w:r>
            <w:fldChar w:fldCharType="separate"/>
          </w:r>
          <w:r>
            <w:t>12</w:t>
          </w:r>
          <w:r>
            <w:fldChar w:fldCharType="end"/>
          </w:r>
          <w:r>
            <w:fldChar w:fldCharType="end"/>
          </w:r>
        </w:p>
        <w:p w14:paraId="379369DD">
          <w:pPr>
            <w:pStyle w:val="11"/>
            <w:tabs>
              <w:tab w:val="right" w:leader="dot" w:pos="8305"/>
            </w:tabs>
          </w:pPr>
          <w:r>
            <w:fldChar w:fldCharType="begin"/>
          </w:r>
          <w:r>
            <w:instrText xml:space="preserve"> HYPERLINK \l _Toc1278964879 </w:instrText>
          </w:r>
          <w:r>
            <w:fldChar w:fldCharType="separate"/>
          </w:r>
          <w:r>
            <w:rPr>
              <w:rFonts w:hint="eastAsia" w:ascii="宋体" w:hAnsi="宋体" w:cs="宋体"/>
              <w:snapToGrid w:val="0"/>
              <w:szCs w:val="28"/>
              <w:lang w:val="en-US" w:eastAsia="zh-CN" w:bidi="ar-SA"/>
            </w:rPr>
            <w:t>3.4 报告生成与分析智能体</w:t>
          </w:r>
          <w:r>
            <w:tab/>
          </w:r>
          <w:r>
            <w:fldChar w:fldCharType="begin"/>
          </w:r>
          <w:r>
            <w:instrText xml:space="preserve"> PAGEREF _Toc1278964879 \h </w:instrText>
          </w:r>
          <w:r>
            <w:fldChar w:fldCharType="separate"/>
          </w:r>
          <w:r>
            <w:t>12</w:t>
          </w:r>
          <w:r>
            <w:fldChar w:fldCharType="end"/>
          </w:r>
          <w:r>
            <w:fldChar w:fldCharType="end"/>
          </w:r>
        </w:p>
        <w:p w14:paraId="7A769B8C">
          <w:pPr>
            <w:pStyle w:val="6"/>
            <w:tabs>
              <w:tab w:val="right" w:leader="dot" w:pos="8305"/>
            </w:tabs>
          </w:pPr>
          <w:r>
            <w:fldChar w:fldCharType="begin"/>
          </w:r>
          <w:r>
            <w:instrText xml:space="preserve"> HYPERLINK \l _Toc1398898530 </w:instrText>
          </w:r>
          <w:r>
            <w:fldChar w:fldCharType="separate"/>
          </w:r>
          <w:r>
            <w:rPr>
              <w:rFonts w:hint="eastAsia" w:ascii="宋体" w:hAnsi="宋体" w:cs="宋体"/>
              <w:snapToGrid w:val="0"/>
              <w:szCs w:val="24"/>
              <w:lang w:val="en-US" w:eastAsia="zh-CN" w:bidi="ar-SA"/>
            </w:rPr>
            <w:t>3.4.1 报告范围与样例确认</w:t>
          </w:r>
          <w:r>
            <w:tab/>
          </w:r>
          <w:r>
            <w:fldChar w:fldCharType="begin"/>
          </w:r>
          <w:r>
            <w:instrText xml:space="preserve"> PAGEREF _Toc1398898530 \h </w:instrText>
          </w:r>
          <w:r>
            <w:fldChar w:fldCharType="separate"/>
          </w:r>
          <w:r>
            <w:t>13</w:t>
          </w:r>
          <w:r>
            <w:fldChar w:fldCharType="end"/>
          </w:r>
          <w:r>
            <w:fldChar w:fldCharType="end"/>
          </w:r>
        </w:p>
        <w:p w14:paraId="11A7ABCF">
          <w:pPr>
            <w:pStyle w:val="6"/>
            <w:tabs>
              <w:tab w:val="right" w:leader="dot" w:pos="8305"/>
            </w:tabs>
          </w:pPr>
          <w:r>
            <w:fldChar w:fldCharType="begin"/>
          </w:r>
          <w:r>
            <w:instrText xml:space="preserve"> HYPERLINK \l _Toc636626354 </w:instrText>
          </w:r>
          <w:r>
            <w:fldChar w:fldCharType="separate"/>
          </w:r>
          <w:r>
            <w:rPr>
              <w:rFonts w:hint="eastAsia" w:ascii="宋体" w:hAnsi="宋体" w:cs="宋体"/>
              <w:snapToGrid w:val="0"/>
              <w:szCs w:val="24"/>
              <w:lang w:val="en-US" w:eastAsia="zh-CN" w:bidi="ar-SA"/>
            </w:rPr>
            <w:t>3.4.2 多源数据接入与报告资料组织</w:t>
          </w:r>
          <w:r>
            <w:tab/>
          </w:r>
          <w:r>
            <w:fldChar w:fldCharType="begin"/>
          </w:r>
          <w:r>
            <w:instrText xml:space="preserve"> PAGEREF _Toc636626354 \h </w:instrText>
          </w:r>
          <w:r>
            <w:fldChar w:fldCharType="separate"/>
          </w:r>
          <w:r>
            <w:t>14</w:t>
          </w:r>
          <w:r>
            <w:fldChar w:fldCharType="end"/>
          </w:r>
          <w:r>
            <w:fldChar w:fldCharType="end"/>
          </w:r>
        </w:p>
        <w:p w14:paraId="73D7B25E">
          <w:pPr>
            <w:pStyle w:val="6"/>
            <w:tabs>
              <w:tab w:val="right" w:leader="dot" w:pos="8305"/>
            </w:tabs>
          </w:pPr>
          <w:r>
            <w:fldChar w:fldCharType="begin"/>
          </w:r>
          <w:r>
            <w:instrText xml:space="preserve"> HYPERLINK \l _Toc1015602324 </w:instrText>
          </w:r>
          <w:r>
            <w:fldChar w:fldCharType="separate"/>
          </w:r>
          <w:r>
            <w:rPr>
              <w:rFonts w:hint="eastAsia" w:ascii="宋体" w:hAnsi="宋体" w:cs="宋体"/>
              <w:snapToGrid w:val="0"/>
              <w:szCs w:val="24"/>
              <w:lang w:val="en-US" w:eastAsia="zh-CN" w:bidi="ar-SA"/>
            </w:rPr>
            <w:t>3.4.3 报告模板梳理与数据字段映射</w:t>
          </w:r>
          <w:r>
            <w:tab/>
          </w:r>
          <w:r>
            <w:fldChar w:fldCharType="begin"/>
          </w:r>
          <w:r>
            <w:instrText xml:space="preserve"> PAGEREF _Toc1015602324 \h </w:instrText>
          </w:r>
          <w:r>
            <w:fldChar w:fldCharType="separate"/>
          </w:r>
          <w:r>
            <w:t>14</w:t>
          </w:r>
          <w:r>
            <w:fldChar w:fldCharType="end"/>
          </w:r>
          <w:r>
            <w:fldChar w:fldCharType="end"/>
          </w:r>
        </w:p>
        <w:p w14:paraId="2BBA7F08">
          <w:pPr>
            <w:pStyle w:val="6"/>
            <w:tabs>
              <w:tab w:val="right" w:leader="dot" w:pos="8305"/>
            </w:tabs>
          </w:pPr>
          <w:r>
            <w:fldChar w:fldCharType="begin"/>
          </w:r>
          <w:r>
            <w:instrText xml:space="preserve"> HYPERLINK \l _Toc1028233112 </w:instrText>
          </w:r>
          <w:r>
            <w:fldChar w:fldCharType="separate"/>
          </w:r>
          <w:r>
            <w:rPr>
              <w:rFonts w:hint="eastAsia" w:ascii="宋体" w:hAnsi="宋体" w:cs="宋体"/>
              <w:snapToGrid w:val="0"/>
              <w:szCs w:val="24"/>
              <w:lang w:val="en-US" w:eastAsia="zh-CN" w:bidi="ar-SA"/>
            </w:rPr>
            <w:t>3.4.4 智能体报告生成链路建设</w:t>
          </w:r>
          <w:r>
            <w:tab/>
          </w:r>
          <w:r>
            <w:fldChar w:fldCharType="begin"/>
          </w:r>
          <w:r>
            <w:instrText xml:space="preserve"> PAGEREF _Toc1028233112 \h </w:instrText>
          </w:r>
          <w:r>
            <w:fldChar w:fldCharType="separate"/>
          </w:r>
          <w:r>
            <w:t>15</w:t>
          </w:r>
          <w:r>
            <w:fldChar w:fldCharType="end"/>
          </w:r>
          <w:r>
            <w:fldChar w:fldCharType="end"/>
          </w:r>
        </w:p>
        <w:p w14:paraId="0F917A75">
          <w:pPr>
            <w:pStyle w:val="6"/>
            <w:tabs>
              <w:tab w:val="right" w:leader="dot" w:pos="8305"/>
            </w:tabs>
          </w:pPr>
          <w:r>
            <w:fldChar w:fldCharType="begin"/>
          </w:r>
          <w:r>
            <w:instrText xml:space="preserve"> HYPERLINK \l _Toc713005975 </w:instrText>
          </w:r>
          <w:r>
            <w:fldChar w:fldCharType="separate"/>
          </w:r>
          <w:r>
            <w:rPr>
              <w:rFonts w:hint="eastAsia" w:ascii="宋体" w:hAnsi="宋体" w:cs="宋体"/>
              <w:snapToGrid w:val="0"/>
              <w:szCs w:val="24"/>
              <w:lang w:val="en-US" w:eastAsia="zh-CN" w:bidi="ar-SA"/>
            </w:rPr>
            <w:t>3.4.5 自然语言交互协同报告编制与修改</w:t>
          </w:r>
          <w:r>
            <w:tab/>
          </w:r>
          <w:r>
            <w:fldChar w:fldCharType="begin"/>
          </w:r>
          <w:r>
            <w:instrText xml:space="preserve"> PAGEREF _Toc713005975 \h </w:instrText>
          </w:r>
          <w:r>
            <w:fldChar w:fldCharType="separate"/>
          </w:r>
          <w:r>
            <w:t>15</w:t>
          </w:r>
          <w:r>
            <w:fldChar w:fldCharType="end"/>
          </w:r>
          <w:r>
            <w:fldChar w:fldCharType="end"/>
          </w:r>
        </w:p>
        <w:p w14:paraId="5C089987">
          <w:pPr>
            <w:pStyle w:val="6"/>
            <w:tabs>
              <w:tab w:val="right" w:leader="dot" w:pos="8305"/>
            </w:tabs>
          </w:pPr>
          <w:r>
            <w:fldChar w:fldCharType="begin"/>
          </w:r>
          <w:r>
            <w:instrText xml:space="preserve"> HYPERLINK \l _Toc532671565 </w:instrText>
          </w:r>
          <w:r>
            <w:fldChar w:fldCharType="separate"/>
          </w:r>
          <w:r>
            <w:rPr>
              <w:rFonts w:hint="eastAsia" w:ascii="宋体" w:hAnsi="宋体" w:cs="宋体"/>
              <w:snapToGrid w:val="0"/>
              <w:szCs w:val="24"/>
              <w:lang w:val="en-US" w:eastAsia="zh-CN" w:bidi="ar-SA"/>
            </w:rPr>
            <w:t>3.4.6 报告校验与审核衔接</w:t>
          </w:r>
          <w:r>
            <w:tab/>
          </w:r>
          <w:r>
            <w:fldChar w:fldCharType="begin"/>
          </w:r>
          <w:r>
            <w:instrText xml:space="preserve"> PAGEREF _Toc532671565 \h </w:instrText>
          </w:r>
          <w:r>
            <w:fldChar w:fldCharType="separate"/>
          </w:r>
          <w:r>
            <w:t>16</w:t>
          </w:r>
          <w:r>
            <w:fldChar w:fldCharType="end"/>
          </w:r>
          <w:r>
            <w:fldChar w:fldCharType="end"/>
          </w:r>
        </w:p>
        <w:p w14:paraId="445CCA61">
          <w:pPr>
            <w:pStyle w:val="6"/>
            <w:tabs>
              <w:tab w:val="right" w:leader="dot" w:pos="8305"/>
            </w:tabs>
          </w:pPr>
          <w:r>
            <w:fldChar w:fldCharType="begin"/>
          </w:r>
          <w:r>
            <w:instrText xml:space="preserve"> HYPERLINK \l _Toc1899152259 </w:instrText>
          </w:r>
          <w:r>
            <w:fldChar w:fldCharType="separate"/>
          </w:r>
          <w:r>
            <w:rPr>
              <w:rFonts w:hint="eastAsia" w:ascii="宋体" w:hAnsi="宋体" w:cs="宋体"/>
              <w:snapToGrid w:val="0"/>
              <w:szCs w:val="24"/>
              <w:lang w:val="en-US" w:eastAsia="zh-CN" w:bidi="ar-SA"/>
            </w:rPr>
            <w:t>3.4.7 模型增量训练与报告分析能力提升</w:t>
          </w:r>
          <w:r>
            <w:tab/>
          </w:r>
          <w:r>
            <w:fldChar w:fldCharType="begin"/>
          </w:r>
          <w:r>
            <w:instrText xml:space="preserve"> PAGEREF _Toc1899152259 \h </w:instrText>
          </w:r>
          <w:r>
            <w:fldChar w:fldCharType="separate"/>
          </w:r>
          <w:r>
            <w:t>16</w:t>
          </w:r>
          <w:r>
            <w:fldChar w:fldCharType="end"/>
          </w:r>
          <w:r>
            <w:fldChar w:fldCharType="end"/>
          </w:r>
        </w:p>
        <w:p w14:paraId="78EF8D28">
          <w:pPr>
            <w:pStyle w:val="11"/>
            <w:tabs>
              <w:tab w:val="right" w:leader="dot" w:pos="8305"/>
            </w:tabs>
          </w:pPr>
          <w:r>
            <w:fldChar w:fldCharType="begin"/>
          </w:r>
          <w:r>
            <w:instrText xml:space="preserve"> HYPERLINK \l _Toc1002571652 </w:instrText>
          </w:r>
          <w:r>
            <w:fldChar w:fldCharType="separate"/>
          </w:r>
          <w:r>
            <w:rPr>
              <w:rFonts w:hint="eastAsia" w:ascii="宋体" w:hAnsi="宋体" w:cs="宋体"/>
              <w:snapToGrid w:val="0"/>
              <w:szCs w:val="28"/>
              <w:lang w:val="en-US" w:eastAsia="zh-CN" w:bidi="ar-SA"/>
            </w:rPr>
            <w:t>3.5 桥梁检测数据管理系统</w:t>
          </w:r>
          <w:r>
            <w:tab/>
          </w:r>
          <w:r>
            <w:fldChar w:fldCharType="begin"/>
          </w:r>
          <w:r>
            <w:instrText xml:space="preserve"> PAGEREF _Toc1002571652 \h </w:instrText>
          </w:r>
          <w:r>
            <w:fldChar w:fldCharType="separate"/>
          </w:r>
          <w:r>
            <w:t>17</w:t>
          </w:r>
          <w:r>
            <w:fldChar w:fldCharType="end"/>
          </w:r>
          <w:r>
            <w:fldChar w:fldCharType="end"/>
          </w:r>
        </w:p>
        <w:p w14:paraId="34C1F231">
          <w:pPr>
            <w:pStyle w:val="6"/>
            <w:tabs>
              <w:tab w:val="right" w:leader="dot" w:pos="8305"/>
            </w:tabs>
          </w:pPr>
          <w:r>
            <w:fldChar w:fldCharType="begin"/>
          </w:r>
          <w:r>
            <w:instrText xml:space="preserve"> HYPERLINK \l _Toc1065060802 </w:instrText>
          </w:r>
          <w:r>
            <w:fldChar w:fldCharType="separate"/>
          </w:r>
          <w:r>
            <w:rPr>
              <w:rFonts w:hint="eastAsia" w:ascii="宋体" w:hAnsi="宋体" w:cs="宋体"/>
              <w:snapToGrid w:val="0"/>
              <w:szCs w:val="24"/>
              <w:lang w:val="en-US" w:eastAsia="zh-CN" w:bidi="ar-SA"/>
            </w:rPr>
            <w:t>3.5</w:t>
          </w:r>
          <w:r>
            <w:rPr>
              <w:rFonts w:hint="default" w:ascii="宋体" w:hAnsi="宋体" w:cs="宋体"/>
              <w:snapToGrid w:val="0"/>
              <w:szCs w:val="24"/>
              <w:lang w:val="en-US" w:eastAsia="zh-CN" w:bidi="ar-SA"/>
            </w:rPr>
            <w:t>.1 桥梁检测数据范围梳理</w:t>
          </w:r>
          <w:r>
            <w:tab/>
          </w:r>
          <w:r>
            <w:fldChar w:fldCharType="begin"/>
          </w:r>
          <w:r>
            <w:instrText xml:space="preserve"> PAGEREF _Toc1065060802 \h </w:instrText>
          </w:r>
          <w:r>
            <w:fldChar w:fldCharType="separate"/>
          </w:r>
          <w:r>
            <w:t>18</w:t>
          </w:r>
          <w:r>
            <w:fldChar w:fldCharType="end"/>
          </w:r>
          <w:r>
            <w:fldChar w:fldCharType="end"/>
          </w:r>
        </w:p>
        <w:p w14:paraId="7B677579">
          <w:pPr>
            <w:pStyle w:val="6"/>
            <w:tabs>
              <w:tab w:val="right" w:leader="dot" w:pos="8305"/>
            </w:tabs>
          </w:pPr>
          <w:r>
            <w:fldChar w:fldCharType="begin"/>
          </w:r>
          <w:r>
            <w:instrText xml:space="preserve"> HYPERLINK \l _Toc1200701469 </w:instrText>
          </w:r>
          <w:r>
            <w:fldChar w:fldCharType="separate"/>
          </w:r>
          <w:r>
            <w:rPr>
              <w:rFonts w:hint="eastAsia" w:ascii="宋体" w:hAnsi="宋体" w:cs="宋体"/>
              <w:snapToGrid w:val="0"/>
              <w:szCs w:val="24"/>
              <w:lang w:val="en-US" w:eastAsia="zh-CN" w:bidi="ar-SA"/>
            </w:rPr>
            <w:t>3.5</w:t>
          </w:r>
          <w:r>
            <w:rPr>
              <w:rFonts w:hint="default" w:ascii="宋体" w:hAnsi="宋体" w:cs="宋体"/>
              <w:snapToGrid w:val="0"/>
              <w:szCs w:val="24"/>
              <w:lang w:val="en-US" w:eastAsia="zh-CN" w:bidi="ar-SA"/>
            </w:rPr>
            <w:t>.2 受检桥梁信息管理</w:t>
          </w:r>
          <w:r>
            <w:tab/>
          </w:r>
          <w:r>
            <w:fldChar w:fldCharType="begin"/>
          </w:r>
          <w:r>
            <w:instrText xml:space="preserve"> PAGEREF _Toc1200701469 \h </w:instrText>
          </w:r>
          <w:r>
            <w:fldChar w:fldCharType="separate"/>
          </w:r>
          <w:r>
            <w:t>18</w:t>
          </w:r>
          <w:r>
            <w:fldChar w:fldCharType="end"/>
          </w:r>
          <w:r>
            <w:fldChar w:fldCharType="end"/>
          </w:r>
        </w:p>
        <w:p w14:paraId="6A3ED609">
          <w:pPr>
            <w:pStyle w:val="6"/>
            <w:tabs>
              <w:tab w:val="right" w:leader="dot" w:pos="8305"/>
            </w:tabs>
          </w:pPr>
          <w:r>
            <w:fldChar w:fldCharType="begin"/>
          </w:r>
          <w:r>
            <w:instrText xml:space="preserve"> HYPERLINK \l _Toc285758624 </w:instrText>
          </w:r>
          <w:r>
            <w:fldChar w:fldCharType="separate"/>
          </w:r>
          <w:r>
            <w:rPr>
              <w:rFonts w:hint="eastAsia" w:ascii="宋体" w:hAnsi="宋体" w:cs="宋体"/>
              <w:snapToGrid w:val="0"/>
              <w:szCs w:val="24"/>
              <w:lang w:val="en-US" w:eastAsia="zh-CN" w:bidi="ar-SA"/>
            </w:rPr>
            <w:t>3.5</w:t>
          </w:r>
          <w:r>
            <w:rPr>
              <w:rFonts w:hint="default" w:ascii="宋体" w:hAnsi="宋体" w:cs="宋体"/>
              <w:snapToGrid w:val="0"/>
              <w:szCs w:val="24"/>
              <w:lang w:val="en-US" w:eastAsia="zh-CN" w:bidi="ar-SA"/>
            </w:rPr>
            <w:t>.3 检测项目与资料管理</w:t>
          </w:r>
          <w:r>
            <w:tab/>
          </w:r>
          <w:r>
            <w:fldChar w:fldCharType="begin"/>
          </w:r>
          <w:r>
            <w:instrText xml:space="preserve"> PAGEREF _Toc285758624 \h </w:instrText>
          </w:r>
          <w:r>
            <w:fldChar w:fldCharType="separate"/>
          </w:r>
          <w:r>
            <w:t>18</w:t>
          </w:r>
          <w:r>
            <w:fldChar w:fldCharType="end"/>
          </w:r>
          <w:r>
            <w:fldChar w:fldCharType="end"/>
          </w:r>
        </w:p>
        <w:p w14:paraId="3216E114">
          <w:pPr>
            <w:pStyle w:val="6"/>
            <w:tabs>
              <w:tab w:val="right" w:leader="dot" w:pos="8305"/>
            </w:tabs>
          </w:pPr>
          <w:r>
            <w:fldChar w:fldCharType="begin"/>
          </w:r>
          <w:r>
            <w:instrText xml:space="preserve"> HYPERLINK \l _Toc971758876 </w:instrText>
          </w:r>
          <w:r>
            <w:fldChar w:fldCharType="separate"/>
          </w:r>
          <w:r>
            <w:rPr>
              <w:rFonts w:hint="eastAsia" w:ascii="宋体" w:hAnsi="宋体" w:cs="宋体"/>
              <w:snapToGrid w:val="0"/>
              <w:szCs w:val="24"/>
              <w:lang w:val="en-US" w:eastAsia="zh-CN" w:bidi="ar-SA"/>
            </w:rPr>
            <w:t>3.5</w:t>
          </w:r>
          <w:r>
            <w:rPr>
              <w:rFonts w:hint="default" w:ascii="宋体" w:hAnsi="宋体" w:cs="宋体"/>
              <w:snapToGrid w:val="0"/>
              <w:szCs w:val="24"/>
              <w:lang w:val="en-US" w:eastAsia="zh-CN" w:bidi="ar-SA"/>
            </w:rPr>
            <w:t>.4 检测数据与病害管理</w:t>
          </w:r>
          <w:r>
            <w:tab/>
          </w:r>
          <w:r>
            <w:fldChar w:fldCharType="begin"/>
          </w:r>
          <w:r>
            <w:instrText xml:space="preserve"> PAGEREF _Toc971758876 \h </w:instrText>
          </w:r>
          <w:r>
            <w:fldChar w:fldCharType="separate"/>
          </w:r>
          <w:r>
            <w:t>18</w:t>
          </w:r>
          <w:r>
            <w:fldChar w:fldCharType="end"/>
          </w:r>
          <w:r>
            <w:fldChar w:fldCharType="end"/>
          </w:r>
        </w:p>
        <w:p w14:paraId="76FF1C59">
          <w:pPr>
            <w:pStyle w:val="6"/>
            <w:tabs>
              <w:tab w:val="right" w:leader="dot" w:pos="8305"/>
            </w:tabs>
          </w:pPr>
          <w:r>
            <w:fldChar w:fldCharType="begin"/>
          </w:r>
          <w:r>
            <w:instrText xml:space="preserve"> HYPERLINK \l _Toc738293497 </w:instrText>
          </w:r>
          <w:r>
            <w:fldChar w:fldCharType="separate"/>
          </w:r>
          <w:r>
            <w:rPr>
              <w:rFonts w:hint="eastAsia" w:ascii="宋体" w:hAnsi="宋体" w:cs="宋体"/>
              <w:snapToGrid w:val="0"/>
              <w:szCs w:val="24"/>
              <w:lang w:val="en-US" w:eastAsia="zh-CN" w:bidi="ar-SA"/>
            </w:rPr>
            <w:t>3.5</w:t>
          </w:r>
          <w:r>
            <w:rPr>
              <w:rFonts w:hint="default" w:ascii="宋体" w:hAnsi="宋体" w:cs="宋体"/>
              <w:snapToGrid w:val="0"/>
              <w:szCs w:val="24"/>
              <w:lang w:val="en-US" w:eastAsia="zh-CN" w:bidi="ar-SA"/>
            </w:rPr>
            <w:t xml:space="preserve">.5 </w:t>
          </w:r>
          <w:r>
            <w:rPr>
              <w:rFonts w:hint="eastAsia" w:ascii="宋体" w:hAnsi="宋体" w:cs="宋体"/>
              <w:snapToGrid w:val="0"/>
              <w:szCs w:val="24"/>
              <w:lang w:val="en-US" w:eastAsia="zh-CN" w:bidi="ar-SA"/>
            </w:rPr>
            <w:t>自动</w:t>
          </w:r>
          <w:r>
            <w:rPr>
              <w:rFonts w:hint="default" w:ascii="宋体" w:hAnsi="宋体" w:cs="宋体"/>
              <w:snapToGrid w:val="0"/>
              <w:szCs w:val="24"/>
              <w:lang w:val="en-US" w:eastAsia="zh-CN" w:bidi="ar-SA"/>
            </w:rPr>
            <w:t>计算与人工复核</w:t>
          </w:r>
          <w:r>
            <w:tab/>
          </w:r>
          <w:r>
            <w:fldChar w:fldCharType="begin"/>
          </w:r>
          <w:r>
            <w:instrText xml:space="preserve"> PAGEREF _Toc738293497 \h </w:instrText>
          </w:r>
          <w:r>
            <w:fldChar w:fldCharType="separate"/>
          </w:r>
          <w:r>
            <w:t>18</w:t>
          </w:r>
          <w:r>
            <w:fldChar w:fldCharType="end"/>
          </w:r>
          <w:r>
            <w:fldChar w:fldCharType="end"/>
          </w:r>
        </w:p>
        <w:p w14:paraId="690B6A3D">
          <w:pPr>
            <w:pStyle w:val="6"/>
            <w:tabs>
              <w:tab w:val="right" w:leader="dot" w:pos="8305"/>
            </w:tabs>
          </w:pPr>
          <w:r>
            <w:fldChar w:fldCharType="begin"/>
          </w:r>
          <w:r>
            <w:instrText xml:space="preserve"> HYPERLINK \l _Toc338291713 </w:instrText>
          </w:r>
          <w:r>
            <w:fldChar w:fldCharType="separate"/>
          </w:r>
          <w:r>
            <w:rPr>
              <w:rFonts w:hint="eastAsia" w:ascii="宋体" w:hAnsi="宋体" w:cs="宋体"/>
              <w:snapToGrid w:val="0"/>
              <w:szCs w:val="24"/>
              <w:lang w:val="en-US" w:eastAsia="zh-CN" w:bidi="ar-SA"/>
            </w:rPr>
            <w:t>3.5</w:t>
          </w:r>
          <w:r>
            <w:rPr>
              <w:rFonts w:hint="default" w:ascii="宋体" w:hAnsi="宋体" w:cs="宋体"/>
              <w:snapToGrid w:val="0"/>
              <w:szCs w:val="24"/>
              <w:lang w:val="en-US" w:eastAsia="zh-CN" w:bidi="ar-SA"/>
            </w:rPr>
            <w:t>.6 历史成果查询与对比</w:t>
          </w:r>
          <w:r>
            <w:tab/>
          </w:r>
          <w:r>
            <w:fldChar w:fldCharType="begin"/>
          </w:r>
          <w:r>
            <w:instrText xml:space="preserve"> PAGEREF _Toc338291713 \h </w:instrText>
          </w:r>
          <w:r>
            <w:fldChar w:fldCharType="separate"/>
          </w:r>
          <w:r>
            <w:t>18</w:t>
          </w:r>
          <w:r>
            <w:fldChar w:fldCharType="end"/>
          </w:r>
          <w:r>
            <w:fldChar w:fldCharType="end"/>
          </w:r>
        </w:p>
        <w:p w14:paraId="3071D5F7">
          <w:pPr>
            <w:pStyle w:val="6"/>
            <w:tabs>
              <w:tab w:val="right" w:leader="dot" w:pos="8305"/>
            </w:tabs>
          </w:pPr>
          <w:r>
            <w:fldChar w:fldCharType="begin"/>
          </w:r>
          <w:r>
            <w:instrText xml:space="preserve"> HYPERLINK \l _Toc1279606782 </w:instrText>
          </w:r>
          <w:r>
            <w:fldChar w:fldCharType="separate"/>
          </w:r>
          <w:r>
            <w:rPr>
              <w:rFonts w:hint="eastAsia" w:ascii="宋体" w:hAnsi="宋体" w:cs="宋体"/>
              <w:snapToGrid w:val="0"/>
              <w:szCs w:val="24"/>
              <w:lang w:val="en-US" w:eastAsia="zh-CN" w:bidi="ar-SA"/>
            </w:rPr>
            <w:t>3.5</w:t>
          </w:r>
          <w:r>
            <w:rPr>
              <w:rFonts w:hint="default" w:ascii="宋体" w:hAnsi="宋体" w:cs="宋体"/>
              <w:snapToGrid w:val="0"/>
              <w:szCs w:val="24"/>
              <w:lang w:val="en-US" w:eastAsia="zh-CN" w:bidi="ar-SA"/>
            </w:rPr>
            <w:t>.7 桥梁专项检测报告衔接</w:t>
          </w:r>
          <w:r>
            <w:tab/>
          </w:r>
          <w:r>
            <w:fldChar w:fldCharType="begin"/>
          </w:r>
          <w:r>
            <w:instrText xml:space="preserve"> PAGEREF _Toc1279606782 \h </w:instrText>
          </w:r>
          <w:r>
            <w:fldChar w:fldCharType="separate"/>
          </w:r>
          <w:r>
            <w:t>19</w:t>
          </w:r>
          <w:r>
            <w:fldChar w:fldCharType="end"/>
          </w:r>
          <w:r>
            <w:fldChar w:fldCharType="end"/>
          </w:r>
        </w:p>
        <w:p w14:paraId="14CC82AC">
          <w:pPr>
            <w:pStyle w:val="10"/>
            <w:tabs>
              <w:tab w:val="right" w:leader="dot" w:pos="8305"/>
            </w:tabs>
          </w:pPr>
          <w:r>
            <w:fldChar w:fldCharType="begin"/>
          </w:r>
          <w:r>
            <w:instrText xml:space="preserve"> HYPERLINK \l _Toc1449944016 </w:instrText>
          </w:r>
          <w:r>
            <w:fldChar w:fldCharType="separate"/>
          </w:r>
          <w:r>
            <w:rPr>
              <w:rFonts w:hint="eastAsia" w:ascii="宋体" w:hAnsi="宋体" w:cs="宋体"/>
              <w:snapToGrid w:val="0"/>
              <w:szCs w:val="28"/>
              <w:lang w:val="en-US" w:eastAsia="zh-CN" w:bidi="ar-SA"/>
            </w:rPr>
            <w:t>四</w:t>
          </w:r>
          <w:r>
            <w:rPr>
              <w:rFonts w:hint="eastAsia" w:ascii="宋体" w:hAnsi="宋体" w:eastAsia="宋体" w:cs="宋体"/>
              <w:snapToGrid w:val="0"/>
              <w:szCs w:val="28"/>
              <w:lang w:val="en-US" w:eastAsia="zh-CN" w:bidi="ar-SA"/>
            </w:rPr>
            <w:t>、</w:t>
          </w:r>
          <w:r>
            <w:rPr>
              <w:rFonts w:hint="eastAsia" w:ascii="宋体" w:hAnsi="宋体" w:cs="宋体"/>
              <w:snapToGrid w:val="0"/>
              <w:szCs w:val="28"/>
              <w:lang w:val="en-US" w:eastAsia="zh-CN" w:bidi="ar-SA"/>
            </w:rPr>
            <w:t>项目计划与预期成果</w:t>
          </w:r>
          <w:r>
            <w:tab/>
          </w:r>
          <w:r>
            <w:fldChar w:fldCharType="begin"/>
          </w:r>
          <w:r>
            <w:instrText xml:space="preserve"> PAGEREF _Toc1449944016 \h </w:instrText>
          </w:r>
          <w:r>
            <w:fldChar w:fldCharType="separate"/>
          </w:r>
          <w:r>
            <w:t>20</w:t>
          </w:r>
          <w:r>
            <w:fldChar w:fldCharType="end"/>
          </w:r>
          <w:r>
            <w:fldChar w:fldCharType="end"/>
          </w:r>
        </w:p>
        <w:p w14:paraId="51F8E251">
          <w:pPr>
            <w:pStyle w:val="11"/>
            <w:tabs>
              <w:tab w:val="right" w:leader="dot" w:pos="8305"/>
            </w:tabs>
          </w:pPr>
          <w:r>
            <w:fldChar w:fldCharType="begin"/>
          </w:r>
          <w:r>
            <w:instrText xml:space="preserve"> HYPERLINK \l _Toc1712134403 </w:instrText>
          </w:r>
          <w:r>
            <w:fldChar w:fldCharType="separate"/>
          </w:r>
          <w:r>
            <w:rPr>
              <w:rFonts w:hint="eastAsia" w:ascii="宋体" w:hAnsi="宋体" w:cs="宋体"/>
              <w:snapToGrid w:val="0"/>
              <w:szCs w:val="28"/>
              <w:lang w:val="en-US" w:eastAsia="zh-CN" w:bidi="ar-SA"/>
            </w:rPr>
            <w:t>4.1 工作安排</w:t>
          </w:r>
          <w:r>
            <w:tab/>
          </w:r>
          <w:r>
            <w:fldChar w:fldCharType="begin"/>
          </w:r>
          <w:r>
            <w:instrText xml:space="preserve"> PAGEREF _Toc1712134403 \h </w:instrText>
          </w:r>
          <w:r>
            <w:fldChar w:fldCharType="separate"/>
          </w:r>
          <w:r>
            <w:t>20</w:t>
          </w:r>
          <w:r>
            <w:fldChar w:fldCharType="end"/>
          </w:r>
          <w:r>
            <w:fldChar w:fldCharType="end"/>
          </w:r>
        </w:p>
        <w:p w14:paraId="77FE4DBE">
          <w:pPr>
            <w:pStyle w:val="11"/>
            <w:tabs>
              <w:tab w:val="right" w:leader="dot" w:pos="8305"/>
            </w:tabs>
          </w:pPr>
          <w:r>
            <w:fldChar w:fldCharType="begin"/>
          </w:r>
          <w:r>
            <w:instrText xml:space="preserve"> HYPERLINK \l _Toc1709525068 </w:instrText>
          </w:r>
          <w:r>
            <w:fldChar w:fldCharType="separate"/>
          </w:r>
          <w:r>
            <w:rPr>
              <w:rFonts w:hint="eastAsia" w:ascii="宋体" w:hAnsi="宋体" w:cs="宋体"/>
              <w:snapToGrid w:val="0"/>
              <w:szCs w:val="28"/>
              <w:lang w:val="en-US" w:eastAsia="zh-CN" w:bidi="ar-SA"/>
            </w:rPr>
            <w:t>4.2 预期成果</w:t>
          </w:r>
          <w:r>
            <w:tab/>
          </w:r>
          <w:r>
            <w:fldChar w:fldCharType="begin"/>
          </w:r>
          <w:r>
            <w:instrText xml:space="preserve"> PAGEREF _Toc1709525068 \h </w:instrText>
          </w:r>
          <w:r>
            <w:fldChar w:fldCharType="separate"/>
          </w:r>
          <w:r>
            <w:t>21</w:t>
          </w:r>
          <w:r>
            <w:fldChar w:fldCharType="end"/>
          </w:r>
          <w:r>
            <w:fldChar w:fldCharType="end"/>
          </w:r>
        </w:p>
        <w:p w14:paraId="63A8EC1D">
          <w:pPr>
            <w:sectPr>
              <w:headerReference r:id="rId4" w:type="default"/>
              <w:pgSz w:w="11905" w:h="16840"/>
              <w:cols w:space="720" w:num="1"/>
            </w:sectPr>
          </w:pPr>
          <w:r>
            <w:fldChar w:fldCharType="end"/>
          </w:r>
        </w:p>
      </w:sdtContent>
    </w:sdt>
    <w:p w14:paraId="59ED939D"/>
    <w:bookmarkEnd w:id="2"/>
    <w:p w14:paraId="68DB3796">
      <w:pPr>
        <w:keepNext w:val="0"/>
        <w:keepLines w:val="0"/>
        <w:pageBreakBefore w:val="0"/>
        <w:widowControl/>
        <w:kinsoku w:val="0"/>
        <w:wordWrap/>
        <w:overflowPunct/>
        <w:topLinePunct w:val="0"/>
        <w:autoSpaceDE w:val="0"/>
        <w:autoSpaceDN w:val="0"/>
        <w:bidi w:val="0"/>
        <w:adjustRightInd w:val="0"/>
        <w:snapToGrid w:val="0"/>
        <w:spacing w:after="0" w:line="360" w:lineRule="auto"/>
        <w:ind w:left="0"/>
        <w:jc w:val="left"/>
        <w:textAlignment w:val="baseline"/>
        <w:outlineLvl w:val="0"/>
        <w:rPr>
          <w:rFonts w:hint="eastAsia" w:ascii="宋体" w:hAnsi="宋体" w:eastAsia="宋体" w:cs="宋体"/>
          <w:b/>
          <w:snapToGrid w:val="0"/>
          <w:color w:val="000000"/>
          <w:sz w:val="28"/>
          <w:szCs w:val="28"/>
          <w:lang w:val="en-US" w:eastAsia="zh-CN" w:bidi="ar-SA"/>
        </w:rPr>
      </w:pPr>
      <w:bookmarkStart w:id="3" w:name="_Toc1405484602"/>
      <w:r>
        <w:rPr>
          <w:rFonts w:hint="eastAsia" w:ascii="宋体" w:hAnsi="宋体" w:eastAsia="宋体" w:cs="宋体"/>
          <w:b/>
          <w:snapToGrid w:val="0"/>
          <w:color w:val="000000"/>
          <w:sz w:val="28"/>
          <w:szCs w:val="28"/>
          <w:lang w:val="en-US" w:eastAsia="zh-CN" w:bidi="ar-SA"/>
        </w:rPr>
        <w:t>一、项目概述</w:t>
      </w:r>
      <w:bookmarkEnd w:id="3"/>
    </w:p>
    <w:p w14:paraId="5B4C3231">
      <w:pPr>
        <w:keepNext w:val="0"/>
        <w:keepLines w:val="0"/>
        <w:pageBreakBefore w:val="0"/>
        <w:widowControl/>
        <w:kinsoku w:val="0"/>
        <w:wordWrap/>
        <w:overflowPunct/>
        <w:topLinePunct w:val="0"/>
        <w:autoSpaceDE w:val="0"/>
        <w:autoSpaceDN w:val="0"/>
        <w:bidi w:val="0"/>
        <w:adjustRightInd w:val="0"/>
        <w:snapToGrid w:val="0"/>
        <w:spacing w:after="0" w:line="360" w:lineRule="auto"/>
        <w:ind w:left="0"/>
        <w:jc w:val="left"/>
        <w:textAlignment w:val="baseline"/>
        <w:outlineLvl w:val="1"/>
        <w:rPr>
          <w:rFonts w:hint="eastAsia" w:ascii="宋体" w:hAnsi="宋体" w:eastAsia="宋体" w:cs="宋体"/>
          <w:b/>
          <w:snapToGrid w:val="0"/>
          <w:color w:val="000000"/>
          <w:sz w:val="28"/>
          <w:szCs w:val="28"/>
          <w:lang w:val="en-US" w:eastAsia="en-US" w:bidi="ar-SA"/>
        </w:rPr>
      </w:pPr>
      <w:bookmarkStart w:id="4" w:name="_Toc1807072461"/>
      <w:r>
        <w:rPr>
          <w:rFonts w:hint="eastAsia" w:ascii="宋体" w:hAnsi="宋体" w:eastAsia="宋体" w:cs="宋体"/>
          <w:b/>
          <w:snapToGrid w:val="0"/>
          <w:color w:val="000000"/>
          <w:sz w:val="28"/>
          <w:szCs w:val="28"/>
          <w:lang w:val="en-US" w:eastAsia="en-US" w:bidi="ar-SA"/>
        </w:rPr>
        <w:t>1.1 项目背景</w:t>
      </w:r>
      <w:bookmarkEnd w:id="4"/>
    </w:p>
    <w:p w14:paraId="7D60E13A">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en-US" w:bidi="ar-SA"/>
        </w:rPr>
      </w:pPr>
      <w:r>
        <w:rPr>
          <w:rFonts w:hint="eastAsia" w:ascii="宋体" w:hAnsi="宋体" w:eastAsia="宋体" w:cs="宋体"/>
          <w:snapToGrid w:val="0"/>
          <w:color w:val="000000"/>
          <w:sz w:val="24"/>
          <w:szCs w:val="24"/>
          <w:lang w:val="en-US" w:eastAsia="en-US" w:bidi="ar-SA"/>
        </w:rPr>
        <w:t>浦江网联试验室二期已建成委托任务系统和试验室管理系统，初步实现委托登记、任务下达、数据录入、报告编制、审核及签发等业务环节的线上流转，并实现人员、设备、规范文档等基础信息的集中管理。二期已具备业务线上办理和基础信息统一维护能力，为三期进一步向检测生产环节延伸奠定了基础。</w:t>
      </w:r>
    </w:p>
    <w:p w14:paraId="12545D0F">
      <w:pPr>
        <w:bidi w:val="0"/>
        <w:rPr>
          <w:rFonts w:hint="eastAsia"/>
          <w:lang w:val="en-US" w:eastAsia="en-US"/>
        </w:rPr>
      </w:pPr>
      <w:r>
        <w:drawing>
          <wp:inline distT="0" distB="0" distL="114300" distR="114300">
            <wp:extent cx="5269865" cy="3758565"/>
            <wp:effectExtent l="0" t="0" r="13335" b="635"/>
            <wp:docPr id="62"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59"/>
                    <pic:cNvPicPr>
                      <a:picLocks noChangeAspect="1"/>
                    </pic:cNvPicPr>
                  </pic:nvPicPr>
                  <pic:blipFill>
                    <a:blip r:embed="rId6"/>
                    <a:stretch>
                      <a:fillRect/>
                    </a:stretch>
                  </pic:blipFill>
                  <pic:spPr>
                    <a:xfrm>
                      <a:off x="0" y="0"/>
                      <a:ext cx="5269865" cy="3758565"/>
                    </a:xfrm>
                    <a:prstGeom prst="rect">
                      <a:avLst/>
                    </a:prstGeom>
                    <a:noFill/>
                    <a:ln>
                      <a:noFill/>
                    </a:ln>
                  </pic:spPr>
                </pic:pic>
              </a:graphicData>
            </a:graphic>
          </wp:inline>
        </w:drawing>
      </w:r>
    </w:p>
    <w:p w14:paraId="1DA44EB2">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en-US" w:bidi="ar-SA"/>
        </w:rPr>
      </w:pPr>
      <w:r>
        <w:rPr>
          <w:rFonts w:hint="eastAsia" w:ascii="宋体" w:hAnsi="宋体" w:eastAsia="宋体" w:cs="宋体"/>
          <w:snapToGrid w:val="0"/>
          <w:color w:val="000000"/>
          <w:sz w:val="24"/>
          <w:szCs w:val="24"/>
          <w:lang w:val="en-US" w:eastAsia="en-US" w:bidi="ar-SA"/>
        </w:rPr>
        <w:t>在实际作业过程中，现有业务链路仍存在四方面不足：一是部分委托业务仍需现场办理，外部委托申请渠道有待完善；二是试验设备产生的数据需由试验人员记录在纸质原始记录表中，再返回办公室录入系统，现场试验与系统数据录入尚未直接贯通；三是报告编制</w:t>
      </w:r>
      <w:r>
        <w:rPr>
          <w:rFonts w:hint="eastAsia" w:ascii="宋体" w:hAnsi="宋体" w:cs="宋体"/>
          <w:snapToGrid w:val="0"/>
          <w:color w:val="000000"/>
          <w:sz w:val="24"/>
          <w:szCs w:val="24"/>
          <w:lang w:val="en-US" w:eastAsia="zh-CN" w:bidi="ar-SA"/>
        </w:rPr>
        <w:t>仍依赖</w:t>
      </w:r>
      <w:r>
        <w:rPr>
          <w:rFonts w:hint="eastAsia" w:ascii="宋体" w:hAnsi="宋体" w:eastAsia="宋体" w:cs="宋体"/>
          <w:snapToGrid w:val="0"/>
          <w:color w:val="000000"/>
          <w:sz w:val="24"/>
          <w:szCs w:val="24"/>
          <w:lang w:val="en-US" w:eastAsia="en-US" w:bidi="ar-SA"/>
        </w:rPr>
        <w:t>人工汇集</w:t>
      </w:r>
      <w:r>
        <w:rPr>
          <w:rFonts w:hint="eastAsia" w:ascii="宋体" w:hAnsi="宋体" w:cs="宋体"/>
          <w:snapToGrid w:val="0"/>
          <w:color w:val="000000"/>
          <w:sz w:val="24"/>
          <w:szCs w:val="24"/>
          <w:lang w:val="en-US" w:eastAsia="zh-CN" w:bidi="ar-SA"/>
        </w:rPr>
        <w:t>委托信息、检测</w:t>
      </w:r>
      <w:r>
        <w:rPr>
          <w:rFonts w:hint="eastAsia" w:ascii="宋体" w:hAnsi="宋体" w:eastAsia="宋体" w:cs="宋体"/>
          <w:snapToGrid w:val="0"/>
          <w:color w:val="000000"/>
          <w:sz w:val="24"/>
          <w:szCs w:val="24"/>
          <w:lang w:val="en-US" w:eastAsia="en-US" w:bidi="ar-SA"/>
        </w:rPr>
        <w:t>数据、规范</w:t>
      </w:r>
      <w:r>
        <w:rPr>
          <w:rFonts w:hint="eastAsia" w:ascii="宋体" w:hAnsi="宋体" w:cs="宋体"/>
          <w:snapToGrid w:val="0"/>
          <w:color w:val="000000"/>
          <w:sz w:val="24"/>
          <w:szCs w:val="24"/>
          <w:lang w:val="en-US" w:eastAsia="zh-CN" w:bidi="ar-SA"/>
        </w:rPr>
        <w:t>要求</w:t>
      </w:r>
      <w:r>
        <w:rPr>
          <w:rFonts w:hint="eastAsia" w:ascii="宋体" w:hAnsi="宋体" w:eastAsia="宋体" w:cs="宋体"/>
          <w:snapToGrid w:val="0"/>
          <w:color w:val="000000"/>
          <w:sz w:val="24"/>
          <w:szCs w:val="24"/>
          <w:lang w:val="en-US" w:eastAsia="en-US" w:bidi="ar-SA"/>
        </w:rPr>
        <w:t>、计算结果</w:t>
      </w:r>
      <w:r>
        <w:rPr>
          <w:rFonts w:hint="eastAsia" w:ascii="宋体" w:hAnsi="宋体" w:cs="宋体"/>
          <w:snapToGrid w:val="0"/>
          <w:color w:val="000000"/>
          <w:sz w:val="24"/>
          <w:szCs w:val="24"/>
          <w:lang w:val="en-US" w:eastAsia="zh-CN" w:bidi="ar-SA"/>
        </w:rPr>
        <w:t>等过程资料</w:t>
      </w:r>
      <w:r>
        <w:rPr>
          <w:rFonts w:hint="eastAsia" w:ascii="宋体" w:hAnsi="宋体" w:eastAsia="宋体" w:cs="宋体"/>
          <w:snapToGrid w:val="0"/>
          <w:color w:val="000000"/>
          <w:sz w:val="24"/>
          <w:szCs w:val="24"/>
          <w:lang w:val="en-US" w:eastAsia="en-US" w:bidi="ar-SA"/>
        </w:rPr>
        <w:t>；四是桥梁检测资料随单个项目分散保存，尚未形成连续、可复用的</w:t>
      </w:r>
      <w:r>
        <w:rPr>
          <w:rFonts w:hint="eastAsia" w:ascii="宋体" w:hAnsi="宋体" w:cs="宋体"/>
          <w:snapToGrid w:val="0"/>
          <w:color w:val="000000"/>
          <w:sz w:val="24"/>
          <w:szCs w:val="24"/>
          <w:lang w:val="en-US" w:eastAsia="zh-CN" w:bidi="ar-SA"/>
        </w:rPr>
        <w:t>专项（桥梁、管道等）</w:t>
      </w:r>
      <w:r>
        <w:rPr>
          <w:rFonts w:hint="eastAsia" w:ascii="宋体" w:hAnsi="宋体" w:eastAsia="宋体" w:cs="宋体"/>
          <w:snapToGrid w:val="0"/>
          <w:color w:val="000000"/>
          <w:sz w:val="24"/>
          <w:szCs w:val="24"/>
          <w:lang w:val="en-US" w:eastAsia="en-US" w:bidi="ar-SA"/>
        </w:rPr>
        <w:t>数据</w:t>
      </w:r>
      <w:r>
        <w:rPr>
          <w:rFonts w:hint="eastAsia" w:ascii="宋体" w:hAnsi="宋体" w:cs="宋体"/>
          <w:snapToGrid w:val="0"/>
          <w:color w:val="000000"/>
          <w:sz w:val="24"/>
          <w:szCs w:val="24"/>
          <w:lang w:val="en-US" w:eastAsia="zh-CN" w:bidi="ar-SA"/>
        </w:rPr>
        <w:t>管理</w:t>
      </w:r>
      <w:r>
        <w:rPr>
          <w:rFonts w:hint="eastAsia" w:ascii="宋体" w:hAnsi="宋体" w:eastAsia="宋体" w:cs="宋体"/>
          <w:snapToGrid w:val="0"/>
          <w:color w:val="000000"/>
          <w:sz w:val="24"/>
          <w:szCs w:val="24"/>
          <w:lang w:val="en-US" w:eastAsia="en-US" w:bidi="ar-SA"/>
        </w:rPr>
        <w:t>体系。</w:t>
      </w:r>
    </w:p>
    <w:p w14:paraId="5109A256">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en-US" w:bidi="ar-SA"/>
        </w:rPr>
      </w:pPr>
      <w:r>
        <w:rPr>
          <w:rFonts w:hint="eastAsia" w:ascii="宋体" w:hAnsi="宋体" w:eastAsia="宋体" w:cs="宋体"/>
          <w:snapToGrid w:val="0"/>
          <w:color w:val="000000"/>
          <w:sz w:val="24"/>
          <w:szCs w:val="24"/>
          <w:lang w:val="en-US" w:eastAsia="en-US" w:bidi="ar-SA"/>
        </w:rPr>
        <w:t>因此，三期不重复建设二期已有的委托、任务和审批流程，而是在二期业务主线基础上补充四项能力：建设面向委托人</w:t>
      </w:r>
      <w:r>
        <w:rPr>
          <w:rFonts w:hint="eastAsia" w:ascii="宋体" w:hAnsi="宋体" w:cs="宋体"/>
          <w:snapToGrid w:val="0"/>
          <w:color w:val="000000"/>
          <w:sz w:val="24"/>
          <w:szCs w:val="24"/>
          <w:lang w:val="en-US" w:eastAsia="zh-CN" w:bidi="ar-SA"/>
        </w:rPr>
        <w:t>/委托单位</w:t>
      </w:r>
      <w:r>
        <w:rPr>
          <w:rFonts w:hint="eastAsia" w:ascii="宋体" w:hAnsi="宋体" w:eastAsia="宋体" w:cs="宋体"/>
          <w:snapToGrid w:val="0"/>
          <w:color w:val="000000"/>
          <w:sz w:val="24"/>
          <w:szCs w:val="24"/>
          <w:lang w:val="en-US" w:eastAsia="en-US" w:bidi="ar-SA"/>
        </w:rPr>
        <w:t>的线上申请入口，贯通试验设备与数据录入环节，利用企业智能体</w:t>
      </w:r>
      <w:r>
        <w:rPr>
          <w:rFonts w:hint="eastAsia" w:ascii="宋体" w:hAnsi="宋体" w:cs="宋体"/>
          <w:snapToGrid w:val="0"/>
          <w:color w:val="000000"/>
          <w:sz w:val="24"/>
          <w:szCs w:val="24"/>
          <w:lang w:val="en-US" w:eastAsia="zh-CN" w:bidi="ar-SA"/>
        </w:rPr>
        <w:t>快速输出完整报告并提供辅助分析</w:t>
      </w:r>
      <w:r>
        <w:rPr>
          <w:rFonts w:hint="eastAsia" w:ascii="宋体" w:hAnsi="宋体" w:eastAsia="宋体" w:cs="宋体"/>
          <w:snapToGrid w:val="0"/>
          <w:color w:val="000000"/>
          <w:sz w:val="24"/>
          <w:szCs w:val="24"/>
          <w:lang w:val="en-US" w:eastAsia="en-US" w:bidi="ar-SA"/>
        </w:rPr>
        <w:t>，建设面向桥梁检测业务的数据管理系统。项目建成后，委托申请、任务受理、现场试验、数据录入、报告编制、审核交付和专项数据沉淀等环节将实现</w:t>
      </w:r>
      <w:r>
        <w:rPr>
          <w:rFonts w:hint="eastAsia" w:ascii="宋体" w:hAnsi="宋体" w:cs="宋体"/>
          <w:snapToGrid w:val="0"/>
          <w:color w:val="000000"/>
          <w:sz w:val="24"/>
          <w:szCs w:val="24"/>
          <w:lang w:val="en-US" w:eastAsia="zh-CN" w:bidi="ar-SA"/>
        </w:rPr>
        <w:t>高效贯通</w:t>
      </w:r>
      <w:r>
        <w:rPr>
          <w:rFonts w:hint="eastAsia" w:ascii="宋体" w:hAnsi="宋体" w:eastAsia="宋体" w:cs="宋体"/>
          <w:snapToGrid w:val="0"/>
          <w:color w:val="000000"/>
          <w:sz w:val="24"/>
          <w:szCs w:val="24"/>
          <w:lang w:val="en-US" w:eastAsia="en-US" w:bidi="ar-SA"/>
        </w:rPr>
        <w:t>。</w:t>
      </w:r>
    </w:p>
    <w:p w14:paraId="5E0DC9C7">
      <w:pPr>
        <w:keepNext w:val="0"/>
        <w:keepLines w:val="0"/>
        <w:pageBreakBefore w:val="0"/>
        <w:widowControl/>
        <w:kinsoku w:val="0"/>
        <w:wordWrap/>
        <w:overflowPunct/>
        <w:topLinePunct w:val="0"/>
        <w:autoSpaceDE w:val="0"/>
        <w:autoSpaceDN w:val="0"/>
        <w:bidi w:val="0"/>
        <w:adjustRightInd w:val="0"/>
        <w:snapToGrid w:val="0"/>
        <w:spacing w:after="0" w:line="360" w:lineRule="auto"/>
        <w:ind w:left="0"/>
        <w:jc w:val="left"/>
        <w:textAlignment w:val="baseline"/>
        <w:outlineLvl w:val="1"/>
        <w:rPr>
          <w:rFonts w:hint="default" w:ascii="宋体" w:hAnsi="宋体" w:eastAsia="宋体" w:cs="宋体"/>
          <w:b/>
          <w:snapToGrid w:val="0"/>
          <w:color w:val="000000"/>
          <w:sz w:val="28"/>
          <w:szCs w:val="28"/>
          <w:lang w:val="en-US" w:eastAsia="zh-CN" w:bidi="ar-SA"/>
        </w:rPr>
      </w:pPr>
      <w:bookmarkStart w:id="5" w:name="_Toc1753116153"/>
      <w:r>
        <w:rPr>
          <w:rFonts w:hint="eastAsia" w:ascii="宋体" w:hAnsi="宋体" w:eastAsia="宋体" w:cs="宋体"/>
          <w:b/>
          <w:snapToGrid w:val="0"/>
          <w:color w:val="000000"/>
          <w:sz w:val="28"/>
          <w:szCs w:val="28"/>
          <w:lang w:val="en-US" w:eastAsia="en-US" w:bidi="ar-SA"/>
        </w:rPr>
        <w:t>1.</w:t>
      </w:r>
      <w:r>
        <w:rPr>
          <w:rFonts w:hint="eastAsia" w:ascii="宋体" w:hAnsi="宋体" w:cs="宋体"/>
          <w:b/>
          <w:snapToGrid w:val="0"/>
          <w:color w:val="000000"/>
          <w:sz w:val="28"/>
          <w:szCs w:val="28"/>
          <w:lang w:val="en-US" w:eastAsia="zh-CN" w:bidi="ar-SA"/>
        </w:rPr>
        <w:t>2</w:t>
      </w:r>
      <w:r>
        <w:rPr>
          <w:rFonts w:hint="eastAsia" w:ascii="宋体" w:hAnsi="宋体" w:eastAsia="宋体" w:cs="宋体"/>
          <w:b/>
          <w:snapToGrid w:val="0"/>
          <w:color w:val="000000"/>
          <w:sz w:val="28"/>
          <w:szCs w:val="28"/>
          <w:lang w:val="en-US" w:eastAsia="en-US" w:bidi="ar-SA"/>
        </w:rPr>
        <w:t xml:space="preserve"> </w:t>
      </w:r>
      <w:r>
        <w:rPr>
          <w:rFonts w:hint="eastAsia" w:ascii="宋体" w:hAnsi="宋体" w:cs="宋体"/>
          <w:b/>
          <w:snapToGrid w:val="0"/>
          <w:color w:val="000000"/>
          <w:sz w:val="28"/>
          <w:szCs w:val="28"/>
          <w:lang w:val="en-US" w:eastAsia="zh-CN" w:bidi="ar-SA"/>
        </w:rPr>
        <w:t>现存痛点</w:t>
      </w:r>
      <w:bookmarkEnd w:id="5"/>
    </w:p>
    <w:tbl>
      <w:tblPr>
        <w:tblStyle w:val="13"/>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1749"/>
        <w:gridCol w:w="6796"/>
      </w:tblGrid>
      <w:tr w14:paraId="21F2FDA6">
        <w:trPr>
          <w:cantSplit/>
          <w:tblHeader/>
          <w:jc w:val="center"/>
        </w:trPr>
        <w:tc>
          <w:tcPr>
            <w:tcW w:w="0" w:type="auto"/>
            <w:shd w:val="clear" w:color="auto" w:fill="17365D"/>
            <w:tcMar>
              <w:top w:w="100" w:type="dxa"/>
              <w:left w:w="120" w:type="dxa"/>
              <w:bottom w:w="100" w:type="dxa"/>
              <w:right w:w="120" w:type="dxa"/>
            </w:tcMar>
            <w:vAlign w:val="center"/>
          </w:tcPr>
          <w:p w14:paraId="28297349">
            <w:pPr>
              <w:spacing w:before="0" w:after="0" w:line="269" w:lineRule="auto"/>
              <w:jc w:val="center"/>
              <w:rPr>
                <w:rFonts w:hint="default" w:ascii="宋体" w:hAnsi="宋体" w:eastAsia="宋体" w:cs="宋体"/>
                <w:lang w:val="en-US" w:eastAsia="zh-CN"/>
              </w:rPr>
            </w:pPr>
            <w:r>
              <w:rPr>
                <w:rFonts w:hint="eastAsia" w:ascii="宋体" w:hAnsi="宋体" w:cs="宋体"/>
                <w:lang w:val="en-US" w:eastAsia="zh-CN"/>
              </w:rPr>
              <w:t>问题</w:t>
            </w:r>
          </w:p>
        </w:tc>
        <w:tc>
          <w:tcPr>
            <w:tcW w:w="0" w:type="auto"/>
            <w:shd w:val="clear" w:color="auto" w:fill="17365D"/>
            <w:tcMar>
              <w:top w:w="100" w:type="dxa"/>
              <w:left w:w="120" w:type="dxa"/>
              <w:bottom w:w="100" w:type="dxa"/>
              <w:right w:w="120" w:type="dxa"/>
            </w:tcMar>
            <w:vAlign w:val="center"/>
          </w:tcPr>
          <w:p w14:paraId="0D4199C6">
            <w:pPr>
              <w:spacing w:before="0" w:after="0" w:line="269" w:lineRule="auto"/>
              <w:jc w:val="center"/>
              <w:rPr>
                <w:rFonts w:hint="eastAsia" w:ascii="宋体" w:hAnsi="宋体" w:eastAsia="宋体" w:cs="宋体"/>
                <w:lang w:val="en-US" w:eastAsia="zh-CN"/>
              </w:rPr>
            </w:pPr>
            <w:r>
              <w:rPr>
                <w:rFonts w:hint="eastAsia" w:ascii="宋体" w:hAnsi="宋体" w:cs="宋体"/>
                <w:lang w:val="en-US" w:eastAsia="zh-CN"/>
              </w:rPr>
              <w:t>当前情况</w:t>
            </w:r>
          </w:p>
        </w:tc>
      </w:tr>
      <w:tr w14:paraId="6516408A">
        <w:trPr>
          <w:cantSplit/>
          <w:jc w:val="center"/>
        </w:trPr>
        <w:tc>
          <w:tcPr>
            <w:tcW w:w="0" w:type="auto"/>
            <w:tcMar>
              <w:top w:w="100" w:type="dxa"/>
              <w:left w:w="120" w:type="dxa"/>
              <w:bottom w:w="100" w:type="dxa"/>
              <w:right w:w="120" w:type="dxa"/>
            </w:tcMar>
            <w:vAlign w:val="center"/>
          </w:tcPr>
          <w:p w14:paraId="5CB72E58">
            <w:pPr>
              <w:spacing w:before="0" w:after="0" w:line="269" w:lineRule="auto"/>
              <w:jc w:val="left"/>
              <w:rPr>
                <w:rFonts w:hint="eastAsia" w:ascii="宋体" w:hAnsi="宋体" w:eastAsia="宋体" w:cs="宋体"/>
              </w:rPr>
            </w:pPr>
            <w:r>
              <w:rPr>
                <w:rFonts w:hint="eastAsia" w:ascii="宋体" w:hAnsi="宋体" w:eastAsia="宋体" w:cs="宋体"/>
              </w:rPr>
              <w:t>委托申请渠道较为单一</w:t>
            </w:r>
          </w:p>
        </w:tc>
        <w:tc>
          <w:tcPr>
            <w:tcW w:w="0" w:type="auto"/>
            <w:tcMar>
              <w:top w:w="100" w:type="dxa"/>
              <w:left w:w="120" w:type="dxa"/>
              <w:bottom w:w="100" w:type="dxa"/>
              <w:right w:w="120" w:type="dxa"/>
            </w:tcMar>
            <w:vAlign w:val="center"/>
          </w:tcPr>
          <w:p w14:paraId="38F5A78C">
            <w:pPr>
              <w:spacing w:before="0" w:after="0" w:line="269" w:lineRule="auto"/>
              <w:jc w:val="left"/>
              <w:rPr>
                <w:rFonts w:hint="eastAsia" w:ascii="宋体" w:hAnsi="宋体" w:eastAsia="宋体" w:cs="宋体"/>
              </w:rPr>
            </w:pPr>
            <w:r>
              <w:rPr>
                <w:rFonts w:hint="eastAsia" w:ascii="宋体" w:hAnsi="宋体" w:eastAsia="宋体" w:cs="宋体"/>
              </w:rPr>
              <w:t>委托人主要通过线下方式提交委托需求，再由登记人员整理并录入系统。委托申请受时间和地点限制，同时增加了登记人员的信息整理和重复录入工作。</w:t>
            </w:r>
          </w:p>
        </w:tc>
      </w:tr>
      <w:tr w14:paraId="364EE6AC">
        <w:trPr>
          <w:cantSplit/>
          <w:jc w:val="center"/>
        </w:trPr>
        <w:tc>
          <w:tcPr>
            <w:tcW w:w="0" w:type="auto"/>
            <w:shd w:val="clear" w:color="auto" w:fill="F5F9FC"/>
            <w:tcMar>
              <w:top w:w="100" w:type="dxa"/>
              <w:left w:w="120" w:type="dxa"/>
              <w:bottom w:w="100" w:type="dxa"/>
              <w:right w:w="120" w:type="dxa"/>
            </w:tcMar>
            <w:vAlign w:val="center"/>
          </w:tcPr>
          <w:p w14:paraId="59801A5A">
            <w:pPr>
              <w:spacing w:before="0" w:after="0" w:line="269" w:lineRule="auto"/>
              <w:jc w:val="left"/>
              <w:rPr>
                <w:rFonts w:hint="eastAsia" w:ascii="宋体" w:hAnsi="宋体" w:eastAsia="宋体" w:cs="宋体"/>
              </w:rPr>
            </w:pPr>
            <w:r>
              <w:rPr>
                <w:rFonts w:hint="eastAsia" w:ascii="宋体" w:hAnsi="宋体" w:eastAsia="宋体" w:cs="宋体"/>
              </w:rPr>
              <w:t>试验设备数据与业务任务尚未直接贯通</w:t>
            </w:r>
          </w:p>
        </w:tc>
        <w:tc>
          <w:tcPr>
            <w:tcW w:w="0" w:type="auto"/>
            <w:shd w:val="clear" w:color="auto" w:fill="F5F9FC"/>
            <w:tcMar>
              <w:top w:w="100" w:type="dxa"/>
              <w:left w:w="120" w:type="dxa"/>
              <w:bottom w:w="100" w:type="dxa"/>
              <w:right w:w="120" w:type="dxa"/>
            </w:tcMar>
            <w:vAlign w:val="center"/>
          </w:tcPr>
          <w:p w14:paraId="69F8E9C3">
            <w:pPr>
              <w:spacing w:before="0" w:after="0" w:line="269" w:lineRule="auto"/>
              <w:jc w:val="left"/>
              <w:rPr>
                <w:rFonts w:hint="eastAsia" w:ascii="宋体" w:hAnsi="宋体" w:eastAsia="宋体" w:cs="宋体"/>
              </w:rPr>
            </w:pPr>
            <w:r>
              <w:rPr>
                <w:rFonts w:hint="eastAsia" w:ascii="宋体" w:hAnsi="宋体" w:eastAsia="宋体" w:cs="宋体"/>
              </w:rPr>
              <w:t>试验人员完成设备操作后，需要先将试验结果记录在纸质原始记录表中，再返回办公室录入二期系统。设备原始数据与委托、样品及任务之间缺少稳定关联，既增加重复工作，也存在错录、漏录和事后补录风险。</w:t>
            </w:r>
          </w:p>
        </w:tc>
      </w:tr>
      <w:tr w14:paraId="365E472B">
        <w:trPr>
          <w:cantSplit/>
          <w:jc w:val="center"/>
        </w:trPr>
        <w:tc>
          <w:tcPr>
            <w:tcW w:w="0" w:type="auto"/>
            <w:tcMar>
              <w:top w:w="100" w:type="dxa"/>
              <w:left w:w="120" w:type="dxa"/>
              <w:bottom w:w="100" w:type="dxa"/>
              <w:right w:w="120" w:type="dxa"/>
            </w:tcMar>
            <w:vAlign w:val="center"/>
          </w:tcPr>
          <w:p w14:paraId="6ABB368E">
            <w:pPr>
              <w:spacing w:before="0" w:after="0" w:line="269" w:lineRule="auto"/>
              <w:jc w:val="left"/>
              <w:rPr>
                <w:rFonts w:hint="eastAsia" w:ascii="宋体" w:hAnsi="宋体" w:eastAsia="宋体" w:cs="宋体"/>
              </w:rPr>
            </w:pPr>
            <w:r>
              <w:rPr>
                <w:rFonts w:hint="eastAsia" w:ascii="宋体" w:hAnsi="宋体" w:eastAsia="宋体" w:cs="宋体"/>
              </w:rPr>
              <w:t>报告</w:t>
            </w:r>
            <w:r>
              <w:rPr>
                <w:rFonts w:hint="eastAsia" w:ascii="宋体" w:hAnsi="宋体" w:cs="宋体"/>
                <w:lang w:val="en-US" w:eastAsia="zh-CN"/>
              </w:rPr>
              <w:t>所需</w:t>
            </w:r>
            <w:r>
              <w:rPr>
                <w:rFonts w:hint="eastAsia" w:ascii="宋体" w:hAnsi="宋体" w:eastAsia="宋体" w:cs="宋体"/>
              </w:rPr>
              <w:t>资料</w:t>
            </w:r>
            <w:r>
              <w:rPr>
                <w:rFonts w:hint="eastAsia" w:ascii="宋体" w:hAnsi="宋体" w:cs="宋体"/>
                <w:lang w:val="en-US" w:eastAsia="zh-CN"/>
              </w:rPr>
              <w:t>/数据</w:t>
            </w:r>
            <w:r>
              <w:rPr>
                <w:rFonts w:hint="eastAsia" w:ascii="宋体" w:hAnsi="宋体" w:eastAsia="宋体" w:cs="宋体"/>
              </w:rPr>
              <w:t>分散</w:t>
            </w:r>
            <w:r>
              <w:rPr>
                <w:rFonts w:hint="eastAsia" w:ascii="宋体" w:hAnsi="宋体" w:cs="宋体"/>
                <w:lang w:eastAsia="zh-CN"/>
              </w:rPr>
              <w:t>，</w:t>
            </w:r>
            <w:r>
              <w:rPr>
                <w:rFonts w:hint="eastAsia" w:ascii="宋体" w:hAnsi="宋体" w:eastAsia="宋体" w:cs="宋体"/>
              </w:rPr>
              <w:t>且编制过程依赖人工</w:t>
            </w:r>
          </w:p>
        </w:tc>
        <w:tc>
          <w:tcPr>
            <w:tcW w:w="0" w:type="auto"/>
            <w:tcMar>
              <w:top w:w="100" w:type="dxa"/>
              <w:left w:w="120" w:type="dxa"/>
              <w:bottom w:w="100" w:type="dxa"/>
              <w:right w:w="120" w:type="dxa"/>
            </w:tcMar>
            <w:vAlign w:val="center"/>
          </w:tcPr>
          <w:p w14:paraId="7C093CD2">
            <w:pPr>
              <w:spacing w:before="0" w:after="0" w:line="269" w:lineRule="auto"/>
              <w:jc w:val="left"/>
              <w:rPr>
                <w:rFonts w:hint="eastAsia" w:ascii="宋体" w:hAnsi="宋体" w:eastAsia="宋体" w:cs="宋体"/>
              </w:rPr>
            </w:pPr>
            <w:r>
              <w:rPr>
                <w:rFonts w:hint="eastAsia" w:ascii="宋体" w:hAnsi="宋体" w:eastAsia="宋体" w:cs="宋体"/>
              </w:rPr>
              <w:t>报告编制人员需要从不同系统和文件中查找任务信息、检测数据、影像资料、规范文档、报告模板及历史报告，再进行数据转录、内容编写和格式编排</w:t>
            </w:r>
            <w:r>
              <w:rPr>
                <w:rFonts w:hint="eastAsia" w:ascii="宋体" w:hAnsi="宋体" w:cs="宋体"/>
                <w:lang w:eastAsia="zh-CN"/>
              </w:rPr>
              <w:t>，</w:t>
            </w:r>
            <w:r>
              <w:rPr>
                <w:rFonts w:hint="eastAsia" w:ascii="宋体" w:hAnsi="宋体" w:eastAsia="宋体" w:cs="宋体"/>
              </w:rPr>
              <w:t>资料整理工作量较大，</w:t>
            </w:r>
            <w:r>
              <w:rPr>
                <w:rFonts w:hint="eastAsia" w:ascii="宋体" w:hAnsi="宋体" w:cs="宋体"/>
                <w:lang w:val="en-US" w:eastAsia="zh-CN"/>
              </w:rPr>
              <w:t>效率低下，缺少工具协同进行内容</w:t>
            </w:r>
            <w:r>
              <w:rPr>
                <w:rFonts w:hint="eastAsia" w:ascii="宋体" w:hAnsi="宋体" w:eastAsia="宋体" w:cs="宋体"/>
              </w:rPr>
              <w:t>完整性和格式一致性</w:t>
            </w:r>
            <w:r>
              <w:rPr>
                <w:rFonts w:hint="eastAsia" w:ascii="宋体" w:hAnsi="宋体" w:cs="宋体"/>
                <w:lang w:val="en-US" w:eastAsia="zh-CN"/>
              </w:rPr>
              <w:t>的审核。</w:t>
            </w:r>
          </w:p>
        </w:tc>
      </w:tr>
      <w:tr w14:paraId="5993D9D7">
        <w:trPr>
          <w:cantSplit/>
          <w:jc w:val="center"/>
        </w:trPr>
        <w:tc>
          <w:tcPr>
            <w:tcW w:w="0" w:type="auto"/>
            <w:shd w:val="clear" w:color="auto" w:fill="F5F9FC"/>
            <w:tcMar>
              <w:top w:w="100" w:type="dxa"/>
              <w:left w:w="120" w:type="dxa"/>
              <w:bottom w:w="100" w:type="dxa"/>
              <w:right w:w="120" w:type="dxa"/>
            </w:tcMar>
            <w:vAlign w:val="center"/>
          </w:tcPr>
          <w:p w14:paraId="43F6604E">
            <w:pPr>
              <w:spacing w:before="0" w:after="0" w:line="269" w:lineRule="auto"/>
              <w:jc w:val="left"/>
              <w:rPr>
                <w:rFonts w:hint="eastAsia" w:ascii="宋体" w:hAnsi="宋体" w:eastAsia="宋体" w:cs="宋体"/>
                <w:lang w:val="en-US" w:eastAsia="zh-CN"/>
              </w:rPr>
            </w:pPr>
            <w:r>
              <w:rPr>
                <w:rFonts w:hint="eastAsia" w:ascii="宋体" w:hAnsi="宋体" w:eastAsia="宋体" w:cs="宋体"/>
              </w:rPr>
              <w:t>桥梁检测数据缺少</w:t>
            </w:r>
            <w:r>
              <w:rPr>
                <w:rFonts w:hint="eastAsia" w:ascii="宋体" w:hAnsi="宋体" w:cs="宋体"/>
                <w:lang w:val="en-US" w:eastAsia="zh-CN"/>
              </w:rPr>
              <w:t>高效可复用的</w:t>
            </w:r>
            <w:r>
              <w:rPr>
                <w:rFonts w:hint="eastAsia" w:ascii="宋体" w:hAnsi="宋体" w:eastAsia="宋体" w:cs="宋体"/>
              </w:rPr>
              <w:t>管理</w:t>
            </w:r>
            <w:r>
              <w:rPr>
                <w:rFonts w:hint="eastAsia" w:ascii="宋体" w:hAnsi="宋体" w:cs="宋体"/>
                <w:lang w:val="en-US" w:eastAsia="zh-CN"/>
              </w:rPr>
              <w:t>方式</w:t>
            </w:r>
          </w:p>
        </w:tc>
        <w:tc>
          <w:tcPr>
            <w:tcW w:w="0" w:type="auto"/>
            <w:shd w:val="clear" w:color="auto" w:fill="F5F9FC"/>
            <w:tcMar>
              <w:top w:w="100" w:type="dxa"/>
              <w:left w:w="120" w:type="dxa"/>
              <w:bottom w:w="100" w:type="dxa"/>
              <w:right w:w="120" w:type="dxa"/>
            </w:tcMar>
            <w:vAlign w:val="center"/>
          </w:tcPr>
          <w:p w14:paraId="277209D1">
            <w:pPr>
              <w:spacing w:before="0" w:after="0" w:line="269" w:lineRule="auto"/>
              <w:jc w:val="left"/>
              <w:rPr>
                <w:rFonts w:hint="eastAsia" w:ascii="宋体" w:hAnsi="宋体" w:eastAsia="宋体" w:cs="宋体"/>
              </w:rPr>
            </w:pPr>
            <w:r>
              <w:rPr>
                <w:rFonts w:hint="eastAsia" w:ascii="宋体" w:hAnsi="宋体" w:eastAsia="宋体" w:cs="宋体"/>
              </w:rPr>
              <w:t>受检桥梁基础信息、构件信息、病害记录、检测数据、影像资料、计算结果和历次报告通常随单个项目分散保存。同一桥梁再次受检时仍需重新整理资料，历史成果不便查询、对比和复用。</w:t>
            </w:r>
          </w:p>
        </w:tc>
      </w:tr>
    </w:tbl>
    <w:p w14:paraId="3E35F9B4">
      <w:pPr>
        <w:bidi w:val="0"/>
        <w:rPr>
          <w:rFonts w:hint="eastAsia"/>
          <w:lang w:val="en-US" w:eastAsia="en-US"/>
        </w:rPr>
      </w:pPr>
    </w:p>
    <w:p w14:paraId="1F83BA47">
      <w:pPr>
        <w:keepNext w:val="0"/>
        <w:keepLines w:val="0"/>
        <w:pageBreakBefore w:val="0"/>
        <w:widowControl/>
        <w:kinsoku w:val="0"/>
        <w:wordWrap/>
        <w:overflowPunct/>
        <w:topLinePunct w:val="0"/>
        <w:autoSpaceDE w:val="0"/>
        <w:autoSpaceDN w:val="0"/>
        <w:bidi w:val="0"/>
        <w:adjustRightInd w:val="0"/>
        <w:snapToGrid w:val="0"/>
        <w:spacing w:after="0" w:line="360" w:lineRule="auto"/>
        <w:ind w:left="0"/>
        <w:jc w:val="left"/>
        <w:textAlignment w:val="baseline"/>
        <w:outlineLvl w:val="1"/>
        <w:rPr>
          <w:rFonts w:hint="eastAsia" w:ascii="宋体" w:hAnsi="宋体" w:eastAsia="宋体" w:cs="宋体"/>
          <w:b/>
          <w:snapToGrid w:val="0"/>
          <w:color w:val="000000"/>
          <w:sz w:val="28"/>
          <w:szCs w:val="28"/>
          <w:lang w:val="en-US" w:eastAsia="zh-CN" w:bidi="ar-SA"/>
        </w:rPr>
      </w:pPr>
      <w:bookmarkStart w:id="6" w:name="_Toc1147546631"/>
      <w:r>
        <w:rPr>
          <w:rFonts w:hint="eastAsia" w:ascii="宋体" w:hAnsi="宋体" w:eastAsia="宋体" w:cs="宋体"/>
          <w:b/>
          <w:snapToGrid w:val="0"/>
          <w:color w:val="000000"/>
          <w:sz w:val="28"/>
          <w:szCs w:val="28"/>
          <w:lang w:val="en-US" w:eastAsia="en-US" w:bidi="ar-SA"/>
        </w:rPr>
        <w:t>1.</w:t>
      </w:r>
      <w:r>
        <w:rPr>
          <w:rFonts w:hint="eastAsia" w:ascii="宋体" w:hAnsi="宋体" w:cs="宋体"/>
          <w:b/>
          <w:snapToGrid w:val="0"/>
          <w:color w:val="000000"/>
          <w:sz w:val="28"/>
          <w:szCs w:val="28"/>
          <w:lang w:val="en-US" w:eastAsia="zh-CN" w:bidi="ar-SA"/>
        </w:rPr>
        <w:t>3</w:t>
      </w:r>
      <w:r>
        <w:rPr>
          <w:rFonts w:hint="eastAsia" w:ascii="宋体" w:hAnsi="宋体" w:eastAsia="宋体" w:cs="宋体"/>
          <w:b/>
          <w:snapToGrid w:val="0"/>
          <w:color w:val="000000"/>
          <w:sz w:val="28"/>
          <w:szCs w:val="28"/>
          <w:lang w:val="en-US" w:eastAsia="en-US" w:bidi="ar-SA"/>
        </w:rPr>
        <w:t xml:space="preserve"> 项目</w:t>
      </w:r>
      <w:r>
        <w:rPr>
          <w:rFonts w:hint="eastAsia" w:ascii="宋体" w:hAnsi="宋体" w:cs="宋体"/>
          <w:b/>
          <w:snapToGrid w:val="0"/>
          <w:color w:val="000000"/>
          <w:sz w:val="28"/>
          <w:szCs w:val="28"/>
          <w:lang w:val="en-US" w:eastAsia="zh-CN" w:bidi="ar-SA"/>
        </w:rPr>
        <w:t>现状</w:t>
      </w:r>
      <w:bookmarkEnd w:id="6"/>
    </w:p>
    <w:tbl>
      <w:tblPr>
        <w:tblStyle w:val="13"/>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1096"/>
        <w:gridCol w:w="3240"/>
        <w:gridCol w:w="4209"/>
      </w:tblGrid>
      <w:tr w14:paraId="34287036">
        <w:trPr>
          <w:cantSplit/>
          <w:jc w:val="center"/>
        </w:trPr>
        <w:tc>
          <w:tcPr>
            <w:tcW w:w="0" w:type="auto"/>
            <w:shd w:val="clear" w:color="auto" w:fill="17365D"/>
            <w:tcMar>
              <w:top w:w="100" w:type="dxa"/>
              <w:left w:w="120" w:type="dxa"/>
              <w:bottom w:w="100" w:type="dxa"/>
              <w:right w:w="120" w:type="dxa"/>
            </w:tcMar>
            <w:vAlign w:val="center"/>
          </w:tcPr>
          <w:p w14:paraId="193682A5">
            <w:pPr>
              <w:spacing w:before="0" w:after="0" w:line="269" w:lineRule="auto"/>
              <w:jc w:val="center"/>
              <w:rPr>
                <w:rFonts w:hint="eastAsia" w:ascii="宋体" w:hAnsi="宋体" w:eastAsia="宋体" w:cs="宋体"/>
                <w:lang w:val="en-US" w:eastAsia="zh-CN"/>
              </w:rPr>
            </w:pPr>
            <w:r>
              <w:rPr>
                <w:rFonts w:hint="eastAsia" w:ascii="宋体" w:hAnsi="宋体" w:cs="宋体"/>
                <w:lang w:val="en-US" w:eastAsia="zh-CN"/>
              </w:rPr>
              <w:t>现有基础</w:t>
            </w:r>
          </w:p>
        </w:tc>
        <w:tc>
          <w:tcPr>
            <w:tcW w:w="0" w:type="auto"/>
            <w:shd w:val="clear" w:color="auto" w:fill="17365D"/>
            <w:tcMar>
              <w:top w:w="100" w:type="dxa"/>
              <w:left w:w="120" w:type="dxa"/>
              <w:bottom w:w="100" w:type="dxa"/>
              <w:right w:w="120" w:type="dxa"/>
            </w:tcMar>
            <w:vAlign w:val="center"/>
          </w:tcPr>
          <w:p w14:paraId="30F069CD">
            <w:pPr>
              <w:spacing w:before="0" w:after="0" w:line="269" w:lineRule="auto"/>
              <w:jc w:val="center"/>
              <w:rPr>
                <w:rFonts w:hint="eastAsia" w:ascii="宋体" w:hAnsi="宋体" w:eastAsia="宋体" w:cs="宋体"/>
                <w:lang w:val="en-US" w:eastAsia="zh-CN"/>
              </w:rPr>
            </w:pPr>
            <w:r>
              <w:rPr>
                <w:rFonts w:hint="eastAsia" w:ascii="宋体" w:hAnsi="宋体" w:cs="宋体"/>
                <w:lang w:val="en-US" w:eastAsia="zh-CN"/>
              </w:rPr>
              <w:t>已有能力</w:t>
            </w:r>
          </w:p>
        </w:tc>
        <w:tc>
          <w:tcPr>
            <w:tcW w:w="0" w:type="auto"/>
            <w:shd w:val="clear" w:color="auto" w:fill="17365D"/>
            <w:tcMar>
              <w:top w:w="100" w:type="dxa"/>
              <w:left w:w="120" w:type="dxa"/>
              <w:bottom w:w="100" w:type="dxa"/>
              <w:right w:w="120" w:type="dxa"/>
            </w:tcMar>
            <w:vAlign w:val="center"/>
          </w:tcPr>
          <w:p w14:paraId="2DC5D7FE">
            <w:pPr>
              <w:spacing w:before="0" w:after="0" w:line="269" w:lineRule="auto"/>
              <w:jc w:val="center"/>
              <w:rPr>
                <w:rFonts w:hint="default" w:ascii="宋体" w:hAnsi="宋体" w:eastAsia="宋体" w:cs="宋体"/>
                <w:lang w:val="en-US" w:eastAsia="zh-CN"/>
              </w:rPr>
            </w:pPr>
            <w:r>
              <w:rPr>
                <w:rFonts w:hint="eastAsia" w:ascii="宋体" w:hAnsi="宋体" w:cs="宋体"/>
                <w:b/>
                <w:color w:val="FFFFFF"/>
                <w:sz w:val="18"/>
                <w:lang w:val="en-US" w:eastAsia="zh-CN"/>
              </w:rPr>
              <w:t>三期衔接方式</w:t>
            </w:r>
          </w:p>
        </w:tc>
      </w:tr>
      <w:tr w14:paraId="40928286">
        <w:trPr>
          <w:cantSplit/>
          <w:trHeight w:val="587" w:hRule="atLeast"/>
          <w:jc w:val="center"/>
        </w:trPr>
        <w:tc>
          <w:tcPr>
            <w:tcW w:w="0" w:type="auto"/>
            <w:tcMar>
              <w:top w:w="100" w:type="dxa"/>
              <w:left w:w="120" w:type="dxa"/>
              <w:bottom w:w="100" w:type="dxa"/>
              <w:right w:w="120" w:type="dxa"/>
            </w:tcMar>
            <w:vAlign w:val="center"/>
          </w:tcPr>
          <w:p w14:paraId="57156EA9">
            <w:pPr>
              <w:spacing w:before="0" w:after="0" w:line="269" w:lineRule="auto"/>
              <w:jc w:val="left"/>
              <w:rPr>
                <w:rFonts w:hint="eastAsia" w:ascii="宋体" w:hAnsi="宋体" w:eastAsia="宋体" w:cs="宋体"/>
                <w:color w:val="000000"/>
                <w:sz w:val="18"/>
                <w:lang w:val="en-US" w:eastAsia="zh-CN"/>
              </w:rPr>
            </w:pPr>
            <w:r>
              <w:rPr>
                <w:rFonts w:hint="eastAsia" w:ascii="宋体" w:hAnsi="宋体" w:eastAsia="宋体" w:cs="宋体"/>
                <w:color w:val="000000"/>
                <w:sz w:val="18"/>
                <w:lang w:val="en-US" w:eastAsia="zh-CN"/>
              </w:rPr>
              <w:t>委托</w:t>
            </w:r>
            <w:r>
              <w:rPr>
                <w:rFonts w:hint="eastAsia" w:ascii="宋体" w:hAnsi="宋体" w:eastAsia="宋体" w:cs="宋体"/>
                <w:color w:val="000000"/>
                <w:sz w:val="18"/>
                <w:lang w:val="en-US" w:eastAsia="zh-CN"/>
              </w:rPr>
              <w:t>任务系统</w:t>
            </w:r>
          </w:p>
        </w:tc>
        <w:tc>
          <w:tcPr>
            <w:tcW w:w="0" w:type="auto"/>
            <w:tcMar>
              <w:top w:w="100" w:type="dxa"/>
              <w:left w:w="120" w:type="dxa"/>
              <w:bottom w:w="100" w:type="dxa"/>
              <w:right w:w="120" w:type="dxa"/>
            </w:tcMar>
            <w:vAlign w:val="center"/>
          </w:tcPr>
          <w:p w14:paraId="2FAEC8BB">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承载委托登记、样品信息管理、任务下达、数据录入、报告编制、审核和签发</w:t>
            </w:r>
          </w:p>
        </w:tc>
        <w:tc>
          <w:tcPr>
            <w:tcW w:w="0" w:type="auto"/>
            <w:tcMar>
              <w:top w:w="100" w:type="dxa"/>
              <w:left w:w="120" w:type="dxa"/>
              <w:bottom w:w="100" w:type="dxa"/>
              <w:right w:w="120" w:type="dxa"/>
            </w:tcMar>
            <w:vAlign w:val="center"/>
          </w:tcPr>
          <w:p w14:paraId="49379613">
            <w:pPr>
              <w:numPr>
                <w:numId w:val="0"/>
              </w:numPr>
              <w:spacing w:before="0" w:after="0" w:line="269" w:lineRule="auto"/>
              <w:ind w:leftChars="0"/>
              <w:jc w:val="left"/>
              <w:rPr>
                <w:rFonts w:hint="eastAsia" w:ascii="宋体" w:hAnsi="宋体" w:eastAsia="宋体" w:cs="宋体"/>
                <w:color w:val="000000"/>
                <w:sz w:val="18"/>
                <w:lang w:val="en-US" w:eastAsia="zh-CN"/>
              </w:rPr>
            </w:pPr>
            <w:r>
              <w:rPr>
                <w:rFonts w:hint="eastAsia" w:ascii="宋体" w:hAnsi="宋体" w:cs="宋体"/>
                <w:color w:val="000000"/>
                <w:sz w:val="18"/>
                <w:lang w:val="en-US" w:eastAsia="zh-CN"/>
              </w:rPr>
              <w:t>1.</w:t>
            </w:r>
            <w:r>
              <w:rPr>
                <w:rFonts w:hint="eastAsia" w:ascii="宋体" w:hAnsi="宋体" w:eastAsia="宋体" w:cs="宋体"/>
                <w:color w:val="000000"/>
                <w:sz w:val="18"/>
                <w:lang w:val="en-US" w:eastAsia="zh-CN"/>
              </w:rPr>
              <w:t>建设面向委托单位/委托人的线上委托登记入口</w:t>
            </w:r>
            <w:r>
              <w:rPr>
                <w:rFonts w:hint="eastAsia" w:ascii="宋体" w:hAnsi="宋体" w:cs="宋体"/>
                <w:color w:val="000000"/>
                <w:sz w:val="18"/>
                <w:lang w:val="en-US" w:eastAsia="zh-CN"/>
              </w:rPr>
              <w:t>，实现委托登记业务流程的升级</w:t>
            </w:r>
            <w:r>
              <w:rPr>
                <w:rFonts w:hint="eastAsia" w:ascii="宋体" w:hAnsi="宋体" w:eastAsia="宋体" w:cs="宋体"/>
                <w:color w:val="000000"/>
                <w:sz w:val="18"/>
                <w:lang w:val="en-US" w:eastAsia="zh-CN"/>
              </w:rPr>
              <w:t>；</w:t>
            </w:r>
          </w:p>
          <w:p w14:paraId="48FB8498">
            <w:pPr>
              <w:numPr>
                <w:numId w:val="0"/>
              </w:numPr>
              <w:spacing w:before="0" w:after="0" w:line="269" w:lineRule="auto"/>
              <w:ind w:leftChars="0"/>
              <w:jc w:val="left"/>
              <w:rPr>
                <w:rFonts w:hint="default"/>
                <w:lang w:val="en-US" w:eastAsia="zh-CN"/>
              </w:rPr>
            </w:pPr>
            <w:r>
              <w:rPr>
                <w:rFonts w:hint="eastAsia" w:ascii="宋体" w:hAnsi="宋体" w:cs="宋体"/>
                <w:color w:val="000000"/>
                <w:sz w:val="18"/>
                <w:lang w:val="en-US" w:eastAsia="zh-CN"/>
              </w:rPr>
              <w:t>2.</w:t>
            </w:r>
            <w:r>
              <w:rPr>
                <w:rFonts w:hint="eastAsia" w:ascii="宋体" w:hAnsi="宋体" w:eastAsia="宋体" w:cs="宋体"/>
                <w:color w:val="000000"/>
                <w:sz w:val="18"/>
                <w:lang w:val="en-US" w:eastAsia="zh-CN"/>
              </w:rPr>
              <w:t>采集、上传试验设备数据，对接“数据录入”模块实现数据快速填充</w:t>
            </w:r>
            <w:r>
              <w:rPr>
                <w:rFonts w:hint="eastAsia" w:ascii="宋体" w:hAnsi="宋体" w:cs="宋体"/>
                <w:color w:val="000000"/>
                <w:sz w:val="18"/>
                <w:lang w:val="en-US" w:eastAsia="zh-CN"/>
              </w:rPr>
              <w:t>；</w:t>
            </w:r>
          </w:p>
        </w:tc>
      </w:tr>
      <w:tr w14:paraId="4076A157">
        <w:trPr>
          <w:cantSplit/>
          <w:jc w:val="center"/>
        </w:trPr>
        <w:tc>
          <w:tcPr>
            <w:tcW w:w="0" w:type="auto"/>
            <w:shd w:val="clear" w:color="auto" w:fill="F5F9FC"/>
            <w:tcMar>
              <w:top w:w="100" w:type="dxa"/>
              <w:left w:w="120" w:type="dxa"/>
              <w:bottom w:w="100" w:type="dxa"/>
              <w:right w:w="120" w:type="dxa"/>
            </w:tcMar>
            <w:vAlign w:val="center"/>
          </w:tcPr>
          <w:p w14:paraId="671DA4AC">
            <w:pPr>
              <w:spacing w:before="0" w:after="0" w:line="269" w:lineRule="auto"/>
              <w:jc w:val="left"/>
              <w:rPr>
                <w:rFonts w:hint="default" w:ascii="宋体" w:hAnsi="宋体" w:eastAsia="宋体" w:cs="宋体"/>
                <w:color w:val="000000"/>
                <w:sz w:val="18"/>
                <w:lang w:val="en-US" w:eastAsia="zh-CN"/>
              </w:rPr>
            </w:pPr>
            <w:r>
              <w:rPr>
                <w:rFonts w:hint="eastAsia" w:ascii="宋体" w:hAnsi="宋体" w:eastAsia="宋体" w:cs="宋体"/>
                <w:color w:val="000000"/>
                <w:sz w:val="18"/>
                <w:lang w:val="en-US" w:eastAsia="zh-CN"/>
              </w:rPr>
              <w:t>试验室管理系统</w:t>
            </w:r>
          </w:p>
        </w:tc>
        <w:tc>
          <w:tcPr>
            <w:tcW w:w="0" w:type="auto"/>
            <w:shd w:val="clear" w:color="auto" w:fill="F5F9FC"/>
            <w:tcMar>
              <w:top w:w="100" w:type="dxa"/>
              <w:left w:w="120" w:type="dxa"/>
              <w:bottom w:w="100" w:type="dxa"/>
              <w:right w:w="120" w:type="dxa"/>
            </w:tcMar>
            <w:vAlign w:val="center"/>
          </w:tcPr>
          <w:p w14:paraId="4DC980F6">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提供试验室数字孪生展示，并维护人员、设备、规范文档等基础信息</w:t>
            </w:r>
          </w:p>
        </w:tc>
        <w:tc>
          <w:tcPr>
            <w:tcW w:w="0" w:type="auto"/>
            <w:shd w:val="clear" w:color="auto" w:fill="F5F9FC"/>
            <w:tcMar>
              <w:top w:w="100" w:type="dxa"/>
              <w:left w:w="120" w:type="dxa"/>
              <w:bottom w:w="100" w:type="dxa"/>
              <w:right w:w="120" w:type="dxa"/>
            </w:tcMar>
            <w:vAlign w:val="center"/>
          </w:tcPr>
          <w:p w14:paraId="2D6CEF3F">
            <w:pPr>
              <w:pStyle w:val="2"/>
              <w:rPr>
                <w:rFonts w:hint="default"/>
                <w:lang w:val="en-US" w:eastAsia="zh-CN"/>
              </w:rPr>
            </w:pPr>
            <w:bookmarkStart w:id="7" w:name="_Toc265593510"/>
            <w:r>
              <w:rPr>
                <w:rFonts w:hint="eastAsia" w:ascii="宋体" w:hAnsi="宋体" w:cs="宋体"/>
                <w:color w:val="000000"/>
                <w:sz w:val="18"/>
                <w:lang w:val="en-US" w:eastAsia="zh-CN"/>
              </w:rPr>
              <w:t>在现有设备管理的功能基础上，建立数据上传和管理入口，为历史数据查看、数据填充提供支撑；</w:t>
            </w:r>
            <w:bookmarkEnd w:id="7"/>
          </w:p>
        </w:tc>
      </w:tr>
      <w:tr w14:paraId="0825A890">
        <w:trPr>
          <w:cantSplit/>
          <w:jc w:val="center"/>
        </w:trPr>
        <w:tc>
          <w:tcPr>
            <w:tcW w:w="0" w:type="auto"/>
            <w:tcMar>
              <w:top w:w="100" w:type="dxa"/>
              <w:left w:w="120" w:type="dxa"/>
              <w:bottom w:w="100" w:type="dxa"/>
              <w:right w:w="120" w:type="dxa"/>
            </w:tcMar>
            <w:vAlign w:val="center"/>
          </w:tcPr>
          <w:p w14:paraId="09856641">
            <w:pPr>
              <w:spacing w:before="0" w:after="0" w:line="269" w:lineRule="auto"/>
              <w:jc w:val="left"/>
              <w:rPr>
                <w:rFonts w:hint="default" w:ascii="宋体" w:hAnsi="宋体" w:eastAsia="宋体" w:cs="宋体"/>
                <w:color w:val="000000"/>
                <w:sz w:val="18"/>
                <w:lang w:val="en-US" w:eastAsia="zh-CN"/>
              </w:rPr>
            </w:pPr>
            <w:r>
              <w:rPr>
                <w:rFonts w:hint="eastAsia" w:ascii="宋体" w:hAnsi="宋体" w:eastAsia="宋体" w:cs="宋体"/>
                <w:color w:val="000000"/>
                <w:sz w:val="18"/>
                <w:lang w:val="en-US" w:eastAsia="zh-CN"/>
              </w:rPr>
              <w:t>试验设备及原厂软件</w:t>
            </w:r>
          </w:p>
        </w:tc>
        <w:tc>
          <w:tcPr>
            <w:tcW w:w="0" w:type="auto"/>
            <w:tcMar>
              <w:top w:w="100" w:type="dxa"/>
              <w:left w:w="120" w:type="dxa"/>
              <w:bottom w:w="100" w:type="dxa"/>
              <w:right w:w="120" w:type="dxa"/>
            </w:tcMar>
            <w:vAlign w:val="center"/>
          </w:tcPr>
          <w:p w14:paraId="333B8B4A">
            <w:pPr>
              <w:spacing w:before="0" w:after="0" w:line="269" w:lineRule="auto"/>
              <w:jc w:val="left"/>
              <w:rPr>
                <w:rFonts w:hint="default" w:ascii="宋体" w:hAnsi="宋体" w:eastAsia="宋体" w:cs="宋体"/>
                <w:color w:val="000000"/>
                <w:sz w:val="18"/>
                <w:lang w:val="en-US" w:eastAsia="zh-CN"/>
              </w:rPr>
            </w:pPr>
            <w:r>
              <w:rPr>
                <w:rFonts w:hint="eastAsia" w:ascii="宋体" w:hAnsi="宋体" w:eastAsia="宋体" w:cs="宋体"/>
                <w:color w:val="000000"/>
                <w:sz w:val="18"/>
              </w:rPr>
              <w:t>产生试验结果、过程数据、试验曲线或原始文件</w:t>
            </w:r>
          </w:p>
        </w:tc>
        <w:tc>
          <w:tcPr>
            <w:tcW w:w="0" w:type="auto"/>
            <w:tcMar>
              <w:top w:w="100" w:type="dxa"/>
              <w:left w:w="120" w:type="dxa"/>
              <w:bottom w:w="100" w:type="dxa"/>
              <w:right w:w="120" w:type="dxa"/>
            </w:tcMar>
            <w:vAlign w:val="center"/>
          </w:tcPr>
          <w:p w14:paraId="47FF6780">
            <w:pPr>
              <w:spacing w:before="0" w:after="0" w:line="269" w:lineRule="auto"/>
              <w:jc w:val="left"/>
              <w:rPr>
                <w:rFonts w:hint="eastAsia" w:ascii="宋体" w:hAnsi="宋体" w:eastAsia="宋体" w:cs="宋体"/>
                <w:color w:val="000000"/>
                <w:sz w:val="18"/>
                <w:lang w:val="en-US" w:eastAsia="zh-CN"/>
              </w:rPr>
            </w:pPr>
            <w:r>
              <w:rPr>
                <w:rFonts w:hint="eastAsia" w:ascii="宋体" w:hAnsi="宋体" w:eastAsia="宋体" w:cs="宋体"/>
                <w:color w:val="000000"/>
                <w:sz w:val="18"/>
                <w:lang w:val="en-US" w:eastAsia="zh-CN"/>
              </w:rPr>
              <w:t>1.核验设备型号、原厂软件、数据输出方式、接口条件和可采集数据范围。</w:t>
            </w:r>
          </w:p>
          <w:p w14:paraId="077E05BB">
            <w:pPr>
              <w:spacing w:before="0" w:after="0" w:line="269" w:lineRule="auto"/>
              <w:jc w:val="left"/>
              <w:rPr>
                <w:rFonts w:hint="eastAsia" w:ascii="宋体" w:hAnsi="宋体" w:eastAsia="宋体" w:cs="宋体"/>
                <w:color w:val="000000"/>
                <w:sz w:val="18"/>
                <w:lang w:val="en-US" w:eastAsia="zh-CN"/>
              </w:rPr>
            </w:pPr>
            <w:r>
              <w:rPr>
                <w:rFonts w:hint="eastAsia" w:ascii="宋体" w:hAnsi="宋体" w:eastAsia="宋体" w:cs="宋体"/>
                <w:color w:val="000000"/>
                <w:sz w:val="18"/>
                <w:lang w:val="en-US" w:eastAsia="zh-CN"/>
              </w:rPr>
              <w:t>2.根据设备实际条件，采用接口读取、原始文件解析或受控导入方式采集试验数据</w:t>
            </w:r>
          </w:p>
          <w:p w14:paraId="49410D30">
            <w:pPr>
              <w:spacing w:before="0" w:after="0" w:line="269" w:lineRule="auto"/>
              <w:jc w:val="left"/>
              <w:rPr>
                <w:rFonts w:hint="default"/>
                <w:lang w:val="en-US" w:eastAsia="zh-CN"/>
              </w:rPr>
            </w:pPr>
            <w:r>
              <w:rPr>
                <w:rFonts w:hint="eastAsia" w:ascii="宋体" w:hAnsi="宋体" w:eastAsia="宋体" w:cs="宋体"/>
                <w:color w:val="000000"/>
                <w:sz w:val="18"/>
                <w:lang w:val="en-US" w:eastAsia="zh-CN"/>
              </w:rPr>
              <w:t>3.对采集数据进行格式转换、单位统一、任务关联和完整性校验，并上传至三期数据管理环节</w:t>
            </w:r>
          </w:p>
        </w:tc>
      </w:tr>
      <w:tr w14:paraId="2BAA0D19">
        <w:trPr>
          <w:cantSplit/>
          <w:jc w:val="center"/>
        </w:trPr>
        <w:tc>
          <w:tcPr>
            <w:tcW w:w="0" w:type="auto"/>
            <w:shd w:val="clear" w:color="auto" w:fill="F5F9FC"/>
            <w:tcMar>
              <w:top w:w="100" w:type="dxa"/>
              <w:left w:w="120" w:type="dxa"/>
              <w:bottom w:w="100" w:type="dxa"/>
              <w:right w:w="120" w:type="dxa"/>
            </w:tcMar>
            <w:vAlign w:val="center"/>
          </w:tcPr>
          <w:p w14:paraId="0AB2D675">
            <w:pPr>
              <w:spacing w:before="0" w:after="0" w:line="269" w:lineRule="auto"/>
              <w:jc w:val="left"/>
              <w:rPr>
                <w:rFonts w:hint="default" w:ascii="宋体" w:hAnsi="宋体" w:eastAsia="宋体" w:cs="宋体"/>
                <w:color w:val="000000"/>
                <w:sz w:val="18"/>
                <w:lang w:val="en-US" w:eastAsia="zh-CN"/>
              </w:rPr>
            </w:pPr>
            <w:r>
              <w:rPr>
                <w:rFonts w:hint="eastAsia" w:ascii="宋体" w:hAnsi="宋体" w:eastAsia="宋体" w:cs="宋体"/>
                <w:color w:val="000000"/>
                <w:sz w:val="18"/>
                <w:lang w:val="en-US" w:eastAsia="zh-CN"/>
              </w:rPr>
              <w:t>既有业务资料</w:t>
            </w:r>
          </w:p>
        </w:tc>
        <w:tc>
          <w:tcPr>
            <w:tcW w:w="0" w:type="auto"/>
            <w:shd w:val="clear" w:color="auto" w:fill="F5F9FC"/>
            <w:tcMar>
              <w:top w:w="100" w:type="dxa"/>
              <w:left w:w="120" w:type="dxa"/>
              <w:bottom w:w="100" w:type="dxa"/>
              <w:right w:w="120" w:type="dxa"/>
            </w:tcMar>
            <w:vAlign w:val="center"/>
          </w:tcPr>
          <w:p w14:paraId="19D6C139">
            <w:pPr>
              <w:spacing w:before="0" w:after="0" w:line="269" w:lineRule="auto"/>
              <w:jc w:val="left"/>
              <w:rPr>
                <w:rFonts w:hint="default" w:ascii="宋体" w:hAnsi="宋体" w:eastAsia="宋体" w:cs="宋体"/>
                <w:color w:val="000000"/>
                <w:sz w:val="18"/>
                <w:lang w:val="en-US" w:eastAsia="zh-CN"/>
              </w:rPr>
            </w:pPr>
            <w:r>
              <w:rPr>
                <w:rFonts w:hint="eastAsia" w:ascii="宋体" w:hAnsi="宋体" w:eastAsia="宋体" w:cs="宋体"/>
                <w:color w:val="000000"/>
                <w:sz w:val="18"/>
              </w:rPr>
              <w:t>包括</w:t>
            </w:r>
            <w:r>
              <w:rPr>
                <w:rFonts w:hint="eastAsia" w:ascii="宋体" w:hAnsi="宋体" w:eastAsia="宋体" w:cs="宋体"/>
                <w:color w:val="000000"/>
                <w:sz w:val="18"/>
                <w:lang w:val="en-US" w:eastAsia="zh-CN"/>
              </w:rPr>
              <w:t>桥梁定检</w:t>
            </w:r>
            <w:r>
              <w:rPr>
                <w:rFonts w:hint="eastAsia" w:ascii="宋体" w:hAnsi="宋体" w:eastAsia="宋体" w:cs="宋体"/>
                <w:color w:val="000000"/>
                <w:sz w:val="18"/>
              </w:rPr>
              <w:t>报告、桥梁</w:t>
            </w:r>
            <w:r>
              <w:rPr>
                <w:rFonts w:hint="eastAsia" w:ascii="宋体" w:hAnsi="宋体" w:eastAsia="宋体" w:cs="宋体"/>
                <w:color w:val="000000"/>
                <w:sz w:val="18"/>
                <w:lang w:val="en-US" w:eastAsia="zh-CN"/>
              </w:rPr>
              <w:t>信息汇总表</w:t>
            </w:r>
            <w:r>
              <w:rPr>
                <w:rFonts w:hint="eastAsia" w:ascii="宋体" w:hAnsi="宋体" w:eastAsia="宋体" w:cs="宋体"/>
                <w:color w:val="000000"/>
                <w:sz w:val="18"/>
                <w:lang w:eastAsia="zh-CN"/>
              </w:rPr>
              <w:t>、</w:t>
            </w:r>
            <w:r>
              <w:rPr>
                <w:rFonts w:hint="eastAsia" w:ascii="宋体" w:hAnsi="宋体" w:eastAsia="宋体" w:cs="宋体"/>
                <w:color w:val="000000"/>
                <w:sz w:val="18"/>
                <w:lang w:val="en-US" w:eastAsia="zh-CN"/>
              </w:rPr>
              <w:t>无人机/app现场采集检测数据</w:t>
            </w:r>
          </w:p>
        </w:tc>
        <w:tc>
          <w:tcPr>
            <w:tcW w:w="0" w:type="auto"/>
            <w:shd w:val="clear" w:color="auto" w:fill="F5F9FC"/>
            <w:tcMar>
              <w:top w:w="100" w:type="dxa"/>
              <w:left w:w="120" w:type="dxa"/>
              <w:bottom w:w="100" w:type="dxa"/>
              <w:right w:w="120" w:type="dxa"/>
            </w:tcMar>
            <w:vAlign w:val="center"/>
          </w:tcPr>
          <w:p w14:paraId="33D13545">
            <w:pPr>
              <w:spacing w:before="0" w:after="0" w:line="269" w:lineRule="auto"/>
              <w:jc w:val="left"/>
              <w:rPr>
                <w:rFonts w:hint="eastAsia" w:ascii="宋体" w:hAnsi="宋体" w:eastAsia="宋体" w:cs="宋体"/>
                <w:color w:val="000000"/>
                <w:sz w:val="18"/>
                <w:lang w:val="en-US" w:eastAsia="zh-CN"/>
              </w:rPr>
            </w:pPr>
            <w:r>
              <w:rPr>
                <w:rFonts w:hint="eastAsia" w:ascii="宋体" w:hAnsi="宋体" w:eastAsia="宋体" w:cs="宋体"/>
                <w:color w:val="000000"/>
                <w:sz w:val="18"/>
                <w:lang w:val="en-US" w:eastAsia="zh-CN"/>
              </w:rPr>
              <w:t>1.梳理并确认桥梁定检报告结构并输出可调用的模板，对接数据接口实现定检数据填充</w:t>
            </w:r>
          </w:p>
          <w:p w14:paraId="1F8515F5">
            <w:pPr>
              <w:spacing w:before="0" w:after="0" w:line="269" w:lineRule="auto"/>
              <w:jc w:val="left"/>
              <w:rPr>
                <w:rFonts w:hint="eastAsia" w:ascii="宋体" w:hAnsi="宋体" w:eastAsia="宋体" w:cs="宋体"/>
                <w:color w:val="000000"/>
                <w:sz w:val="18"/>
                <w:lang w:val="en-US" w:eastAsia="zh-CN"/>
              </w:rPr>
            </w:pPr>
            <w:r>
              <w:rPr>
                <w:rFonts w:hint="eastAsia" w:ascii="宋体" w:hAnsi="宋体" w:eastAsia="宋体" w:cs="宋体"/>
                <w:color w:val="000000"/>
                <w:sz w:val="18"/>
                <w:lang w:val="en-US" w:eastAsia="zh-CN"/>
              </w:rPr>
              <w:t>2.梳理《公路桥梁技术状况评定标准》规范文档实现桥梁评定标准自动计算</w:t>
            </w:r>
          </w:p>
          <w:p w14:paraId="652C9049">
            <w:pPr>
              <w:spacing w:before="0" w:after="0" w:line="269" w:lineRule="auto"/>
              <w:jc w:val="left"/>
              <w:rPr>
                <w:rFonts w:hint="eastAsia" w:ascii="宋体" w:hAnsi="宋体" w:eastAsia="宋体" w:cs="宋体"/>
                <w:color w:val="000000"/>
                <w:sz w:val="18"/>
                <w:lang w:val="en-US" w:eastAsia="zh-CN"/>
              </w:rPr>
            </w:pPr>
            <w:r>
              <w:rPr>
                <w:rFonts w:hint="eastAsia" w:ascii="宋体" w:hAnsi="宋体" w:eastAsia="宋体" w:cs="宋体"/>
                <w:color w:val="000000"/>
                <w:sz w:val="18"/>
                <w:lang w:val="en-US" w:eastAsia="zh-CN"/>
              </w:rPr>
              <w:t>3.梳理桥梁信息管理需求，搭建面向桥梁定检的数据管理系统</w:t>
            </w:r>
          </w:p>
          <w:p w14:paraId="5B4DFCBF">
            <w:pPr>
              <w:spacing w:before="0" w:after="0" w:line="269" w:lineRule="auto"/>
              <w:jc w:val="left"/>
              <w:rPr>
                <w:rFonts w:hint="default" w:ascii="宋体" w:hAnsi="宋体" w:eastAsia="宋体" w:cs="宋体"/>
                <w:color w:val="000000"/>
                <w:sz w:val="18"/>
                <w:lang w:val="en-US" w:eastAsia="zh-CN"/>
              </w:rPr>
            </w:pPr>
            <w:r>
              <w:rPr>
                <w:rFonts w:hint="eastAsia" w:ascii="宋体" w:hAnsi="宋体" w:eastAsia="宋体" w:cs="宋体"/>
                <w:color w:val="000000"/>
                <w:sz w:val="18"/>
                <w:lang w:val="en-US" w:eastAsia="zh-CN"/>
              </w:rPr>
              <w:t>4.内嵌报告生成智能体，自动调用报告模板、调用数据、计算数据、填充数据、输出检测总结和技术建议</w:t>
            </w:r>
          </w:p>
        </w:tc>
      </w:tr>
    </w:tbl>
    <w:p w14:paraId="55FB6BDC">
      <w:pPr>
        <w:spacing w:after="40"/>
        <w:rPr>
          <w:rFonts w:hint="eastAsia" w:ascii="宋体" w:hAnsi="宋体" w:eastAsia="宋体" w:cs="宋体"/>
        </w:rPr>
      </w:pPr>
    </w:p>
    <w:p w14:paraId="5308416B">
      <w:pPr>
        <w:bidi w:val="0"/>
        <w:rPr>
          <w:rFonts w:hint="eastAsia"/>
        </w:rPr>
      </w:pPr>
    </w:p>
    <w:p w14:paraId="27E2B01C">
      <w:pPr>
        <w:keepNext w:val="0"/>
        <w:keepLines w:val="0"/>
        <w:pageBreakBefore w:val="0"/>
        <w:widowControl/>
        <w:kinsoku w:val="0"/>
        <w:wordWrap/>
        <w:overflowPunct/>
        <w:topLinePunct w:val="0"/>
        <w:autoSpaceDE w:val="0"/>
        <w:autoSpaceDN w:val="0"/>
        <w:bidi w:val="0"/>
        <w:adjustRightInd w:val="0"/>
        <w:snapToGrid w:val="0"/>
        <w:spacing w:after="0" w:line="360" w:lineRule="auto"/>
        <w:ind w:left="0"/>
        <w:jc w:val="left"/>
        <w:textAlignment w:val="baseline"/>
        <w:outlineLvl w:val="1"/>
        <w:rPr>
          <w:rFonts w:hint="default" w:ascii="宋体" w:hAnsi="宋体" w:eastAsia="宋体" w:cs="宋体"/>
          <w:b/>
          <w:snapToGrid w:val="0"/>
          <w:color w:val="000000"/>
          <w:sz w:val="28"/>
          <w:szCs w:val="28"/>
          <w:lang w:val="en-US" w:eastAsia="zh-CN" w:bidi="ar-SA"/>
        </w:rPr>
      </w:pPr>
      <w:bookmarkStart w:id="8" w:name="_Toc1359104104"/>
      <w:r>
        <w:rPr>
          <w:rFonts w:hint="eastAsia" w:ascii="宋体" w:hAnsi="宋体" w:eastAsia="宋体" w:cs="宋体"/>
          <w:b/>
          <w:snapToGrid w:val="0"/>
          <w:color w:val="000000"/>
          <w:sz w:val="28"/>
          <w:szCs w:val="28"/>
          <w:lang w:val="en-US" w:eastAsia="en-US" w:bidi="ar-SA"/>
        </w:rPr>
        <w:t xml:space="preserve">1.4 </w:t>
      </w:r>
      <w:r>
        <w:rPr>
          <w:rFonts w:hint="eastAsia" w:ascii="宋体" w:hAnsi="宋体" w:cs="宋体"/>
          <w:b/>
          <w:snapToGrid w:val="0"/>
          <w:color w:val="000000"/>
          <w:sz w:val="28"/>
          <w:szCs w:val="28"/>
          <w:lang w:val="en-US" w:eastAsia="zh-CN" w:bidi="ar-SA"/>
        </w:rPr>
        <w:t>需求梳理</w:t>
      </w:r>
      <w:bookmarkEnd w:id="8"/>
    </w:p>
    <w:p w14:paraId="43227708">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en-US" w:bidi="ar-SA"/>
        </w:rPr>
      </w:pPr>
      <w:r>
        <w:rPr>
          <w:rFonts w:hint="eastAsia" w:ascii="宋体" w:hAnsi="宋体" w:eastAsia="宋体" w:cs="宋体"/>
          <w:snapToGrid w:val="0"/>
          <w:color w:val="000000"/>
          <w:sz w:val="24"/>
          <w:szCs w:val="24"/>
          <w:lang w:val="en-US" w:eastAsia="en-US" w:bidi="ar-SA"/>
        </w:rPr>
        <w:t>本项目的核心需求可归纳为四条业务主线：</w:t>
      </w:r>
    </w:p>
    <w:p w14:paraId="51C59C8D">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en-US" w:bidi="ar-SA"/>
        </w:rPr>
      </w:pPr>
      <w:r>
        <w:rPr>
          <w:rFonts w:hint="eastAsia" w:ascii="宋体" w:hAnsi="宋体" w:eastAsia="宋体" w:cs="宋体"/>
          <w:snapToGrid w:val="0"/>
          <w:color w:val="000000"/>
          <w:sz w:val="24"/>
          <w:szCs w:val="24"/>
          <w:lang w:val="en-US" w:eastAsia="en-US" w:bidi="ar-SA"/>
        </w:rPr>
        <w:t>1. 委托申请线上化</w:t>
      </w:r>
    </w:p>
    <w:p w14:paraId="4FBBA62B">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en-US" w:bidi="ar-SA"/>
        </w:rPr>
      </w:pPr>
      <w:r>
        <w:rPr>
          <w:rFonts w:hint="eastAsia" w:ascii="宋体" w:hAnsi="宋体" w:eastAsia="宋体" w:cs="宋体"/>
          <w:snapToGrid w:val="0"/>
          <w:color w:val="000000"/>
          <w:sz w:val="24"/>
          <w:szCs w:val="24"/>
          <w:lang w:val="en-US" w:eastAsia="en-US" w:bidi="ar-SA"/>
        </w:rPr>
        <w:t xml:space="preserve"> 为委托单位或委托人提供远程申请入口。申请信息经浦江委托登记人员核验并受理后，传入二期委托任务系统并形成正式委托任务。</w:t>
      </w:r>
    </w:p>
    <w:p w14:paraId="3014732B">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en-US" w:bidi="ar-SA"/>
        </w:rPr>
        <w:t>2. 试验数据</w:t>
      </w:r>
      <w:r>
        <w:rPr>
          <w:rFonts w:hint="eastAsia" w:ascii="宋体" w:hAnsi="宋体" w:cs="宋体"/>
          <w:snapToGrid w:val="0"/>
          <w:color w:val="000000"/>
          <w:sz w:val="24"/>
          <w:szCs w:val="24"/>
          <w:lang w:val="en-US" w:eastAsia="zh-CN" w:bidi="ar-SA"/>
        </w:rPr>
        <w:t>采集、录入</w:t>
      </w:r>
      <w:r>
        <w:rPr>
          <w:rFonts w:hint="eastAsia" w:ascii="宋体" w:hAnsi="宋体" w:eastAsia="宋体" w:cs="宋体"/>
          <w:snapToGrid w:val="0"/>
          <w:color w:val="000000"/>
          <w:sz w:val="24"/>
          <w:szCs w:val="24"/>
          <w:lang w:val="en-US" w:eastAsia="en-US" w:bidi="ar-SA"/>
        </w:rPr>
        <w:t>自动化</w:t>
      </w:r>
    </w:p>
    <w:p w14:paraId="6568CFDE">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en-US" w:bidi="ar-SA"/>
        </w:rPr>
      </w:pPr>
      <w:r>
        <w:rPr>
          <w:rFonts w:hint="eastAsia" w:ascii="宋体" w:hAnsi="宋体" w:eastAsia="宋体" w:cs="宋体"/>
          <w:snapToGrid w:val="0"/>
          <w:color w:val="000000"/>
          <w:sz w:val="24"/>
          <w:szCs w:val="24"/>
          <w:lang w:val="en-US" w:eastAsia="en-US" w:bidi="ar-SA"/>
        </w:rPr>
        <w:t>采集纳入范围的试验设备数据，并与委托、样品、任务、操作人员和设备建立对应关系。数据经校验后，自动填入二期系统的数据录入环节。</w:t>
      </w:r>
    </w:p>
    <w:p w14:paraId="6DE899D0">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en-US" w:bidi="ar-SA"/>
        </w:rPr>
      </w:pPr>
      <w:r>
        <w:rPr>
          <w:rFonts w:hint="eastAsia" w:ascii="宋体" w:hAnsi="宋体" w:eastAsia="宋体" w:cs="宋体"/>
          <w:snapToGrid w:val="0"/>
          <w:color w:val="000000"/>
          <w:sz w:val="24"/>
          <w:szCs w:val="24"/>
          <w:lang w:val="en-US" w:eastAsia="en-US" w:bidi="ar-SA"/>
        </w:rPr>
        <w:t>3. 报告</w:t>
      </w:r>
      <w:r>
        <w:rPr>
          <w:rFonts w:hint="eastAsia" w:ascii="宋体" w:hAnsi="宋体" w:cs="宋体"/>
          <w:snapToGrid w:val="0"/>
          <w:color w:val="000000"/>
          <w:sz w:val="24"/>
          <w:szCs w:val="24"/>
          <w:lang w:val="en-US" w:eastAsia="zh-CN" w:bidi="ar-SA"/>
        </w:rPr>
        <w:t>输出</w:t>
      </w:r>
      <w:r>
        <w:rPr>
          <w:rFonts w:hint="eastAsia" w:ascii="宋体" w:hAnsi="宋体" w:eastAsia="宋体" w:cs="宋体"/>
          <w:snapToGrid w:val="0"/>
          <w:color w:val="000000"/>
          <w:sz w:val="24"/>
          <w:szCs w:val="24"/>
          <w:lang w:val="en-US" w:eastAsia="en-US" w:bidi="ar-SA"/>
        </w:rPr>
        <w:t>智能化</w:t>
      </w:r>
    </w:p>
    <w:p w14:paraId="4723CFB5">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en-US" w:bidi="ar-SA"/>
        </w:rPr>
      </w:pPr>
      <w:r>
        <w:rPr>
          <w:rFonts w:hint="eastAsia" w:ascii="宋体" w:hAnsi="宋体" w:eastAsia="宋体" w:cs="宋体"/>
          <w:snapToGrid w:val="0"/>
          <w:color w:val="000000"/>
          <w:sz w:val="24"/>
          <w:szCs w:val="24"/>
          <w:lang w:val="en-US" w:eastAsia="en-US" w:bidi="ar-SA"/>
        </w:rPr>
        <w:t>按照实际报告类型、报告模板、适用规范和审核要求，自动汇集资料、填充数据、执行计算并形成可编辑的报告初稿。报告完成后，可进一步形成报告摘要、问题清单、专业建议和方案对比材料。</w:t>
      </w:r>
    </w:p>
    <w:p w14:paraId="1E561C4B">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default"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en-US" w:bidi="ar-SA"/>
        </w:rPr>
        <w:t>4. 桥梁检测数据</w:t>
      </w:r>
      <w:r>
        <w:rPr>
          <w:rFonts w:hint="eastAsia" w:ascii="宋体" w:hAnsi="宋体" w:cs="宋体"/>
          <w:snapToGrid w:val="0"/>
          <w:color w:val="000000"/>
          <w:sz w:val="24"/>
          <w:szCs w:val="24"/>
          <w:lang w:val="en-US" w:eastAsia="zh-CN" w:bidi="ar-SA"/>
        </w:rPr>
        <w:t>管理高效化</w:t>
      </w:r>
    </w:p>
    <w:p w14:paraId="461D7C38">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en-US" w:bidi="ar-SA"/>
        </w:rPr>
      </w:pPr>
      <w:r>
        <w:rPr>
          <w:rFonts w:hint="eastAsia" w:ascii="宋体" w:hAnsi="宋体" w:eastAsia="宋体" w:cs="宋体"/>
          <w:snapToGrid w:val="0"/>
          <w:color w:val="000000"/>
          <w:sz w:val="24"/>
          <w:szCs w:val="24"/>
          <w:lang w:val="en-US" w:eastAsia="en-US" w:bidi="ar-SA"/>
        </w:rPr>
        <w:t>围绕浦江受托开展的桥梁检测项目，统一维护受检桥梁信息、结构与构件信息、病害记录、检测数据、计算结果、影像资料和历次报告，并为桥梁专项检测报告编制提供数据支撑。</w:t>
      </w:r>
    </w:p>
    <w:p w14:paraId="24A6D669">
      <w:pPr>
        <w:keepNext w:val="0"/>
        <w:keepLines w:val="0"/>
        <w:pageBreakBefore w:val="0"/>
        <w:widowControl/>
        <w:kinsoku w:val="0"/>
        <w:wordWrap/>
        <w:overflowPunct/>
        <w:topLinePunct w:val="0"/>
        <w:autoSpaceDE w:val="0"/>
        <w:autoSpaceDN w:val="0"/>
        <w:bidi w:val="0"/>
        <w:adjustRightInd w:val="0"/>
        <w:snapToGrid w:val="0"/>
        <w:spacing w:after="0" w:line="360" w:lineRule="auto"/>
        <w:ind w:left="0"/>
        <w:jc w:val="left"/>
        <w:textAlignment w:val="baseline"/>
        <w:outlineLvl w:val="1"/>
        <w:rPr>
          <w:rFonts w:hint="default" w:ascii="宋体" w:hAnsi="宋体" w:eastAsia="宋体" w:cs="宋体"/>
          <w:b/>
          <w:snapToGrid w:val="0"/>
          <w:color w:val="000000"/>
          <w:sz w:val="28"/>
          <w:szCs w:val="28"/>
          <w:lang w:val="en-US" w:eastAsia="zh-CN" w:bidi="ar-SA"/>
        </w:rPr>
      </w:pPr>
      <w:bookmarkStart w:id="9" w:name="_Toc1826606436"/>
      <w:r>
        <w:rPr>
          <w:rFonts w:hint="eastAsia" w:ascii="宋体" w:hAnsi="宋体" w:eastAsia="宋体" w:cs="宋体"/>
          <w:b/>
          <w:snapToGrid w:val="0"/>
          <w:color w:val="000000"/>
          <w:sz w:val="28"/>
          <w:szCs w:val="28"/>
          <w:lang w:val="en-US" w:eastAsia="en-US" w:bidi="ar-SA"/>
        </w:rPr>
        <w:t>1.</w:t>
      </w:r>
      <w:r>
        <w:rPr>
          <w:rFonts w:hint="eastAsia" w:ascii="宋体" w:hAnsi="宋体" w:cs="宋体"/>
          <w:b/>
          <w:snapToGrid w:val="0"/>
          <w:color w:val="000000"/>
          <w:sz w:val="28"/>
          <w:szCs w:val="28"/>
          <w:lang w:val="en-US" w:eastAsia="zh-CN" w:bidi="ar-SA"/>
        </w:rPr>
        <w:t>5</w:t>
      </w:r>
      <w:r>
        <w:rPr>
          <w:rFonts w:hint="eastAsia" w:ascii="宋体" w:hAnsi="宋体" w:eastAsia="宋体" w:cs="宋体"/>
          <w:b/>
          <w:snapToGrid w:val="0"/>
          <w:color w:val="000000"/>
          <w:sz w:val="28"/>
          <w:szCs w:val="28"/>
          <w:lang w:val="en-US" w:eastAsia="en-US" w:bidi="ar-SA"/>
        </w:rPr>
        <w:t xml:space="preserve"> </w:t>
      </w:r>
      <w:r>
        <w:rPr>
          <w:rFonts w:hint="eastAsia" w:ascii="宋体" w:hAnsi="宋体" w:cs="宋体"/>
          <w:b/>
          <w:snapToGrid w:val="0"/>
          <w:color w:val="000000"/>
          <w:sz w:val="28"/>
          <w:szCs w:val="28"/>
          <w:lang w:val="en-US" w:eastAsia="zh-CN" w:bidi="ar-SA"/>
        </w:rPr>
        <w:t>项目目标与核心成果</w:t>
      </w:r>
      <w:bookmarkEnd w:id="9"/>
    </w:p>
    <w:tbl>
      <w:tblPr>
        <w:tblStyle w:val="13"/>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701"/>
        <w:gridCol w:w="1631"/>
        <w:gridCol w:w="3846"/>
        <w:gridCol w:w="2367"/>
      </w:tblGrid>
      <w:tr w14:paraId="1C3D8957">
        <w:trPr>
          <w:cantSplit/>
          <w:jc w:val="center"/>
        </w:trPr>
        <w:tc>
          <w:tcPr>
            <w:tcW w:w="0" w:type="auto"/>
            <w:shd w:val="clear" w:color="auto" w:fill="17365D"/>
            <w:tcMar>
              <w:top w:w="100" w:type="dxa"/>
              <w:left w:w="120" w:type="dxa"/>
              <w:bottom w:w="100" w:type="dxa"/>
              <w:right w:w="120" w:type="dxa"/>
            </w:tcMar>
            <w:vAlign w:val="center"/>
          </w:tcPr>
          <w:p w14:paraId="63F9C005">
            <w:pPr>
              <w:spacing w:before="0" w:after="0" w:line="269" w:lineRule="auto"/>
              <w:jc w:val="center"/>
              <w:rPr>
                <w:rFonts w:hint="eastAsia" w:ascii="宋体" w:hAnsi="宋体" w:eastAsia="宋体" w:cs="宋体"/>
                <w:lang w:val="en-US" w:eastAsia="zh-CN"/>
              </w:rPr>
            </w:pPr>
            <w:r>
              <w:rPr>
                <w:rFonts w:hint="eastAsia" w:ascii="宋体" w:hAnsi="宋体" w:cs="宋体"/>
                <w:lang w:val="en-US" w:eastAsia="zh-CN"/>
              </w:rPr>
              <w:t>目标方向</w:t>
            </w:r>
          </w:p>
        </w:tc>
        <w:tc>
          <w:tcPr>
            <w:tcW w:w="0" w:type="auto"/>
            <w:shd w:val="clear" w:color="auto" w:fill="17365D"/>
            <w:tcMar>
              <w:top w:w="100" w:type="dxa"/>
              <w:left w:w="120" w:type="dxa"/>
              <w:bottom w:w="100" w:type="dxa"/>
              <w:right w:w="120" w:type="dxa"/>
            </w:tcMar>
            <w:vAlign w:val="center"/>
          </w:tcPr>
          <w:p w14:paraId="1B754D57">
            <w:pPr>
              <w:spacing w:before="0" w:after="0" w:line="269" w:lineRule="auto"/>
              <w:jc w:val="center"/>
              <w:rPr>
                <w:rFonts w:hint="default" w:ascii="宋体" w:hAnsi="宋体" w:eastAsia="宋体" w:cs="宋体"/>
                <w:lang w:val="en-US" w:eastAsia="zh-CN"/>
              </w:rPr>
            </w:pPr>
            <w:r>
              <w:rPr>
                <w:rFonts w:hint="eastAsia" w:ascii="宋体" w:hAnsi="宋体" w:cs="宋体"/>
                <w:lang w:val="en-US" w:eastAsia="zh-CN"/>
              </w:rPr>
              <w:t>建设成果/交付物</w:t>
            </w:r>
          </w:p>
        </w:tc>
        <w:tc>
          <w:tcPr>
            <w:tcW w:w="0" w:type="auto"/>
            <w:shd w:val="clear" w:color="auto" w:fill="17365D"/>
            <w:tcMar>
              <w:top w:w="100" w:type="dxa"/>
              <w:left w:w="120" w:type="dxa"/>
              <w:bottom w:w="100" w:type="dxa"/>
              <w:right w:w="120" w:type="dxa"/>
            </w:tcMar>
            <w:vAlign w:val="center"/>
          </w:tcPr>
          <w:p w14:paraId="4131FD13">
            <w:pPr>
              <w:spacing w:before="0" w:after="0" w:line="269" w:lineRule="auto"/>
              <w:jc w:val="center"/>
              <w:rPr>
                <w:rFonts w:hint="default" w:ascii="宋体" w:hAnsi="宋体" w:cs="宋体"/>
                <w:lang w:val="en-US" w:eastAsia="zh-CN"/>
              </w:rPr>
            </w:pPr>
            <w:r>
              <w:rPr>
                <w:rFonts w:hint="eastAsia" w:ascii="宋体" w:hAnsi="宋体" w:cs="宋体"/>
                <w:lang w:val="en-US" w:eastAsia="zh-CN"/>
              </w:rPr>
              <w:t>工作内容</w:t>
            </w:r>
          </w:p>
        </w:tc>
        <w:tc>
          <w:tcPr>
            <w:tcW w:w="0" w:type="auto"/>
            <w:shd w:val="clear" w:color="auto" w:fill="17365D"/>
            <w:tcMar>
              <w:top w:w="100" w:type="dxa"/>
              <w:left w:w="120" w:type="dxa"/>
              <w:bottom w:w="100" w:type="dxa"/>
              <w:right w:w="120" w:type="dxa"/>
            </w:tcMar>
            <w:vAlign w:val="center"/>
          </w:tcPr>
          <w:p w14:paraId="42C2B273">
            <w:pPr>
              <w:spacing w:before="0" w:after="0" w:line="269" w:lineRule="auto"/>
              <w:jc w:val="center"/>
              <w:rPr>
                <w:rFonts w:hint="default" w:ascii="宋体" w:hAnsi="宋体" w:eastAsia="宋体" w:cs="宋体"/>
                <w:lang w:val="en-US" w:eastAsia="zh-CN"/>
              </w:rPr>
            </w:pPr>
            <w:r>
              <w:rPr>
                <w:rFonts w:hint="eastAsia" w:ascii="宋体" w:hAnsi="宋体" w:cs="宋体"/>
                <w:b/>
                <w:color w:val="FFFFFF"/>
                <w:sz w:val="18"/>
                <w:lang w:val="en-US" w:eastAsia="zh-CN"/>
              </w:rPr>
              <w:t>预期业务成效</w:t>
            </w:r>
          </w:p>
        </w:tc>
      </w:tr>
      <w:tr w14:paraId="24338800">
        <w:trPr>
          <w:cantSplit/>
          <w:trHeight w:val="587" w:hRule="atLeast"/>
          <w:jc w:val="center"/>
        </w:trPr>
        <w:tc>
          <w:tcPr>
            <w:tcW w:w="0" w:type="auto"/>
            <w:tcMar>
              <w:top w:w="100" w:type="dxa"/>
              <w:left w:w="120" w:type="dxa"/>
              <w:bottom w:w="100" w:type="dxa"/>
              <w:right w:w="120" w:type="dxa"/>
            </w:tcMar>
            <w:vAlign w:val="center"/>
          </w:tcPr>
          <w:p w14:paraId="0481157C">
            <w:pPr>
              <w:spacing w:before="0" w:after="0" w:line="269" w:lineRule="auto"/>
              <w:jc w:val="left"/>
              <w:rPr>
                <w:rFonts w:hint="eastAsia" w:ascii="宋体" w:hAnsi="宋体" w:eastAsia="宋体" w:cs="宋体"/>
                <w:color w:val="000000"/>
                <w:sz w:val="18"/>
                <w:lang w:val="en-US" w:eastAsia="zh-CN"/>
              </w:rPr>
            </w:pPr>
            <w:r>
              <w:rPr>
                <w:rFonts w:hint="eastAsia" w:ascii="宋体" w:hAnsi="宋体" w:eastAsia="宋体" w:cs="宋体"/>
                <w:color w:val="000000"/>
                <w:sz w:val="18"/>
                <w:lang w:val="en-US" w:eastAsia="zh-CN"/>
              </w:rPr>
              <w:t>拓展委托入口</w:t>
            </w:r>
          </w:p>
        </w:tc>
        <w:tc>
          <w:tcPr>
            <w:tcW w:w="0" w:type="auto"/>
            <w:tcMar>
              <w:top w:w="100" w:type="dxa"/>
              <w:left w:w="120" w:type="dxa"/>
              <w:bottom w:w="100" w:type="dxa"/>
              <w:right w:w="120" w:type="dxa"/>
            </w:tcMar>
            <w:vAlign w:val="center"/>
          </w:tcPr>
          <w:p w14:paraId="2BC40806">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委托登记小程序</w:t>
            </w:r>
          </w:p>
        </w:tc>
        <w:tc>
          <w:tcPr>
            <w:tcW w:w="0" w:type="auto"/>
            <w:tcMar>
              <w:top w:w="100" w:type="dxa"/>
              <w:left w:w="120" w:type="dxa"/>
              <w:bottom w:w="100" w:type="dxa"/>
              <w:right w:w="120" w:type="dxa"/>
            </w:tcMar>
            <w:vAlign w:val="center"/>
          </w:tcPr>
          <w:p w14:paraId="2517861F">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委托申请、资料提交、申请查询、信息补充、受理反馈及与二期系统的数据联通</w:t>
            </w:r>
          </w:p>
        </w:tc>
        <w:tc>
          <w:tcPr>
            <w:tcW w:w="0" w:type="auto"/>
            <w:tcMar>
              <w:top w:w="100" w:type="dxa"/>
              <w:left w:w="120" w:type="dxa"/>
              <w:bottom w:w="100" w:type="dxa"/>
              <w:right w:w="120" w:type="dxa"/>
            </w:tcMar>
            <w:vAlign w:val="center"/>
          </w:tcPr>
          <w:p w14:paraId="77759D2F">
            <w:pPr>
              <w:spacing w:before="0" w:after="0" w:line="269" w:lineRule="auto"/>
              <w:jc w:val="left"/>
              <w:rPr>
                <w:rFonts w:hint="default" w:ascii="宋体" w:hAnsi="宋体" w:eastAsia="宋体" w:cs="宋体"/>
                <w:color w:val="000000"/>
                <w:sz w:val="18"/>
                <w:lang w:val="en-US" w:eastAsia="zh-CN"/>
              </w:rPr>
            </w:pPr>
            <w:r>
              <w:rPr>
                <w:rFonts w:hint="eastAsia" w:ascii="宋体" w:hAnsi="宋体" w:eastAsia="宋体" w:cs="宋体"/>
                <w:color w:val="000000"/>
                <w:sz w:val="18"/>
                <w:lang w:val="en-US" w:eastAsia="zh-CN"/>
              </w:rPr>
              <w:t>委托人可远程发起申请，登记人员可在线受理申请并形成正式任务</w:t>
            </w:r>
          </w:p>
        </w:tc>
      </w:tr>
      <w:tr w14:paraId="46F8A092">
        <w:trPr>
          <w:cantSplit/>
          <w:jc w:val="center"/>
        </w:trPr>
        <w:tc>
          <w:tcPr>
            <w:tcW w:w="0" w:type="auto"/>
            <w:shd w:val="clear" w:color="auto" w:fill="F5F9FC"/>
            <w:tcMar>
              <w:top w:w="100" w:type="dxa"/>
              <w:left w:w="120" w:type="dxa"/>
              <w:bottom w:w="100" w:type="dxa"/>
              <w:right w:w="120" w:type="dxa"/>
            </w:tcMar>
            <w:vAlign w:val="center"/>
          </w:tcPr>
          <w:p w14:paraId="09CFBEB1">
            <w:pPr>
              <w:spacing w:before="0" w:after="0" w:line="269" w:lineRule="auto"/>
              <w:jc w:val="left"/>
              <w:rPr>
                <w:rFonts w:hint="default" w:ascii="宋体" w:hAnsi="宋体" w:eastAsia="宋体" w:cs="宋体"/>
                <w:color w:val="000000"/>
                <w:sz w:val="18"/>
                <w:lang w:val="en-US" w:eastAsia="zh-CN"/>
              </w:rPr>
            </w:pPr>
            <w:r>
              <w:rPr>
                <w:rFonts w:hint="eastAsia" w:ascii="宋体" w:hAnsi="宋体" w:eastAsia="宋体" w:cs="宋体"/>
                <w:color w:val="000000"/>
                <w:sz w:val="18"/>
                <w:lang w:val="en-US" w:eastAsia="zh-CN"/>
              </w:rPr>
              <w:t>贯通设备数据</w:t>
            </w:r>
          </w:p>
        </w:tc>
        <w:tc>
          <w:tcPr>
            <w:tcW w:w="0" w:type="auto"/>
            <w:shd w:val="clear" w:color="auto" w:fill="F5F9FC"/>
            <w:tcMar>
              <w:top w:w="100" w:type="dxa"/>
              <w:left w:w="120" w:type="dxa"/>
              <w:bottom w:w="100" w:type="dxa"/>
              <w:right w:w="120" w:type="dxa"/>
            </w:tcMar>
            <w:vAlign w:val="center"/>
          </w:tcPr>
          <w:p w14:paraId="2E3D6B06">
            <w:pPr>
              <w:spacing w:before="0" w:after="0" w:line="269" w:lineRule="auto"/>
              <w:jc w:val="left"/>
              <w:rPr>
                <w:rFonts w:hint="default" w:ascii="宋体" w:hAnsi="宋体" w:eastAsia="宋体" w:cs="宋体"/>
                <w:color w:val="000000"/>
                <w:sz w:val="18"/>
                <w:lang w:val="en-US" w:eastAsia="zh-CN"/>
              </w:rPr>
            </w:pPr>
            <w:r>
              <w:rPr>
                <w:rFonts w:hint="eastAsia" w:ascii="宋体" w:hAnsi="宋体" w:eastAsia="宋体" w:cs="宋体"/>
                <w:color w:val="000000"/>
                <w:sz w:val="18"/>
              </w:rPr>
              <w:t>试验设备数据采集</w:t>
            </w:r>
            <w:r>
              <w:rPr>
                <w:rFonts w:hint="eastAsia" w:ascii="宋体" w:hAnsi="宋体" w:eastAsia="宋体" w:cs="宋体"/>
                <w:color w:val="000000"/>
                <w:sz w:val="18"/>
                <w:lang w:eastAsia="zh-CN"/>
              </w:rPr>
              <w:t>、</w:t>
            </w:r>
            <w:r>
              <w:rPr>
                <w:rFonts w:hint="eastAsia" w:ascii="宋体" w:hAnsi="宋体" w:eastAsia="宋体" w:cs="宋体"/>
                <w:color w:val="000000"/>
                <w:sz w:val="18"/>
                <w:lang w:val="en-US" w:eastAsia="zh-CN"/>
              </w:rPr>
              <w:t>管理、填充功能（在二期任务系统基础上增加）</w:t>
            </w:r>
          </w:p>
        </w:tc>
        <w:tc>
          <w:tcPr>
            <w:tcW w:w="0" w:type="auto"/>
            <w:shd w:val="clear" w:color="auto" w:fill="F5F9FC"/>
            <w:tcMar>
              <w:top w:w="100" w:type="dxa"/>
              <w:left w:w="120" w:type="dxa"/>
              <w:bottom w:w="100" w:type="dxa"/>
              <w:right w:w="120" w:type="dxa"/>
            </w:tcMar>
            <w:vAlign w:val="center"/>
          </w:tcPr>
          <w:p w14:paraId="6ADF11BF">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设备盘点、接入适配、数据抓取或导入、任务关联、数据转换校验、</w:t>
            </w:r>
            <w:r>
              <w:rPr>
                <w:rFonts w:hint="eastAsia" w:ascii="宋体" w:hAnsi="宋体" w:eastAsia="宋体" w:cs="宋体"/>
                <w:color w:val="000000"/>
                <w:sz w:val="18"/>
                <w:lang w:val="en-US" w:eastAsia="zh-CN"/>
              </w:rPr>
              <w:t>数据管理、</w:t>
            </w:r>
            <w:r>
              <w:rPr>
                <w:rFonts w:hint="eastAsia" w:ascii="宋体" w:hAnsi="宋体" w:eastAsia="宋体" w:cs="宋体"/>
                <w:color w:val="000000"/>
                <w:sz w:val="18"/>
              </w:rPr>
              <w:t>自动回填</w:t>
            </w:r>
          </w:p>
        </w:tc>
        <w:tc>
          <w:tcPr>
            <w:tcW w:w="0" w:type="auto"/>
            <w:shd w:val="clear" w:color="auto" w:fill="F5F9FC"/>
            <w:tcMar>
              <w:top w:w="100" w:type="dxa"/>
              <w:left w:w="120" w:type="dxa"/>
              <w:bottom w:w="100" w:type="dxa"/>
              <w:right w:w="120" w:type="dxa"/>
            </w:tcMar>
            <w:vAlign w:val="center"/>
          </w:tcPr>
          <w:p w14:paraId="13323E5F">
            <w:pPr>
              <w:spacing w:before="0" w:after="0" w:line="269" w:lineRule="auto"/>
              <w:jc w:val="left"/>
              <w:rPr>
                <w:rFonts w:hint="default" w:ascii="宋体" w:hAnsi="宋体" w:eastAsia="宋体" w:cs="宋体"/>
                <w:color w:val="000000"/>
                <w:sz w:val="18"/>
                <w:lang w:val="en-US" w:eastAsia="zh-CN"/>
              </w:rPr>
            </w:pPr>
            <w:r>
              <w:rPr>
                <w:rFonts w:hint="eastAsia" w:ascii="宋体" w:hAnsi="宋体" w:eastAsia="宋体" w:cs="宋体"/>
                <w:color w:val="000000"/>
                <w:sz w:val="18"/>
                <w:lang w:val="en-US" w:eastAsia="zh-CN"/>
              </w:rPr>
              <w:t>减少纸质转抄和二次录入，使试验数据能够追溯至对应设备、任务和操作过程，提高“检测-录入”的效率</w:t>
            </w:r>
          </w:p>
        </w:tc>
      </w:tr>
      <w:tr w14:paraId="556A7295">
        <w:trPr>
          <w:cantSplit/>
          <w:jc w:val="center"/>
        </w:trPr>
        <w:tc>
          <w:tcPr>
            <w:tcW w:w="0" w:type="auto"/>
            <w:tcMar>
              <w:top w:w="100" w:type="dxa"/>
              <w:left w:w="120" w:type="dxa"/>
              <w:bottom w:w="100" w:type="dxa"/>
              <w:right w:w="120" w:type="dxa"/>
            </w:tcMar>
            <w:vAlign w:val="center"/>
          </w:tcPr>
          <w:p w14:paraId="0342B9CA">
            <w:pPr>
              <w:spacing w:before="0" w:after="0" w:line="269" w:lineRule="auto"/>
              <w:jc w:val="left"/>
              <w:rPr>
                <w:rFonts w:hint="default" w:ascii="宋体" w:hAnsi="宋体" w:eastAsia="宋体" w:cs="宋体"/>
                <w:color w:val="000000"/>
                <w:sz w:val="18"/>
                <w:lang w:val="en-US" w:eastAsia="zh-CN"/>
              </w:rPr>
            </w:pPr>
            <w:r>
              <w:rPr>
                <w:rFonts w:hint="eastAsia" w:ascii="宋体" w:hAnsi="宋体" w:eastAsia="宋体" w:cs="宋体"/>
                <w:color w:val="000000"/>
                <w:sz w:val="18"/>
                <w:lang w:val="en-US" w:eastAsia="zh-CN"/>
              </w:rPr>
              <w:t>优化报告生产</w:t>
            </w:r>
          </w:p>
        </w:tc>
        <w:tc>
          <w:tcPr>
            <w:tcW w:w="0" w:type="auto"/>
            <w:tcMar>
              <w:top w:w="100" w:type="dxa"/>
              <w:left w:w="120" w:type="dxa"/>
              <w:bottom w:w="100" w:type="dxa"/>
              <w:right w:w="120" w:type="dxa"/>
            </w:tcMar>
            <w:vAlign w:val="center"/>
          </w:tcPr>
          <w:p w14:paraId="3136FCA2">
            <w:pPr>
              <w:spacing w:before="0" w:after="0" w:line="269" w:lineRule="auto"/>
              <w:jc w:val="left"/>
              <w:rPr>
                <w:rFonts w:hint="default" w:ascii="宋体" w:hAnsi="宋体" w:eastAsia="宋体" w:cs="宋体"/>
                <w:color w:val="000000"/>
                <w:sz w:val="18"/>
                <w:lang w:val="en-US" w:eastAsia="zh-CN"/>
              </w:rPr>
            </w:pPr>
            <w:r>
              <w:rPr>
                <w:rFonts w:hint="eastAsia" w:ascii="宋体" w:hAnsi="宋体" w:eastAsia="宋体" w:cs="宋体"/>
                <w:color w:val="000000"/>
                <w:sz w:val="18"/>
              </w:rPr>
              <w:t>报告生成与分析智能体</w:t>
            </w:r>
          </w:p>
        </w:tc>
        <w:tc>
          <w:tcPr>
            <w:tcW w:w="0" w:type="auto"/>
            <w:tcMar>
              <w:top w:w="100" w:type="dxa"/>
              <w:left w:w="120" w:type="dxa"/>
              <w:bottom w:w="100" w:type="dxa"/>
              <w:right w:w="120" w:type="dxa"/>
            </w:tcMar>
            <w:vAlign w:val="center"/>
          </w:tcPr>
          <w:p w14:paraId="3DFDF0F5">
            <w:pPr>
              <w:spacing w:before="0" w:after="0" w:line="269" w:lineRule="auto"/>
              <w:jc w:val="left"/>
              <w:rPr>
                <w:rFonts w:hint="default" w:ascii="宋体" w:hAnsi="宋体" w:eastAsia="宋体" w:cs="宋体"/>
                <w:color w:val="000000"/>
                <w:sz w:val="18"/>
                <w:lang w:val="en-US" w:eastAsia="zh-CN"/>
              </w:rPr>
            </w:pPr>
            <w:r>
              <w:rPr>
                <w:rFonts w:hint="eastAsia" w:ascii="宋体" w:hAnsi="宋体" w:eastAsia="宋体" w:cs="宋体"/>
                <w:color w:val="000000"/>
                <w:sz w:val="18"/>
              </w:rPr>
              <w:t>报告梳理</w:t>
            </w:r>
            <w:r>
              <w:rPr>
                <w:rFonts w:hint="eastAsia" w:ascii="宋体" w:hAnsi="宋体" w:eastAsia="宋体" w:cs="宋体"/>
                <w:color w:val="000000"/>
                <w:sz w:val="18"/>
                <w:lang w:val="en-US" w:eastAsia="zh-CN"/>
              </w:rPr>
              <w:t>和</w:t>
            </w:r>
            <w:r>
              <w:rPr>
                <w:rFonts w:hint="eastAsia" w:ascii="宋体" w:hAnsi="宋体" w:eastAsia="宋体" w:cs="宋体"/>
                <w:color w:val="000000"/>
                <w:sz w:val="18"/>
              </w:rPr>
              <w:t>模板配置</w:t>
            </w:r>
            <w:r>
              <w:rPr>
                <w:rFonts w:hint="eastAsia" w:ascii="宋体" w:hAnsi="宋体" w:eastAsia="宋体" w:cs="宋体"/>
                <w:color w:val="000000"/>
                <w:sz w:val="18"/>
                <w:lang w:eastAsia="zh-CN"/>
              </w:rPr>
              <w:t>（</w:t>
            </w:r>
            <w:r>
              <w:rPr>
                <w:rFonts w:hint="eastAsia" w:ascii="宋体" w:hAnsi="宋体" w:eastAsia="宋体" w:cs="宋体"/>
                <w:color w:val="000000"/>
                <w:sz w:val="18"/>
                <w:lang w:val="en-US" w:eastAsia="zh-CN"/>
              </w:rPr>
              <w:t>如配合比报告、桥检报告、管道检测报告等</w:t>
            </w:r>
            <w:r>
              <w:rPr>
                <w:rFonts w:hint="eastAsia" w:ascii="宋体" w:hAnsi="宋体" w:eastAsia="宋体" w:cs="宋体"/>
                <w:color w:val="000000"/>
                <w:sz w:val="18"/>
                <w:lang w:eastAsia="zh-CN"/>
              </w:rPr>
              <w:t>）</w:t>
            </w:r>
            <w:r>
              <w:rPr>
                <w:rFonts w:hint="eastAsia" w:ascii="宋体" w:hAnsi="宋体" w:eastAsia="宋体" w:cs="宋体"/>
                <w:color w:val="000000"/>
                <w:sz w:val="18"/>
              </w:rPr>
              <w:t>、</w:t>
            </w:r>
            <w:r>
              <w:rPr>
                <w:rFonts w:hint="eastAsia" w:ascii="宋体" w:hAnsi="宋体" w:eastAsia="宋体" w:cs="宋体"/>
                <w:color w:val="000000"/>
                <w:sz w:val="18"/>
                <w:lang w:val="en-US" w:eastAsia="zh-CN"/>
              </w:rPr>
              <w:t>规范梳理补充</w:t>
            </w:r>
            <w:r>
              <w:rPr>
                <w:rFonts w:hint="eastAsia" w:ascii="宋体" w:hAnsi="宋体" w:eastAsia="宋体" w:cs="宋体"/>
                <w:color w:val="000000"/>
                <w:sz w:val="18"/>
              </w:rPr>
              <w:t>、</w:t>
            </w:r>
            <w:r>
              <w:rPr>
                <w:rFonts w:hint="eastAsia" w:ascii="宋体" w:hAnsi="宋体" w:eastAsia="宋体" w:cs="宋体"/>
                <w:color w:val="000000"/>
                <w:sz w:val="18"/>
                <w:lang w:val="en-US" w:eastAsia="zh-CN"/>
              </w:rPr>
              <w:t>梳理评定标准计算公式、</w:t>
            </w:r>
            <w:r>
              <w:rPr>
                <w:rFonts w:hint="eastAsia" w:ascii="宋体" w:hAnsi="宋体" w:eastAsia="宋体" w:cs="宋体"/>
                <w:color w:val="000000"/>
                <w:sz w:val="18"/>
              </w:rPr>
              <w:t>数据</w:t>
            </w:r>
            <w:r>
              <w:rPr>
                <w:rFonts w:hint="eastAsia" w:ascii="宋体" w:hAnsi="宋体" w:eastAsia="宋体" w:cs="宋体"/>
                <w:color w:val="000000"/>
                <w:sz w:val="18"/>
                <w:lang w:val="en-US" w:eastAsia="zh-CN"/>
              </w:rPr>
              <w:t>调用/填充链路开发</w:t>
            </w:r>
            <w:r>
              <w:rPr>
                <w:rFonts w:hint="eastAsia" w:ascii="宋体" w:hAnsi="宋体" w:eastAsia="宋体" w:cs="宋体"/>
                <w:color w:val="000000"/>
                <w:sz w:val="18"/>
              </w:rPr>
              <w:t>、</w:t>
            </w:r>
            <w:r>
              <w:rPr>
                <w:rFonts w:hint="eastAsia" w:ascii="宋体" w:hAnsi="宋体" w:eastAsia="宋体" w:cs="宋体"/>
                <w:color w:val="000000"/>
                <w:sz w:val="18"/>
                <w:lang w:val="en-US" w:eastAsia="zh-CN"/>
              </w:rPr>
              <w:t>模型增量训练（用于智能生成报告结论、技术建议等内容）</w:t>
            </w:r>
          </w:p>
        </w:tc>
        <w:tc>
          <w:tcPr>
            <w:tcW w:w="0" w:type="auto"/>
            <w:tcMar>
              <w:top w:w="100" w:type="dxa"/>
              <w:left w:w="120" w:type="dxa"/>
              <w:bottom w:w="100" w:type="dxa"/>
              <w:right w:w="120" w:type="dxa"/>
            </w:tcMar>
            <w:vAlign w:val="center"/>
          </w:tcPr>
          <w:p w14:paraId="45FC89DB">
            <w:pPr>
              <w:spacing w:before="0" w:after="0" w:line="269" w:lineRule="auto"/>
              <w:jc w:val="left"/>
              <w:rPr>
                <w:rFonts w:hint="default" w:ascii="宋体" w:hAnsi="宋体" w:eastAsia="宋体" w:cs="宋体"/>
                <w:color w:val="000000"/>
                <w:sz w:val="18"/>
                <w:lang w:val="en-US" w:eastAsia="zh-CN"/>
              </w:rPr>
            </w:pPr>
            <w:r>
              <w:rPr>
                <w:rFonts w:hint="eastAsia" w:ascii="宋体" w:hAnsi="宋体" w:eastAsia="宋体" w:cs="宋体"/>
                <w:color w:val="000000"/>
                <w:sz w:val="18"/>
                <w:lang w:val="en-US" w:eastAsia="zh-CN"/>
              </w:rPr>
              <w:t>基于真实资料形成可编辑的报告初稿，再由编制和审核人员完成复核定稿，缩短报告编制周期，辅助提供结论参考</w:t>
            </w:r>
          </w:p>
        </w:tc>
      </w:tr>
      <w:tr w14:paraId="7E231515">
        <w:trPr>
          <w:cantSplit/>
          <w:jc w:val="center"/>
        </w:trPr>
        <w:tc>
          <w:tcPr>
            <w:tcW w:w="0" w:type="auto"/>
            <w:shd w:val="clear" w:color="auto" w:fill="F5F9FC"/>
            <w:tcMar>
              <w:top w:w="100" w:type="dxa"/>
              <w:left w:w="120" w:type="dxa"/>
              <w:bottom w:w="100" w:type="dxa"/>
              <w:right w:w="120" w:type="dxa"/>
            </w:tcMar>
            <w:vAlign w:val="center"/>
          </w:tcPr>
          <w:p w14:paraId="0EF875A2">
            <w:pPr>
              <w:spacing w:before="0" w:after="0" w:line="269" w:lineRule="auto"/>
              <w:jc w:val="left"/>
              <w:rPr>
                <w:rFonts w:hint="default" w:ascii="宋体" w:hAnsi="宋体" w:eastAsia="宋体" w:cs="宋体"/>
                <w:color w:val="000000"/>
                <w:sz w:val="18"/>
                <w:lang w:val="en-US" w:eastAsia="zh-CN"/>
              </w:rPr>
            </w:pPr>
            <w:r>
              <w:rPr>
                <w:rFonts w:hint="eastAsia" w:ascii="宋体" w:hAnsi="宋体" w:eastAsia="宋体" w:cs="宋体"/>
                <w:color w:val="000000"/>
                <w:sz w:val="18"/>
                <w:lang w:val="en-US" w:eastAsia="zh-CN"/>
              </w:rPr>
              <w:t>沉淀桥梁检测数据</w:t>
            </w:r>
          </w:p>
        </w:tc>
        <w:tc>
          <w:tcPr>
            <w:tcW w:w="0" w:type="auto"/>
            <w:shd w:val="clear" w:color="auto" w:fill="F5F9FC"/>
            <w:tcMar>
              <w:top w:w="100" w:type="dxa"/>
              <w:left w:w="120" w:type="dxa"/>
              <w:bottom w:w="100" w:type="dxa"/>
              <w:right w:w="120" w:type="dxa"/>
            </w:tcMar>
            <w:vAlign w:val="center"/>
          </w:tcPr>
          <w:p w14:paraId="798DE67F">
            <w:pPr>
              <w:spacing w:before="0" w:after="0" w:line="269" w:lineRule="auto"/>
              <w:jc w:val="left"/>
              <w:rPr>
                <w:rFonts w:hint="default" w:ascii="宋体" w:hAnsi="宋体" w:eastAsia="宋体" w:cs="宋体"/>
                <w:color w:val="000000"/>
                <w:sz w:val="18"/>
                <w:lang w:val="en-US" w:eastAsia="zh-CN"/>
              </w:rPr>
            </w:pPr>
            <w:r>
              <w:rPr>
                <w:rFonts w:hint="eastAsia" w:ascii="宋体" w:hAnsi="宋体" w:eastAsia="宋体" w:cs="宋体"/>
                <w:color w:val="000000"/>
                <w:sz w:val="18"/>
              </w:rPr>
              <w:t>桥梁检测数据管理系统</w:t>
            </w:r>
          </w:p>
        </w:tc>
        <w:tc>
          <w:tcPr>
            <w:tcW w:w="0" w:type="auto"/>
            <w:shd w:val="clear" w:color="auto" w:fill="F5F9FC"/>
            <w:tcMar>
              <w:top w:w="100" w:type="dxa"/>
              <w:left w:w="120" w:type="dxa"/>
              <w:bottom w:w="100" w:type="dxa"/>
              <w:right w:w="120" w:type="dxa"/>
            </w:tcMar>
            <w:vAlign w:val="center"/>
          </w:tcPr>
          <w:p w14:paraId="246E18B2">
            <w:pPr>
              <w:spacing w:before="0" w:after="0" w:line="269" w:lineRule="auto"/>
              <w:jc w:val="left"/>
              <w:rPr>
                <w:rFonts w:hint="default" w:ascii="宋体" w:hAnsi="宋体" w:eastAsia="宋体" w:cs="宋体"/>
                <w:color w:val="000000"/>
                <w:sz w:val="18"/>
                <w:lang w:val="en-US" w:eastAsia="zh-CN"/>
              </w:rPr>
            </w:pPr>
            <w:r>
              <w:rPr>
                <w:rFonts w:hint="eastAsia" w:ascii="宋体" w:hAnsi="宋体" w:eastAsia="宋体" w:cs="宋体"/>
                <w:color w:val="000000"/>
                <w:sz w:val="18"/>
                <w:lang w:val="en-US" w:eastAsia="zh-CN"/>
              </w:rPr>
              <w:t>梳理</w:t>
            </w:r>
            <w:r>
              <w:rPr>
                <w:rFonts w:hint="eastAsia" w:ascii="宋体" w:hAnsi="宋体" w:eastAsia="宋体" w:cs="宋体"/>
                <w:color w:val="000000"/>
                <w:sz w:val="18"/>
              </w:rPr>
              <w:t>受检桥梁信息、构件信息、检测项目、病害记录、检测数据、影像资料、规范计算、历史成果和报告衔接</w:t>
            </w:r>
            <w:r>
              <w:rPr>
                <w:rFonts w:hint="eastAsia" w:ascii="宋体" w:hAnsi="宋体" w:eastAsia="宋体" w:cs="宋体"/>
                <w:color w:val="000000"/>
                <w:sz w:val="18"/>
                <w:lang w:val="en-US" w:eastAsia="zh-CN"/>
              </w:rPr>
              <w:t>等数据；搭建部署数据管理系统；</w:t>
            </w:r>
          </w:p>
        </w:tc>
        <w:tc>
          <w:tcPr>
            <w:tcW w:w="0" w:type="auto"/>
            <w:shd w:val="clear" w:color="auto" w:fill="F5F9FC"/>
            <w:tcMar>
              <w:top w:w="100" w:type="dxa"/>
              <w:left w:w="120" w:type="dxa"/>
              <w:bottom w:w="100" w:type="dxa"/>
              <w:right w:w="120" w:type="dxa"/>
            </w:tcMar>
            <w:vAlign w:val="center"/>
          </w:tcPr>
          <w:p w14:paraId="214E8635">
            <w:pPr>
              <w:spacing w:before="0" w:after="0" w:line="269" w:lineRule="auto"/>
              <w:jc w:val="left"/>
              <w:rPr>
                <w:rFonts w:hint="default" w:ascii="宋体" w:hAnsi="宋体" w:eastAsia="宋体" w:cs="宋体"/>
                <w:color w:val="000000"/>
                <w:sz w:val="18"/>
                <w:lang w:val="en-US" w:eastAsia="zh-CN"/>
              </w:rPr>
            </w:pPr>
            <w:r>
              <w:rPr>
                <w:rFonts w:hint="eastAsia" w:ascii="宋体" w:hAnsi="宋体" w:eastAsia="宋体" w:cs="宋体"/>
                <w:color w:val="000000"/>
                <w:sz w:val="18"/>
                <w:lang w:val="en-US" w:eastAsia="zh-CN"/>
              </w:rPr>
              <w:t>受检桥梁基础资料、病害记录、计算结果和报告成果能够按照桥梁及检测项目连续保存和复用</w:t>
            </w:r>
          </w:p>
        </w:tc>
      </w:tr>
    </w:tbl>
    <w:p w14:paraId="5E02711F">
      <w:pPr>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ascii="宋体" w:hAnsi="宋体" w:eastAsia="宋体" w:cs="宋体"/>
        </w:rPr>
      </w:pPr>
    </w:p>
    <w:p w14:paraId="5FED27BE">
      <w:pPr>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ascii="宋体" w:hAnsi="宋体" w:eastAsia="宋体" w:cs="宋体"/>
        </w:rPr>
      </w:pPr>
      <w:r>
        <w:drawing>
          <wp:inline distT="0" distB="0" distL="114300" distR="114300">
            <wp:extent cx="5267325" cy="2081530"/>
            <wp:effectExtent l="0" t="0" r="15875" b="1270"/>
            <wp:docPr id="65"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2"/>
                    <pic:cNvPicPr>
                      <a:picLocks noChangeAspect="1"/>
                    </pic:cNvPicPr>
                  </pic:nvPicPr>
                  <pic:blipFill>
                    <a:blip r:embed="rId7"/>
                    <a:stretch>
                      <a:fillRect/>
                    </a:stretch>
                  </pic:blipFill>
                  <pic:spPr>
                    <a:xfrm>
                      <a:off x="0" y="0"/>
                      <a:ext cx="5267325" cy="2081530"/>
                    </a:xfrm>
                    <a:prstGeom prst="rect">
                      <a:avLst/>
                    </a:prstGeom>
                    <a:noFill/>
                    <a:ln>
                      <a:noFill/>
                    </a:ln>
                  </pic:spPr>
                </pic:pic>
              </a:graphicData>
            </a:graphic>
          </wp:inline>
        </w:drawing>
      </w:r>
      <w:r>
        <w:rPr>
          <w:rFonts w:hint="eastAsia" w:ascii="宋体" w:hAnsi="宋体" w:eastAsia="宋体" w:cs="宋体"/>
        </w:rPr>
        <w:br w:type="page"/>
      </w:r>
    </w:p>
    <w:p w14:paraId="263AB2E0">
      <w:pPr>
        <w:keepNext w:val="0"/>
        <w:keepLines w:val="0"/>
        <w:pageBreakBefore w:val="0"/>
        <w:widowControl/>
        <w:kinsoku w:val="0"/>
        <w:wordWrap/>
        <w:overflowPunct/>
        <w:topLinePunct w:val="0"/>
        <w:autoSpaceDE w:val="0"/>
        <w:autoSpaceDN w:val="0"/>
        <w:bidi w:val="0"/>
        <w:adjustRightInd w:val="0"/>
        <w:snapToGrid w:val="0"/>
        <w:spacing w:after="0" w:line="360" w:lineRule="auto"/>
        <w:ind w:left="0"/>
        <w:jc w:val="left"/>
        <w:textAlignment w:val="baseline"/>
        <w:outlineLvl w:val="0"/>
        <w:rPr>
          <w:rFonts w:hint="default" w:ascii="宋体" w:hAnsi="宋体" w:eastAsia="宋体" w:cs="宋体"/>
          <w:b/>
          <w:snapToGrid w:val="0"/>
          <w:color w:val="000000"/>
          <w:sz w:val="28"/>
          <w:szCs w:val="28"/>
          <w:lang w:val="en-US" w:eastAsia="zh-CN" w:bidi="ar-SA"/>
        </w:rPr>
      </w:pPr>
      <w:bookmarkStart w:id="10" w:name="_Toc1495635987"/>
      <w:r>
        <w:rPr>
          <w:rFonts w:hint="eastAsia" w:ascii="宋体" w:hAnsi="宋体" w:cs="宋体"/>
          <w:b/>
          <w:snapToGrid w:val="0"/>
          <w:color w:val="000000"/>
          <w:sz w:val="28"/>
          <w:szCs w:val="28"/>
          <w:lang w:val="en-US" w:eastAsia="zh-CN" w:bidi="ar-SA"/>
        </w:rPr>
        <w:t>二</w:t>
      </w:r>
      <w:r>
        <w:rPr>
          <w:rFonts w:hint="eastAsia" w:ascii="宋体" w:hAnsi="宋体" w:eastAsia="宋体" w:cs="宋体"/>
          <w:b/>
          <w:snapToGrid w:val="0"/>
          <w:color w:val="000000"/>
          <w:sz w:val="28"/>
          <w:szCs w:val="28"/>
          <w:lang w:val="en-US" w:eastAsia="zh-CN" w:bidi="ar-SA"/>
        </w:rPr>
        <w:t>、</w:t>
      </w:r>
      <w:r>
        <w:rPr>
          <w:rFonts w:hint="eastAsia" w:ascii="宋体" w:hAnsi="宋体" w:cs="宋体"/>
          <w:b/>
          <w:snapToGrid w:val="0"/>
          <w:color w:val="000000"/>
          <w:sz w:val="28"/>
          <w:szCs w:val="28"/>
          <w:lang w:val="en-US" w:eastAsia="zh-CN" w:bidi="ar-SA"/>
        </w:rPr>
        <w:t>总体架构</w:t>
      </w:r>
      <w:bookmarkEnd w:id="10"/>
    </w:p>
    <w:p w14:paraId="3AD1492F">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en-US" w:bidi="ar-SA"/>
        </w:rPr>
      </w:pPr>
      <w:r>
        <w:rPr>
          <w:rFonts w:hint="eastAsia" w:ascii="宋体" w:hAnsi="宋体" w:eastAsia="宋体" w:cs="宋体"/>
          <w:snapToGrid w:val="0"/>
          <w:color w:val="000000"/>
          <w:sz w:val="24"/>
          <w:szCs w:val="24"/>
          <w:lang w:val="en-US" w:eastAsia="en-US" w:bidi="ar-SA"/>
        </w:rPr>
        <w:t>项目按照“数据层—平台层—业务层—应用层”的顺序自下而上建设。数据层汇集二期系统、小程序申请、试验设备、桥梁检测项目和专业文档等来源的数据；平台层负责数据接入、关联、转换和校验，并提供知识管理、规则计算、智能编排及运行保障能力；业务层将平台能力应用于委托受理、试验数据录入、报告生产和桥梁检测数据管理等具体场景；应用层面向不同用户提供可直接使用的软件系统和业务应用。</w:t>
      </w:r>
    </w:p>
    <w:p w14:paraId="62DE14B3">
      <w:pPr>
        <w:bidi w:val="0"/>
        <w:rPr>
          <w:rFonts w:hint="eastAsia"/>
          <w:lang w:val="en-US" w:eastAsia="en-US"/>
        </w:rPr>
      </w:pPr>
      <w:r>
        <w:drawing>
          <wp:inline distT="0" distB="0" distL="114300" distR="114300">
            <wp:extent cx="5267960" cy="2656840"/>
            <wp:effectExtent l="0" t="0" r="15240" b="10160"/>
            <wp:docPr id="66"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3"/>
                    <pic:cNvPicPr>
                      <a:picLocks noChangeAspect="1"/>
                    </pic:cNvPicPr>
                  </pic:nvPicPr>
                  <pic:blipFill>
                    <a:blip r:embed="rId8"/>
                    <a:stretch>
                      <a:fillRect/>
                    </a:stretch>
                  </pic:blipFill>
                  <pic:spPr>
                    <a:xfrm>
                      <a:off x="0" y="0"/>
                      <a:ext cx="5267960" cy="2656840"/>
                    </a:xfrm>
                    <a:prstGeom prst="rect">
                      <a:avLst/>
                    </a:prstGeom>
                    <a:noFill/>
                    <a:ln>
                      <a:noFill/>
                    </a:ln>
                  </pic:spPr>
                </pic:pic>
              </a:graphicData>
            </a:graphic>
          </wp:inline>
        </w:drawing>
      </w:r>
    </w:p>
    <w:p w14:paraId="01BE59FB">
      <w:pPr>
        <w:keepNext/>
        <w:jc w:val="both"/>
        <w:rPr>
          <w:rFonts w:hint="eastAsia" w:ascii="宋体" w:hAnsi="宋体" w:eastAsia="宋体" w:cs="宋体"/>
        </w:rPr>
      </w:pPr>
    </w:p>
    <w:tbl>
      <w:tblPr>
        <w:tblStyle w:val="13"/>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533"/>
        <w:gridCol w:w="5557"/>
        <w:gridCol w:w="2455"/>
      </w:tblGrid>
      <w:tr w14:paraId="65FE0F32">
        <w:trPr>
          <w:cantSplit/>
          <w:tblHeader/>
          <w:jc w:val="center"/>
        </w:trPr>
        <w:tc>
          <w:tcPr>
            <w:tcW w:w="533" w:type="dxa"/>
            <w:shd w:val="clear" w:color="auto" w:fill="17365D"/>
            <w:tcMar>
              <w:top w:w="100" w:type="dxa"/>
              <w:left w:w="120" w:type="dxa"/>
              <w:bottom w:w="100" w:type="dxa"/>
              <w:right w:w="120" w:type="dxa"/>
            </w:tcMar>
            <w:vAlign w:val="center"/>
          </w:tcPr>
          <w:p w14:paraId="477096A6">
            <w:pPr>
              <w:spacing w:before="0" w:after="0" w:line="269" w:lineRule="auto"/>
              <w:jc w:val="center"/>
              <w:rPr>
                <w:rFonts w:hint="eastAsia" w:ascii="宋体" w:hAnsi="宋体" w:eastAsia="宋体" w:cs="宋体"/>
              </w:rPr>
            </w:pPr>
            <w:r>
              <w:rPr>
                <w:rFonts w:hint="eastAsia" w:ascii="宋体" w:hAnsi="宋体" w:eastAsia="宋体" w:cs="宋体"/>
                <w:b/>
                <w:color w:val="FFFFFF"/>
                <w:sz w:val="18"/>
              </w:rPr>
              <w:t>层级</w:t>
            </w:r>
          </w:p>
        </w:tc>
        <w:tc>
          <w:tcPr>
            <w:tcW w:w="5557" w:type="dxa"/>
            <w:shd w:val="clear" w:color="auto" w:fill="17365D"/>
            <w:tcMar>
              <w:top w:w="100" w:type="dxa"/>
              <w:left w:w="120" w:type="dxa"/>
              <w:bottom w:w="100" w:type="dxa"/>
              <w:right w:w="120" w:type="dxa"/>
            </w:tcMar>
            <w:vAlign w:val="center"/>
          </w:tcPr>
          <w:p w14:paraId="2046D1E5">
            <w:pPr>
              <w:spacing w:before="0" w:after="0" w:line="269" w:lineRule="auto"/>
              <w:jc w:val="center"/>
              <w:rPr>
                <w:rFonts w:hint="eastAsia" w:ascii="宋体" w:hAnsi="宋体" w:eastAsia="宋体" w:cs="宋体"/>
              </w:rPr>
            </w:pPr>
            <w:r>
              <w:rPr>
                <w:rFonts w:hint="eastAsia" w:ascii="宋体" w:hAnsi="宋体" w:eastAsia="宋体" w:cs="宋体"/>
                <w:b/>
                <w:color w:val="FFFFFF"/>
                <w:sz w:val="18"/>
              </w:rPr>
              <w:t>包含内容</w:t>
            </w:r>
          </w:p>
        </w:tc>
        <w:tc>
          <w:tcPr>
            <w:tcW w:w="0" w:type="auto"/>
            <w:shd w:val="clear" w:color="auto" w:fill="17365D"/>
            <w:tcMar>
              <w:top w:w="100" w:type="dxa"/>
              <w:left w:w="120" w:type="dxa"/>
              <w:bottom w:w="100" w:type="dxa"/>
              <w:right w:w="120" w:type="dxa"/>
            </w:tcMar>
            <w:vAlign w:val="center"/>
          </w:tcPr>
          <w:p w14:paraId="18898FC8">
            <w:pPr>
              <w:spacing w:before="0" w:after="0" w:line="269" w:lineRule="auto"/>
              <w:jc w:val="center"/>
              <w:rPr>
                <w:rFonts w:hint="eastAsia" w:ascii="宋体" w:hAnsi="宋体" w:eastAsia="宋体" w:cs="宋体"/>
              </w:rPr>
            </w:pPr>
            <w:r>
              <w:rPr>
                <w:rFonts w:hint="eastAsia" w:ascii="宋体" w:hAnsi="宋体" w:eastAsia="宋体" w:cs="宋体"/>
                <w:b/>
                <w:color w:val="FFFFFF"/>
                <w:sz w:val="18"/>
              </w:rPr>
              <w:t>在本项目中的作用</w:t>
            </w:r>
          </w:p>
        </w:tc>
      </w:tr>
      <w:tr w14:paraId="42236BF3">
        <w:trPr>
          <w:cantSplit/>
          <w:jc w:val="center"/>
        </w:trPr>
        <w:tc>
          <w:tcPr>
            <w:tcW w:w="533" w:type="dxa"/>
            <w:tcMar>
              <w:top w:w="100" w:type="dxa"/>
              <w:left w:w="120" w:type="dxa"/>
              <w:bottom w:w="100" w:type="dxa"/>
              <w:right w:w="120" w:type="dxa"/>
            </w:tcMar>
            <w:vAlign w:val="center"/>
          </w:tcPr>
          <w:p w14:paraId="68A82AD4">
            <w:pPr>
              <w:spacing w:before="0" w:after="0" w:line="269" w:lineRule="auto"/>
              <w:jc w:val="left"/>
              <w:rPr>
                <w:rFonts w:hint="default" w:ascii="宋体" w:hAnsi="宋体" w:eastAsia="宋体" w:cs="宋体"/>
                <w:color w:val="000000"/>
                <w:sz w:val="18"/>
                <w:lang w:val="en-US" w:eastAsia="zh-CN"/>
              </w:rPr>
            </w:pPr>
            <w:r>
              <w:rPr>
                <w:rFonts w:hint="eastAsia" w:ascii="宋体" w:hAnsi="宋体" w:eastAsia="宋体" w:cs="宋体"/>
                <w:color w:val="000000"/>
                <w:sz w:val="18"/>
                <w:lang w:val="en-US" w:eastAsia="zh-CN"/>
              </w:rPr>
              <w:t>应用层</w:t>
            </w:r>
          </w:p>
        </w:tc>
        <w:tc>
          <w:tcPr>
            <w:tcW w:w="5557" w:type="dxa"/>
            <w:tcMar>
              <w:top w:w="100" w:type="dxa"/>
              <w:left w:w="120" w:type="dxa"/>
              <w:bottom w:w="100" w:type="dxa"/>
              <w:right w:w="120" w:type="dxa"/>
            </w:tcMar>
            <w:vAlign w:val="center"/>
          </w:tcPr>
          <w:p w14:paraId="6283A153">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委托登记小程序、设备数据采集与录入服务</w:t>
            </w:r>
            <w:r>
              <w:rPr>
                <w:rFonts w:hint="eastAsia" w:ascii="宋体" w:hAnsi="宋体" w:eastAsia="宋体" w:cs="宋体"/>
                <w:color w:val="000000"/>
                <w:sz w:val="18"/>
                <w:lang w:eastAsia="zh-CN"/>
              </w:rPr>
              <w:t>（</w:t>
            </w:r>
            <w:r>
              <w:rPr>
                <w:rFonts w:hint="eastAsia" w:ascii="宋体" w:hAnsi="宋体" w:eastAsia="宋体" w:cs="宋体"/>
                <w:color w:val="000000"/>
                <w:sz w:val="18"/>
                <w:lang w:val="en-US" w:eastAsia="zh-CN"/>
              </w:rPr>
              <w:t>内嵌二期任务系统中</w:t>
            </w:r>
            <w:r>
              <w:rPr>
                <w:rFonts w:hint="eastAsia" w:ascii="宋体" w:hAnsi="宋体" w:eastAsia="宋体" w:cs="宋体"/>
                <w:color w:val="000000"/>
                <w:sz w:val="18"/>
                <w:lang w:eastAsia="zh-CN"/>
              </w:rPr>
              <w:t>）</w:t>
            </w:r>
            <w:r>
              <w:rPr>
                <w:rFonts w:hint="eastAsia" w:ascii="宋体" w:hAnsi="宋体" w:eastAsia="宋体" w:cs="宋体"/>
                <w:color w:val="000000"/>
                <w:sz w:val="18"/>
              </w:rPr>
              <w:t>、报告生成与分析智能体、桥梁检测数据管理系统</w:t>
            </w:r>
          </w:p>
        </w:tc>
        <w:tc>
          <w:tcPr>
            <w:tcW w:w="0" w:type="auto"/>
            <w:tcMar>
              <w:top w:w="100" w:type="dxa"/>
              <w:left w:w="120" w:type="dxa"/>
              <w:bottom w:w="100" w:type="dxa"/>
              <w:right w:w="120" w:type="dxa"/>
            </w:tcMar>
            <w:vAlign w:val="center"/>
          </w:tcPr>
          <w:p w14:paraId="552263FB">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作为项目最终交付并投入使用的软件系统和业务应用</w:t>
            </w:r>
          </w:p>
        </w:tc>
      </w:tr>
      <w:tr w14:paraId="1F8C4500">
        <w:trPr>
          <w:cantSplit/>
          <w:jc w:val="center"/>
        </w:trPr>
        <w:tc>
          <w:tcPr>
            <w:tcW w:w="533" w:type="dxa"/>
            <w:shd w:val="clear" w:color="auto" w:fill="F5F9FC"/>
            <w:tcMar>
              <w:top w:w="100" w:type="dxa"/>
              <w:left w:w="120" w:type="dxa"/>
              <w:bottom w:w="100" w:type="dxa"/>
              <w:right w:w="120" w:type="dxa"/>
            </w:tcMar>
            <w:vAlign w:val="center"/>
          </w:tcPr>
          <w:p w14:paraId="124C9833">
            <w:pPr>
              <w:spacing w:before="0" w:after="0" w:line="269" w:lineRule="auto"/>
              <w:jc w:val="left"/>
              <w:rPr>
                <w:rFonts w:hint="eastAsia" w:ascii="宋体" w:hAnsi="宋体" w:eastAsia="宋体" w:cs="宋体"/>
                <w:color w:val="000000"/>
                <w:sz w:val="18"/>
                <w:lang w:val="en-US" w:eastAsia="zh-CN"/>
              </w:rPr>
            </w:pPr>
            <w:r>
              <w:rPr>
                <w:rFonts w:hint="eastAsia" w:ascii="宋体" w:hAnsi="宋体" w:eastAsia="宋体" w:cs="宋体"/>
                <w:color w:val="000000"/>
                <w:sz w:val="18"/>
                <w:lang w:val="en-US" w:eastAsia="zh-CN"/>
              </w:rPr>
              <w:t>平台层</w:t>
            </w:r>
          </w:p>
        </w:tc>
        <w:tc>
          <w:tcPr>
            <w:tcW w:w="5557" w:type="dxa"/>
            <w:shd w:val="clear" w:color="auto" w:fill="F5F9FC"/>
            <w:tcMar>
              <w:top w:w="100" w:type="dxa"/>
              <w:left w:w="120" w:type="dxa"/>
              <w:bottom w:w="100" w:type="dxa"/>
              <w:right w:w="120" w:type="dxa"/>
            </w:tcMar>
            <w:vAlign w:val="center"/>
          </w:tcPr>
          <w:p w14:paraId="70FCA49D">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委托人线上申请</w:t>
            </w:r>
            <w:r>
              <w:rPr>
                <w:rFonts w:hint="eastAsia" w:ascii="宋体" w:hAnsi="宋体" w:eastAsia="宋体" w:cs="宋体"/>
                <w:color w:val="000000"/>
                <w:sz w:val="18"/>
                <w:lang w:val="en-US" w:eastAsia="zh-CN"/>
              </w:rPr>
              <w:t>/</w:t>
            </w:r>
            <w:r>
              <w:rPr>
                <w:rFonts w:hint="eastAsia" w:ascii="宋体" w:hAnsi="宋体" w:eastAsia="宋体" w:cs="宋体"/>
                <w:color w:val="000000"/>
                <w:sz w:val="18"/>
              </w:rPr>
              <w:t>受理、设备数据自动进入任务、报告资料检查与初稿生成、人工编制与审核、报告后分析、桥梁检测数据维护和历次成果对比</w:t>
            </w:r>
          </w:p>
        </w:tc>
        <w:tc>
          <w:tcPr>
            <w:tcW w:w="0" w:type="auto"/>
            <w:shd w:val="clear" w:color="auto" w:fill="F5F9FC"/>
            <w:tcMar>
              <w:top w:w="100" w:type="dxa"/>
              <w:left w:w="120" w:type="dxa"/>
              <w:bottom w:w="100" w:type="dxa"/>
              <w:right w:w="120" w:type="dxa"/>
            </w:tcMar>
            <w:vAlign w:val="center"/>
          </w:tcPr>
          <w:p w14:paraId="62F7F16D">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将平台支撑能力转化为浦江人员和委托人可直接参与的业务流程</w:t>
            </w:r>
          </w:p>
        </w:tc>
      </w:tr>
      <w:tr w14:paraId="740BDE37">
        <w:trPr>
          <w:cantSplit/>
          <w:jc w:val="center"/>
        </w:trPr>
        <w:tc>
          <w:tcPr>
            <w:tcW w:w="533" w:type="dxa"/>
            <w:tcMar>
              <w:top w:w="100" w:type="dxa"/>
              <w:left w:w="120" w:type="dxa"/>
              <w:bottom w:w="100" w:type="dxa"/>
              <w:right w:w="120" w:type="dxa"/>
            </w:tcMar>
            <w:vAlign w:val="center"/>
          </w:tcPr>
          <w:p w14:paraId="2ED30F39">
            <w:pPr>
              <w:spacing w:before="0" w:after="0" w:line="269" w:lineRule="auto"/>
              <w:jc w:val="left"/>
              <w:rPr>
                <w:rFonts w:hint="eastAsia" w:ascii="宋体" w:hAnsi="宋体" w:eastAsia="宋体" w:cs="宋体"/>
                <w:color w:val="000000"/>
                <w:sz w:val="18"/>
                <w:lang w:val="en-US" w:eastAsia="zh-CN"/>
              </w:rPr>
            </w:pPr>
            <w:r>
              <w:rPr>
                <w:rFonts w:hint="eastAsia" w:ascii="宋体" w:hAnsi="宋体" w:eastAsia="宋体" w:cs="宋体"/>
                <w:color w:val="000000"/>
                <w:sz w:val="18"/>
                <w:lang w:val="en-US" w:eastAsia="zh-CN"/>
              </w:rPr>
              <w:t>业务层</w:t>
            </w:r>
          </w:p>
        </w:tc>
        <w:tc>
          <w:tcPr>
            <w:tcW w:w="5557" w:type="dxa"/>
            <w:tcMar>
              <w:top w:w="100" w:type="dxa"/>
              <w:left w:w="120" w:type="dxa"/>
              <w:bottom w:w="100" w:type="dxa"/>
              <w:right w:w="120" w:type="dxa"/>
            </w:tcMar>
            <w:vAlign w:val="center"/>
          </w:tcPr>
          <w:p w14:paraId="5E24AB4A">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数据接口与同步、设备采集适配、任务与样品匹配、字段映射、单位转换、完整性校验、规则计算、知识检索、模板管理、智能体任务编排、文档处理、权限控制、日志审计和运行监测</w:t>
            </w:r>
          </w:p>
        </w:tc>
        <w:tc>
          <w:tcPr>
            <w:tcW w:w="0" w:type="auto"/>
            <w:tcMar>
              <w:top w:w="100" w:type="dxa"/>
              <w:left w:w="120" w:type="dxa"/>
              <w:bottom w:w="100" w:type="dxa"/>
              <w:right w:w="120" w:type="dxa"/>
            </w:tcMar>
            <w:vAlign w:val="center"/>
          </w:tcPr>
          <w:p w14:paraId="559836ED">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将不同来源的数据转化为可校验、可调用、可追溯的业务支撑能力</w:t>
            </w:r>
          </w:p>
        </w:tc>
      </w:tr>
      <w:tr w14:paraId="491C997E">
        <w:trPr>
          <w:cantSplit/>
          <w:jc w:val="center"/>
        </w:trPr>
        <w:tc>
          <w:tcPr>
            <w:tcW w:w="533" w:type="dxa"/>
            <w:shd w:val="clear" w:color="auto" w:fill="F5F9FC"/>
            <w:tcMar>
              <w:top w:w="100" w:type="dxa"/>
              <w:left w:w="120" w:type="dxa"/>
              <w:bottom w:w="100" w:type="dxa"/>
              <w:right w:w="120" w:type="dxa"/>
            </w:tcMar>
            <w:vAlign w:val="center"/>
          </w:tcPr>
          <w:p w14:paraId="688BE8AE">
            <w:pPr>
              <w:spacing w:before="0" w:after="0" w:line="269" w:lineRule="auto"/>
              <w:jc w:val="left"/>
              <w:rPr>
                <w:rFonts w:hint="eastAsia" w:ascii="宋体" w:hAnsi="宋体" w:eastAsia="宋体" w:cs="宋体"/>
                <w:color w:val="000000"/>
                <w:sz w:val="18"/>
                <w:lang w:val="en-US" w:eastAsia="zh-CN"/>
              </w:rPr>
            </w:pPr>
            <w:r>
              <w:rPr>
                <w:rFonts w:hint="eastAsia" w:ascii="宋体" w:hAnsi="宋体" w:eastAsia="宋体" w:cs="宋体"/>
                <w:color w:val="000000"/>
                <w:sz w:val="18"/>
                <w:lang w:val="en-US" w:eastAsia="zh-CN"/>
              </w:rPr>
              <w:t>数据层</w:t>
            </w:r>
          </w:p>
        </w:tc>
        <w:tc>
          <w:tcPr>
            <w:tcW w:w="5557" w:type="dxa"/>
            <w:shd w:val="clear" w:color="auto" w:fill="F5F9FC"/>
            <w:tcMar>
              <w:top w:w="100" w:type="dxa"/>
              <w:left w:w="120" w:type="dxa"/>
              <w:bottom w:w="100" w:type="dxa"/>
              <w:right w:w="120" w:type="dxa"/>
            </w:tcMar>
            <w:vAlign w:val="center"/>
          </w:tcPr>
          <w:p w14:paraId="7A425D64">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二期系统中的客户、委托、样品、任务和报告数据；小程序申请数据；设备原始值、试验曲线和原始文件；受检桥梁信息、构件信息、病害记录、检测数据和计算结果；规范文档、报告模板及历史成果</w:t>
            </w:r>
          </w:p>
        </w:tc>
        <w:tc>
          <w:tcPr>
            <w:tcW w:w="0" w:type="auto"/>
            <w:shd w:val="clear" w:color="auto" w:fill="F5F9FC"/>
            <w:tcMar>
              <w:top w:w="100" w:type="dxa"/>
              <w:left w:w="120" w:type="dxa"/>
              <w:bottom w:w="100" w:type="dxa"/>
              <w:right w:w="120" w:type="dxa"/>
            </w:tcMar>
            <w:vAlign w:val="center"/>
          </w:tcPr>
          <w:p w14:paraId="63B432F9">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提供委托受理、数据回填、报告生成和桥梁检测业务所需的真实数据与专业依据</w:t>
            </w:r>
          </w:p>
        </w:tc>
      </w:tr>
    </w:tbl>
    <w:p w14:paraId="42DAC9D4">
      <w:pPr>
        <w:spacing w:after="40"/>
        <w:rPr>
          <w:rFonts w:hint="eastAsia" w:ascii="宋体" w:hAnsi="宋体" w:eastAsia="宋体" w:cs="宋体"/>
        </w:rPr>
      </w:pPr>
    </w:p>
    <w:p w14:paraId="5AA8A335">
      <w:pPr>
        <w:bidi w:val="0"/>
        <w:rPr>
          <w:rFonts w:hint="eastAsia"/>
          <w:lang w:val="en-US" w:eastAsia="zh-CN"/>
        </w:rPr>
      </w:pPr>
    </w:p>
    <w:p w14:paraId="199B0986">
      <w:pPr>
        <w:rPr>
          <w:rFonts w:hint="eastAsia" w:ascii="宋体" w:hAnsi="宋体" w:cs="宋体"/>
          <w:b/>
          <w:snapToGrid w:val="0"/>
          <w:color w:val="000000"/>
          <w:sz w:val="28"/>
          <w:szCs w:val="28"/>
          <w:lang w:val="en-US" w:eastAsia="zh-CN" w:bidi="ar-SA"/>
        </w:rPr>
      </w:pPr>
      <w:r>
        <w:rPr>
          <w:rFonts w:hint="eastAsia" w:ascii="宋体" w:hAnsi="宋体" w:cs="宋体"/>
          <w:b/>
          <w:snapToGrid w:val="0"/>
          <w:color w:val="000000"/>
          <w:sz w:val="28"/>
          <w:szCs w:val="28"/>
          <w:lang w:val="en-US" w:eastAsia="zh-CN" w:bidi="ar-SA"/>
        </w:rPr>
        <w:br w:type="page"/>
      </w:r>
    </w:p>
    <w:p w14:paraId="77AD3165">
      <w:pPr>
        <w:keepNext w:val="0"/>
        <w:keepLines w:val="0"/>
        <w:pageBreakBefore w:val="0"/>
        <w:widowControl/>
        <w:kinsoku w:val="0"/>
        <w:wordWrap/>
        <w:overflowPunct/>
        <w:topLinePunct w:val="0"/>
        <w:autoSpaceDE w:val="0"/>
        <w:autoSpaceDN w:val="0"/>
        <w:bidi w:val="0"/>
        <w:adjustRightInd w:val="0"/>
        <w:snapToGrid w:val="0"/>
        <w:spacing w:after="0" w:line="360" w:lineRule="auto"/>
        <w:ind w:left="0"/>
        <w:jc w:val="left"/>
        <w:textAlignment w:val="baseline"/>
        <w:outlineLvl w:val="0"/>
        <w:rPr>
          <w:rFonts w:hint="default" w:ascii="宋体" w:hAnsi="宋体" w:cs="宋体"/>
          <w:b/>
          <w:snapToGrid w:val="0"/>
          <w:color w:val="000000"/>
          <w:sz w:val="28"/>
          <w:szCs w:val="28"/>
          <w:lang w:val="en-US" w:eastAsia="zh-CN" w:bidi="ar-SA"/>
        </w:rPr>
      </w:pPr>
      <w:bookmarkStart w:id="11" w:name="_Toc857945374"/>
      <w:r>
        <w:rPr>
          <w:rFonts w:hint="eastAsia" w:ascii="宋体" w:hAnsi="宋体" w:cs="宋体"/>
          <w:b/>
          <w:snapToGrid w:val="0"/>
          <w:color w:val="000000"/>
          <w:sz w:val="28"/>
          <w:szCs w:val="28"/>
          <w:lang w:val="en-US" w:eastAsia="zh-CN" w:bidi="ar-SA"/>
        </w:rPr>
        <w:t>三</w:t>
      </w:r>
      <w:r>
        <w:rPr>
          <w:rFonts w:hint="eastAsia" w:ascii="宋体" w:hAnsi="宋体" w:eastAsia="宋体" w:cs="宋体"/>
          <w:b/>
          <w:snapToGrid w:val="0"/>
          <w:color w:val="000000"/>
          <w:sz w:val="28"/>
          <w:szCs w:val="28"/>
          <w:lang w:val="en-US" w:eastAsia="zh-CN" w:bidi="ar-SA"/>
        </w:rPr>
        <w:t>、</w:t>
      </w:r>
      <w:r>
        <w:rPr>
          <w:rFonts w:hint="eastAsia" w:ascii="宋体" w:hAnsi="宋体" w:cs="宋体"/>
          <w:b/>
          <w:snapToGrid w:val="0"/>
          <w:color w:val="000000"/>
          <w:sz w:val="28"/>
          <w:szCs w:val="28"/>
          <w:lang w:val="en-US" w:eastAsia="zh-CN" w:bidi="ar-SA"/>
        </w:rPr>
        <w:t>建设方案</w:t>
      </w:r>
      <w:bookmarkEnd w:id="11"/>
    </w:p>
    <w:p w14:paraId="121B4B75">
      <w:pPr>
        <w:keepNext w:val="0"/>
        <w:keepLines w:val="0"/>
        <w:pageBreakBefore w:val="0"/>
        <w:widowControl/>
        <w:kinsoku w:val="0"/>
        <w:wordWrap/>
        <w:overflowPunct/>
        <w:topLinePunct w:val="0"/>
        <w:autoSpaceDE w:val="0"/>
        <w:autoSpaceDN w:val="0"/>
        <w:bidi w:val="0"/>
        <w:adjustRightInd w:val="0"/>
        <w:snapToGrid w:val="0"/>
        <w:spacing w:after="0" w:line="360" w:lineRule="auto"/>
        <w:ind w:left="0"/>
        <w:jc w:val="left"/>
        <w:textAlignment w:val="baseline"/>
        <w:outlineLvl w:val="1"/>
        <w:rPr>
          <w:rFonts w:hint="default" w:ascii="宋体" w:hAnsi="宋体" w:eastAsia="宋体" w:cs="宋体"/>
          <w:b/>
          <w:snapToGrid w:val="0"/>
          <w:color w:val="000000"/>
          <w:sz w:val="28"/>
          <w:szCs w:val="28"/>
          <w:lang w:val="en-US" w:eastAsia="en-US" w:bidi="ar-SA"/>
        </w:rPr>
      </w:pPr>
      <w:bookmarkStart w:id="12" w:name="_Toc1282694860"/>
      <w:r>
        <w:rPr>
          <w:rFonts w:hint="eastAsia" w:ascii="宋体" w:hAnsi="宋体" w:cs="宋体"/>
          <w:b/>
          <w:snapToGrid w:val="0"/>
          <w:color w:val="000000"/>
          <w:sz w:val="28"/>
          <w:szCs w:val="28"/>
          <w:lang w:val="en-US" w:eastAsia="zh-CN" w:bidi="ar-SA"/>
        </w:rPr>
        <w:t>3.2 委托登记小程序</w:t>
      </w:r>
      <w:bookmarkEnd w:id="12"/>
    </w:p>
    <w:p w14:paraId="240246C4">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lang w:val="en-US" w:eastAsia="en-US"/>
        </w:rPr>
      </w:pPr>
      <w:r>
        <w:rPr>
          <w:rFonts w:hint="eastAsia" w:ascii="宋体" w:hAnsi="宋体" w:eastAsia="宋体" w:cs="宋体"/>
          <w:snapToGrid w:val="0"/>
          <w:color w:val="000000"/>
          <w:sz w:val="24"/>
          <w:szCs w:val="24"/>
          <w:lang w:val="en-US" w:eastAsia="en-US" w:bidi="ar-SA"/>
        </w:rPr>
        <w:t>委托登记小程序面向委托单位和委托人，作为浦江检测业务面向外部客户的线上申请入口。小程序主要用于提交委托申请、补充申请资料和接收受理反馈，不替代浦江内部的委托审核与任务管理。申请经委托登记人员核验并受理后，相关信息进入二期委托任务系统，由二期系统继续承载正式委托任务的内部流转。</w:t>
      </w:r>
    </w:p>
    <w:p w14:paraId="790B1DB0">
      <w:pPr>
        <w:bidi w:val="0"/>
      </w:pPr>
      <w:r>
        <w:drawing>
          <wp:inline distT="0" distB="0" distL="114300" distR="114300">
            <wp:extent cx="5262245" cy="1470660"/>
            <wp:effectExtent l="0" t="0" r="20955" b="2540"/>
            <wp:docPr id="72"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69"/>
                    <pic:cNvPicPr>
                      <a:picLocks noChangeAspect="1"/>
                    </pic:cNvPicPr>
                  </pic:nvPicPr>
                  <pic:blipFill>
                    <a:blip r:embed="rId9"/>
                    <a:stretch>
                      <a:fillRect/>
                    </a:stretch>
                  </pic:blipFill>
                  <pic:spPr>
                    <a:xfrm>
                      <a:off x="0" y="0"/>
                      <a:ext cx="5262245" cy="1470660"/>
                    </a:xfrm>
                    <a:prstGeom prst="rect">
                      <a:avLst/>
                    </a:prstGeom>
                    <a:noFill/>
                    <a:ln>
                      <a:noFill/>
                    </a:ln>
                  </pic:spPr>
                </pic:pic>
              </a:graphicData>
            </a:graphic>
          </wp:inline>
        </w:drawing>
      </w:r>
    </w:p>
    <w:tbl>
      <w:tblPr>
        <w:tblStyle w:val="13"/>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1082"/>
        <w:gridCol w:w="4053"/>
        <w:gridCol w:w="3410"/>
      </w:tblGrid>
      <w:tr w14:paraId="5D057047">
        <w:trPr>
          <w:cantSplit/>
          <w:tblHeader/>
          <w:jc w:val="center"/>
        </w:trPr>
        <w:tc>
          <w:tcPr>
            <w:tcW w:w="0" w:type="auto"/>
            <w:shd w:val="clear" w:color="auto" w:fill="17365D"/>
            <w:tcMar>
              <w:top w:w="100" w:type="dxa"/>
              <w:left w:w="120" w:type="dxa"/>
              <w:bottom w:w="100" w:type="dxa"/>
              <w:right w:w="120" w:type="dxa"/>
            </w:tcMar>
            <w:vAlign w:val="center"/>
          </w:tcPr>
          <w:p w14:paraId="221A3D37">
            <w:pPr>
              <w:spacing w:before="0" w:after="0" w:line="269" w:lineRule="auto"/>
              <w:jc w:val="center"/>
              <w:rPr>
                <w:rFonts w:hint="default" w:ascii="宋体" w:hAnsi="宋体" w:eastAsia="宋体" w:cs="宋体"/>
                <w:lang w:val="en-US" w:eastAsia="zh-CN"/>
              </w:rPr>
            </w:pPr>
            <w:r>
              <w:rPr>
                <w:rFonts w:hint="eastAsia" w:ascii="宋体" w:hAnsi="宋体" w:cs="宋体"/>
                <w:b/>
                <w:color w:val="FFFFFF"/>
                <w:sz w:val="18"/>
                <w:lang w:val="en-US" w:eastAsia="zh-CN"/>
              </w:rPr>
              <w:t>服务对象</w:t>
            </w:r>
          </w:p>
        </w:tc>
        <w:tc>
          <w:tcPr>
            <w:tcW w:w="0" w:type="auto"/>
            <w:shd w:val="clear" w:color="auto" w:fill="17365D"/>
            <w:tcMar>
              <w:top w:w="100" w:type="dxa"/>
              <w:left w:w="120" w:type="dxa"/>
              <w:bottom w:w="100" w:type="dxa"/>
              <w:right w:w="120" w:type="dxa"/>
            </w:tcMar>
            <w:vAlign w:val="center"/>
          </w:tcPr>
          <w:p w14:paraId="672854BF">
            <w:pPr>
              <w:spacing w:before="0" w:after="0" w:line="269" w:lineRule="auto"/>
              <w:jc w:val="center"/>
              <w:rPr>
                <w:rFonts w:hint="default" w:ascii="宋体" w:hAnsi="宋体" w:eastAsia="宋体" w:cs="宋体"/>
                <w:lang w:val="en-US" w:eastAsia="zh-CN"/>
              </w:rPr>
            </w:pPr>
            <w:r>
              <w:rPr>
                <w:rFonts w:hint="eastAsia" w:ascii="宋体" w:hAnsi="宋体" w:cs="宋体"/>
                <w:lang w:val="en-US" w:eastAsia="zh-CN"/>
              </w:rPr>
              <w:t>客户的直观体验</w:t>
            </w:r>
          </w:p>
        </w:tc>
        <w:tc>
          <w:tcPr>
            <w:tcW w:w="0" w:type="auto"/>
            <w:shd w:val="clear" w:color="auto" w:fill="17365D"/>
            <w:tcMar>
              <w:top w:w="100" w:type="dxa"/>
              <w:left w:w="120" w:type="dxa"/>
              <w:bottom w:w="100" w:type="dxa"/>
              <w:right w:w="120" w:type="dxa"/>
            </w:tcMar>
            <w:vAlign w:val="center"/>
          </w:tcPr>
          <w:p w14:paraId="3C1BDF87">
            <w:pPr>
              <w:spacing w:before="0" w:after="0" w:line="269" w:lineRule="auto"/>
              <w:jc w:val="center"/>
              <w:rPr>
                <w:rFonts w:hint="default" w:ascii="宋体" w:hAnsi="宋体" w:eastAsia="宋体" w:cs="宋体"/>
                <w:lang w:val="en-US" w:eastAsia="zh-CN"/>
              </w:rPr>
            </w:pPr>
            <w:r>
              <w:rPr>
                <w:rFonts w:hint="eastAsia" w:ascii="宋体" w:hAnsi="宋体" w:cs="宋体"/>
                <w:b/>
                <w:color w:val="FFFFFF"/>
                <w:sz w:val="18"/>
                <w:lang w:val="en-US" w:eastAsia="zh-CN"/>
              </w:rPr>
              <w:t>预期业务成效</w:t>
            </w:r>
          </w:p>
        </w:tc>
      </w:tr>
      <w:tr w14:paraId="0AB92A72">
        <w:trPr>
          <w:cantSplit/>
          <w:jc w:val="center"/>
        </w:trPr>
        <w:tc>
          <w:tcPr>
            <w:tcW w:w="0" w:type="auto"/>
            <w:tcMar>
              <w:top w:w="100" w:type="dxa"/>
              <w:left w:w="120" w:type="dxa"/>
              <w:bottom w:w="100" w:type="dxa"/>
              <w:right w:w="120" w:type="dxa"/>
            </w:tcMar>
            <w:vAlign w:val="center"/>
          </w:tcPr>
          <w:p w14:paraId="035DEB49">
            <w:pPr>
              <w:spacing w:before="0" w:after="0" w:line="269" w:lineRule="auto"/>
              <w:jc w:val="left"/>
              <w:rPr>
                <w:rFonts w:hint="default" w:ascii="宋体" w:hAnsi="宋体" w:eastAsia="宋体" w:cs="宋体"/>
                <w:color w:val="000000"/>
                <w:sz w:val="18"/>
                <w:lang w:val="en-US" w:eastAsia="zh-CN"/>
              </w:rPr>
            </w:pPr>
            <w:r>
              <w:rPr>
                <w:rFonts w:hint="eastAsia" w:ascii="宋体" w:hAnsi="宋体" w:eastAsia="宋体" w:cs="宋体"/>
                <w:color w:val="000000"/>
                <w:sz w:val="18"/>
              </w:rPr>
              <w:t>委托单位、委托人</w:t>
            </w:r>
          </w:p>
        </w:tc>
        <w:tc>
          <w:tcPr>
            <w:tcW w:w="0" w:type="auto"/>
            <w:tcMar>
              <w:top w:w="100" w:type="dxa"/>
              <w:left w:w="120" w:type="dxa"/>
              <w:bottom w:w="100" w:type="dxa"/>
              <w:right w:w="120" w:type="dxa"/>
            </w:tcMar>
            <w:vAlign w:val="center"/>
          </w:tcPr>
          <w:p w14:paraId="67EA57EB">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可通过小程序提前填写委托需求、提交资料并根据反馈补充信息，无需先到浦江现场完成全部申请工作</w:t>
            </w:r>
          </w:p>
        </w:tc>
        <w:tc>
          <w:tcPr>
            <w:tcW w:w="0" w:type="auto"/>
            <w:tcMar>
              <w:top w:w="100" w:type="dxa"/>
              <w:left w:w="120" w:type="dxa"/>
              <w:bottom w:w="100" w:type="dxa"/>
              <w:right w:w="120" w:type="dxa"/>
            </w:tcMar>
            <w:vAlign w:val="center"/>
          </w:tcPr>
          <w:p w14:paraId="4912FE6A">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降低委托申请受时间和地点的限制，提高委托申请的便利性</w:t>
            </w:r>
          </w:p>
        </w:tc>
      </w:tr>
      <w:tr w14:paraId="39B55310">
        <w:trPr>
          <w:cantSplit/>
          <w:jc w:val="center"/>
        </w:trPr>
        <w:tc>
          <w:tcPr>
            <w:tcW w:w="0" w:type="auto"/>
            <w:shd w:val="clear" w:color="auto" w:fill="F5F9FC"/>
            <w:tcMar>
              <w:top w:w="100" w:type="dxa"/>
              <w:left w:w="120" w:type="dxa"/>
              <w:bottom w:w="100" w:type="dxa"/>
              <w:right w:w="120" w:type="dxa"/>
            </w:tcMar>
            <w:vAlign w:val="center"/>
          </w:tcPr>
          <w:p w14:paraId="12541A41">
            <w:pPr>
              <w:spacing w:before="0" w:after="0" w:line="269" w:lineRule="auto"/>
              <w:jc w:val="left"/>
              <w:rPr>
                <w:rFonts w:hint="eastAsia" w:ascii="宋体" w:hAnsi="宋体" w:eastAsia="宋体" w:cs="宋体"/>
                <w:color w:val="000000"/>
                <w:sz w:val="18"/>
                <w:lang w:val="en-US" w:eastAsia="zh-CN"/>
              </w:rPr>
            </w:pPr>
            <w:r>
              <w:rPr>
                <w:rFonts w:hint="eastAsia" w:ascii="宋体" w:hAnsi="宋体" w:eastAsia="宋体" w:cs="宋体"/>
                <w:color w:val="000000"/>
                <w:sz w:val="18"/>
              </w:rPr>
              <w:t>委托登记人员</w:t>
            </w:r>
          </w:p>
        </w:tc>
        <w:tc>
          <w:tcPr>
            <w:tcW w:w="0" w:type="auto"/>
            <w:shd w:val="clear" w:color="auto" w:fill="F5F9FC"/>
            <w:tcMar>
              <w:top w:w="100" w:type="dxa"/>
              <w:left w:w="120" w:type="dxa"/>
              <w:bottom w:w="100" w:type="dxa"/>
              <w:right w:w="120" w:type="dxa"/>
            </w:tcMar>
            <w:vAlign w:val="center"/>
          </w:tcPr>
          <w:p w14:paraId="3515AAB3">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可在统一入口查看申请资料，完成核验、退回和受理，并将已确认信息传入二期系统</w:t>
            </w:r>
          </w:p>
        </w:tc>
        <w:tc>
          <w:tcPr>
            <w:tcW w:w="0" w:type="auto"/>
            <w:shd w:val="clear" w:color="auto" w:fill="F5F9FC"/>
            <w:tcMar>
              <w:top w:w="100" w:type="dxa"/>
              <w:left w:w="120" w:type="dxa"/>
              <w:bottom w:w="100" w:type="dxa"/>
              <w:right w:w="120" w:type="dxa"/>
            </w:tcMar>
            <w:vAlign w:val="center"/>
          </w:tcPr>
          <w:p w14:paraId="41F372EE">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减少现场集中登记、纸质资料整理和重复录入工作，使申请来源与处理状态更加清晰</w:t>
            </w:r>
          </w:p>
        </w:tc>
      </w:tr>
    </w:tbl>
    <w:p w14:paraId="09BCC58E">
      <w:pPr>
        <w:bidi w:val="0"/>
      </w:pPr>
    </w:p>
    <w:p w14:paraId="070300C1">
      <w:pPr>
        <w:rPr>
          <w:rFonts w:hint="eastAsia"/>
          <w:lang w:val="en-US" w:eastAsia="en-US"/>
        </w:rPr>
      </w:pPr>
    </w:p>
    <w:p w14:paraId="74A72933">
      <w:pPr>
        <w:keepNext w:val="0"/>
        <w:keepLines w:val="0"/>
        <w:pageBreakBefore w:val="0"/>
        <w:widowControl w:val="0"/>
        <w:kinsoku/>
        <w:wordWrap/>
        <w:overflowPunct/>
        <w:topLinePunct w:val="0"/>
        <w:autoSpaceDE/>
        <w:autoSpaceDN/>
        <w:bidi w:val="0"/>
        <w:adjustRightInd/>
        <w:snapToGrid/>
        <w:spacing w:after="0" w:line="360" w:lineRule="auto"/>
        <w:ind w:left="0" w:firstLine="0"/>
        <w:jc w:val="left"/>
        <w:textAlignment w:val="auto"/>
        <w:outlineLvl w:val="2"/>
        <w:rPr>
          <w:rFonts w:hint="default" w:ascii="宋体" w:hAnsi="宋体" w:eastAsia="宋体" w:cs="宋体"/>
          <w:b/>
          <w:snapToGrid w:val="0"/>
          <w:color w:val="000000"/>
          <w:sz w:val="24"/>
          <w:szCs w:val="24"/>
          <w:lang w:val="en-US" w:eastAsia="zh-CN" w:bidi="ar-SA"/>
        </w:rPr>
      </w:pPr>
      <w:bookmarkStart w:id="13" w:name="_Toc62202856"/>
      <w:bookmarkStart w:id="14" w:name="_Toc1811663434"/>
      <w:r>
        <w:rPr>
          <w:rFonts w:hint="eastAsia" w:ascii="宋体" w:hAnsi="宋体" w:cs="宋体"/>
          <w:b/>
          <w:snapToGrid w:val="0"/>
          <w:color w:val="000000"/>
          <w:sz w:val="24"/>
          <w:szCs w:val="24"/>
          <w:lang w:val="en-US" w:eastAsia="zh-CN" w:bidi="ar-SA"/>
        </w:rPr>
        <w:t>3.2.1</w:t>
      </w:r>
      <w:r>
        <w:rPr>
          <w:rFonts w:hint="eastAsia" w:ascii="宋体" w:hAnsi="宋体" w:eastAsia="宋体" w:cs="宋体"/>
          <w:b/>
          <w:snapToGrid w:val="0"/>
          <w:color w:val="000000"/>
          <w:sz w:val="24"/>
          <w:szCs w:val="24"/>
          <w:lang w:val="en-US" w:eastAsia="zh-CN" w:bidi="ar-SA"/>
        </w:rPr>
        <w:t xml:space="preserve"> </w:t>
      </w:r>
      <w:bookmarkEnd w:id="13"/>
      <w:r>
        <w:rPr>
          <w:rFonts w:hint="eastAsia" w:ascii="宋体" w:hAnsi="宋体" w:cs="宋体"/>
          <w:b/>
          <w:snapToGrid w:val="0"/>
          <w:color w:val="000000"/>
          <w:sz w:val="24"/>
          <w:szCs w:val="24"/>
          <w:lang w:val="en-US" w:eastAsia="zh-CN" w:bidi="ar-SA"/>
        </w:rPr>
        <w:t>委托人申请入口建设</w:t>
      </w:r>
      <w:bookmarkEnd w:id="14"/>
    </w:p>
    <w:p w14:paraId="789706B5">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en-US" w:bidi="ar-SA"/>
        </w:rPr>
      </w:pPr>
      <w:r>
        <w:rPr>
          <w:rFonts w:hint="eastAsia" w:ascii="宋体" w:hAnsi="宋体" w:eastAsia="宋体" w:cs="宋体"/>
          <w:snapToGrid w:val="0"/>
          <w:color w:val="000000"/>
          <w:sz w:val="24"/>
          <w:szCs w:val="24"/>
          <w:lang w:val="en-US" w:eastAsia="en-US" w:bidi="ar-SA"/>
        </w:rPr>
        <w:t>建设方将按照委托人的实际操作顺序建设“委托登记”“工程信息”“我的信息”三个主要入口。三个入口的功能定位如下：</w:t>
      </w:r>
    </w:p>
    <w:tbl>
      <w:tblPr>
        <w:tblStyle w:val="13"/>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651"/>
        <w:gridCol w:w="4062"/>
        <w:gridCol w:w="3832"/>
      </w:tblGrid>
      <w:tr w14:paraId="30B0D3FF">
        <w:trPr>
          <w:cantSplit/>
          <w:tblHeader/>
          <w:jc w:val="center"/>
        </w:trPr>
        <w:tc>
          <w:tcPr>
            <w:tcW w:w="0" w:type="auto"/>
            <w:shd w:val="clear" w:color="auto" w:fill="17365D"/>
            <w:tcMar>
              <w:top w:w="100" w:type="dxa"/>
              <w:left w:w="120" w:type="dxa"/>
              <w:bottom w:w="100" w:type="dxa"/>
              <w:right w:w="120" w:type="dxa"/>
            </w:tcMar>
            <w:vAlign w:val="center"/>
          </w:tcPr>
          <w:p w14:paraId="6BC27629">
            <w:pPr>
              <w:spacing w:before="0" w:after="0" w:line="269" w:lineRule="auto"/>
              <w:jc w:val="center"/>
              <w:rPr>
                <w:rFonts w:hint="eastAsia" w:ascii="宋体" w:hAnsi="宋体" w:eastAsia="宋体" w:cs="宋体"/>
                <w:lang w:eastAsia="zh-CN"/>
              </w:rPr>
            </w:pPr>
            <w:r>
              <w:rPr>
                <w:rFonts w:hint="eastAsia" w:ascii="宋体" w:hAnsi="宋体" w:cs="宋体"/>
                <w:b/>
                <w:color w:val="FFFFFF"/>
                <w:sz w:val="18"/>
                <w:lang w:val="en-US" w:eastAsia="zh-CN"/>
              </w:rPr>
              <w:t>入口</w:t>
            </w:r>
          </w:p>
        </w:tc>
        <w:tc>
          <w:tcPr>
            <w:tcW w:w="0" w:type="auto"/>
            <w:shd w:val="clear" w:color="auto" w:fill="17365D"/>
            <w:tcMar>
              <w:top w:w="100" w:type="dxa"/>
              <w:left w:w="120" w:type="dxa"/>
              <w:bottom w:w="100" w:type="dxa"/>
              <w:right w:w="120" w:type="dxa"/>
            </w:tcMar>
            <w:vAlign w:val="center"/>
          </w:tcPr>
          <w:p w14:paraId="6D8E5D42">
            <w:pPr>
              <w:spacing w:before="0" w:after="0" w:line="269" w:lineRule="auto"/>
              <w:jc w:val="center"/>
              <w:rPr>
                <w:rFonts w:hint="eastAsia" w:ascii="宋体" w:hAnsi="宋体" w:eastAsia="宋体" w:cs="宋体"/>
                <w:lang w:val="en-US" w:eastAsia="zh-CN"/>
              </w:rPr>
            </w:pPr>
            <w:r>
              <w:rPr>
                <w:rFonts w:hint="eastAsia" w:ascii="宋体" w:hAnsi="宋体" w:cs="宋体"/>
                <w:b/>
                <w:color w:val="FFFFFF"/>
                <w:sz w:val="18"/>
                <w:lang w:val="en-US" w:eastAsia="zh-CN"/>
              </w:rPr>
              <w:t>主要功能</w:t>
            </w:r>
          </w:p>
        </w:tc>
        <w:tc>
          <w:tcPr>
            <w:tcW w:w="0" w:type="auto"/>
            <w:shd w:val="clear" w:color="auto" w:fill="17365D"/>
            <w:tcMar>
              <w:top w:w="100" w:type="dxa"/>
              <w:left w:w="120" w:type="dxa"/>
              <w:bottom w:w="100" w:type="dxa"/>
              <w:right w:w="120" w:type="dxa"/>
            </w:tcMar>
            <w:vAlign w:val="center"/>
          </w:tcPr>
          <w:p w14:paraId="3DA07D05">
            <w:pPr>
              <w:spacing w:before="0" w:after="0" w:line="269" w:lineRule="auto"/>
              <w:jc w:val="center"/>
              <w:rPr>
                <w:rFonts w:hint="default" w:ascii="宋体" w:hAnsi="宋体" w:cs="宋体"/>
                <w:b/>
                <w:color w:val="FFFFFF"/>
                <w:sz w:val="18"/>
                <w:lang w:val="en-US" w:eastAsia="zh-CN"/>
              </w:rPr>
            </w:pPr>
            <w:r>
              <w:rPr>
                <w:rFonts w:hint="eastAsia" w:ascii="宋体" w:hAnsi="宋体" w:cs="宋体"/>
                <w:b/>
                <w:color w:val="FFFFFF"/>
                <w:sz w:val="18"/>
                <w:lang w:val="en-US" w:eastAsia="zh-CN"/>
              </w:rPr>
              <w:t>业务功能</w:t>
            </w:r>
          </w:p>
        </w:tc>
      </w:tr>
      <w:tr w14:paraId="2DC1C1E8">
        <w:trPr>
          <w:cantSplit/>
          <w:jc w:val="center"/>
        </w:trPr>
        <w:tc>
          <w:tcPr>
            <w:tcW w:w="0" w:type="auto"/>
            <w:tcMar>
              <w:top w:w="100" w:type="dxa"/>
              <w:left w:w="120" w:type="dxa"/>
              <w:bottom w:w="100" w:type="dxa"/>
              <w:right w:w="120" w:type="dxa"/>
            </w:tcMar>
            <w:vAlign w:val="center"/>
          </w:tcPr>
          <w:p w14:paraId="68F2BAA9">
            <w:pPr>
              <w:spacing w:before="0" w:after="0" w:line="269" w:lineRule="auto"/>
              <w:jc w:val="left"/>
              <w:rPr>
                <w:rFonts w:hint="default" w:ascii="宋体" w:hAnsi="宋体" w:eastAsia="宋体" w:cs="宋体"/>
                <w:color w:val="000000"/>
                <w:sz w:val="18"/>
                <w:lang w:val="en-US" w:eastAsia="zh-CN"/>
              </w:rPr>
            </w:pPr>
            <w:r>
              <w:rPr>
                <w:rFonts w:hint="eastAsia" w:ascii="宋体" w:hAnsi="宋体" w:eastAsia="宋体" w:cs="宋体"/>
                <w:color w:val="000000"/>
                <w:sz w:val="18"/>
                <w:lang w:val="en-US" w:eastAsia="zh-CN"/>
              </w:rPr>
              <w:t>委托登记</w:t>
            </w:r>
          </w:p>
        </w:tc>
        <w:tc>
          <w:tcPr>
            <w:tcW w:w="0" w:type="auto"/>
            <w:tcMar>
              <w:top w:w="100" w:type="dxa"/>
              <w:left w:w="120" w:type="dxa"/>
              <w:bottom w:w="100" w:type="dxa"/>
              <w:right w:w="120" w:type="dxa"/>
            </w:tcMar>
            <w:vAlign w:val="center"/>
          </w:tcPr>
          <w:p w14:paraId="5B5C0FDA">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创建、查看和管理委托申请；选择已有工程；补充本次委托要求；新增检测样品、选择检测项目并提交申请</w:t>
            </w:r>
          </w:p>
        </w:tc>
        <w:tc>
          <w:tcPr>
            <w:tcW w:w="0" w:type="auto"/>
            <w:tcMar>
              <w:top w:w="100" w:type="dxa"/>
              <w:left w:w="120" w:type="dxa"/>
              <w:bottom w:w="100" w:type="dxa"/>
              <w:right w:w="120" w:type="dxa"/>
            </w:tcMar>
            <w:vAlign w:val="center"/>
          </w:tcPr>
          <w:p w14:paraId="6B06F8E9">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用于形成一次具体的委托申请，并作为浦江委托登记人员后续核验和受理的业务依据</w:t>
            </w:r>
          </w:p>
        </w:tc>
      </w:tr>
      <w:tr w14:paraId="31322F3D">
        <w:trPr>
          <w:cantSplit/>
          <w:jc w:val="center"/>
        </w:trPr>
        <w:tc>
          <w:tcPr>
            <w:tcW w:w="0" w:type="auto"/>
            <w:shd w:val="clear" w:color="auto" w:fill="F5F9FC"/>
            <w:tcMar>
              <w:top w:w="100" w:type="dxa"/>
              <w:left w:w="120" w:type="dxa"/>
              <w:bottom w:w="100" w:type="dxa"/>
              <w:right w:w="120" w:type="dxa"/>
            </w:tcMar>
            <w:vAlign w:val="center"/>
          </w:tcPr>
          <w:p w14:paraId="56868E5A">
            <w:pPr>
              <w:spacing w:before="0" w:after="0" w:line="269" w:lineRule="auto"/>
              <w:jc w:val="left"/>
              <w:rPr>
                <w:rFonts w:hint="default" w:ascii="宋体" w:hAnsi="宋体" w:eastAsia="宋体" w:cs="宋体"/>
                <w:color w:val="000000"/>
                <w:sz w:val="18"/>
                <w:lang w:val="en-US" w:eastAsia="zh-CN"/>
              </w:rPr>
            </w:pPr>
            <w:r>
              <w:rPr>
                <w:rFonts w:hint="eastAsia" w:ascii="宋体" w:hAnsi="宋体" w:eastAsia="宋体" w:cs="宋体"/>
                <w:color w:val="000000"/>
                <w:sz w:val="18"/>
                <w:lang w:val="en-US" w:eastAsia="zh-CN"/>
              </w:rPr>
              <w:t>工程信息</w:t>
            </w:r>
          </w:p>
        </w:tc>
        <w:tc>
          <w:tcPr>
            <w:tcW w:w="0" w:type="auto"/>
            <w:shd w:val="clear" w:color="auto" w:fill="F5F9FC"/>
            <w:tcMar>
              <w:top w:w="100" w:type="dxa"/>
              <w:left w:w="120" w:type="dxa"/>
              <w:bottom w:w="100" w:type="dxa"/>
              <w:right w:w="120" w:type="dxa"/>
            </w:tcMar>
            <w:vAlign w:val="center"/>
          </w:tcPr>
          <w:p w14:paraId="494E25AF">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新增、查看和维护工程资料，包括委托信息、工程信息和本地判定依据</w:t>
            </w:r>
          </w:p>
        </w:tc>
        <w:tc>
          <w:tcPr>
            <w:tcW w:w="0" w:type="auto"/>
            <w:shd w:val="clear" w:color="auto" w:fill="F5F9FC"/>
            <w:tcMar>
              <w:top w:w="100" w:type="dxa"/>
              <w:left w:w="120" w:type="dxa"/>
              <w:bottom w:w="100" w:type="dxa"/>
              <w:right w:w="120" w:type="dxa"/>
            </w:tcMar>
            <w:vAlign w:val="center"/>
          </w:tcPr>
          <w:p w14:paraId="5B462139">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减少同一工程在多次委托过程中重复填写单位、联系人和工程参与方等信息的工作</w:t>
            </w:r>
          </w:p>
        </w:tc>
      </w:tr>
      <w:tr w14:paraId="7E11E3D3">
        <w:trPr>
          <w:cantSplit/>
          <w:jc w:val="center"/>
        </w:trPr>
        <w:tc>
          <w:tcPr>
            <w:tcW w:w="0" w:type="auto"/>
            <w:tcMar>
              <w:top w:w="100" w:type="dxa"/>
              <w:left w:w="120" w:type="dxa"/>
              <w:bottom w:w="100" w:type="dxa"/>
              <w:right w:w="120" w:type="dxa"/>
            </w:tcMar>
            <w:vAlign w:val="center"/>
          </w:tcPr>
          <w:p w14:paraId="2D4AC7FF">
            <w:pPr>
              <w:spacing w:before="0" w:after="0" w:line="269" w:lineRule="auto"/>
              <w:jc w:val="left"/>
              <w:rPr>
                <w:rFonts w:hint="default" w:ascii="宋体" w:hAnsi="宋体" w:eastAsia="宋体" w:cs="宋体"/>
                <w:color w:val="000000"/>
                <w:sz w:val="18"/>
                <w:lang w:val="en-US" w:eastAsia="zh-CN"/>
              </w:rPr>
            </w:pPr>
            <w:r>
              <w:rPr>
                <w:rFonts w:hint="eastAsia" w:ascii="宋体" w:hAnsi="宋体" w:eastAsia="宋体" w:cs="宋体"/>
                <w:color w:val="000000"/>
                <w:sz w:val="18"/>
                <w:lang w:val="en-US" w:eastAsia="zh-CN"/>
              </w:rPr>
              <w:t>我的信息</w:t>
            </w:r>
          </w:p>
        </w:tc>
        <w:tc>
          <w:tcPr>
            <w:tcW w:w="0" w:type="auto"/>
            <w:tcMar>
              <w:top w:w="100" w:type="dxa"/>
              <w:left w:w="120" w:type="dxa"/>
              <w:bottom w:w="100" w:type="dxa"/>
              <w:right w:w="120" w:type="dxa"/>
            </w:tcMar>
            <w:vAlign w:val="center"/>
          </w:tcPr>
          <w:p w14:paraId="00CF5432">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维护委托人的常用信息与个人资料</w:t>
            </w:r>
          </w:p>
        </w:tc>
        <w:tc>
          <w:tcPr>
            <w:tcW w:w="0" w:type="auto"/>
            <w:tcMar>
              <w:top w:w="100" w:type="dxa"/>
              <w:left w:w="120" w:type="dxa"/>
              <w:bottom w:w="100" w:type="dxa"/>
              <w:right w:w="120" w:type="dxa"/>
            </w:tcMar>
            <w:vAlign w:val="center"/>
          </w:tcPr>
          <w:p w14:paraId="48FC2343">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减少常用信息的重复填写，便于委托人统一管理个人资料；具体字段以实际页面和最终确认结果为准</w:t>
            </w:r>
          </w:p>
        </w:tc>
      </w:tr>
    </w:tbl>
    <w:p w14:paraId="2B1A31B8">
      <w:pPr>
        <w:bidi w:val="0"/>
        <w:rPr>
          <w:rFonts w:hint="eastAsia"/>
          <w:lang w:val="en-US" w:eastAsia="en-US"/>
        </w:rPr>
      </w:pPr>
    </w:p>
    <w:p w14:paraId="232D12C6">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将建设面向委托单位和委托人的申请页面，支持填写单位信息、联系人信息、检测需求、样品信息及其他受理所需内容，并提交相关资料。页面按照委托申请的业务顺序组织，提供暂存、提交和信息补充功能，便于委托人分阶段完善申请资料。该项工作的目的是使委托人无需到场即可提交申请，为浦江拓展线上委托渠道。</w:t>
      </w:r>
    </w:p>
    <w:p w14:paraId="1B19EB16">
      <w:pPr>
        <w:bidi w:val="0"/>
        <w:rPr>
          <w:rFonts w:hint="eastAsia"/>
          <w:lang w:val="en-US" w:eastAsia="zh-CN"/>
        </w:rPr>
      </w:pPr>
      <w:r>
        <w:drawing>
          <wp:inline distT="0" distB="0" distL="114300" distR="114300">
            <wp:extent cx="5269230" cy="3564255"/>
            <wp:effectExtent l="0" t="0" r="13970" b="17145"/>
            <wp:docPr id="67"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4"/>
                    <pic:cNvPicPr>
                      <a:picLocks noChangeAspect="1"/>
                    </pic:cNvPicPr>
                  </pic:nvPicPr>
                  <pic:blipFill>
                    <a:blip r:embed="rId10"/>
                    <a:stretch>
                      <a:fillRect/>
                    </a:stretch>
                  </pic:blipFill>
                  <pic:spPr>
                    <a:xfrm>
                      <a:off x="0" y="0"/>
                      <a:ext cx="5269230" cy="3564255"/>
                    </a:xfrm>
                    <a:prstGeom prst="rect">
                      <a:avLst/>
                    </a:prstGeom>
                    <a:noFill/>
                    <a:ln>
                      <a:noFill/>
                    </a:ln>
                  </pic:spPr>
                </pic:pic>
              </a:graphicData>
            </a:graphic>
          </wp:inline>
        </w:drawing>
      </w:r>
    </w:p>
    <w:p w14:paraId="07407B8F">
      <w:pPr>
        <w:keepNext w:val="0"/>
        <w:keepLines w:val="0"/>
        <w:pageBreakBefore w:val="0"/>
        <w:widowControl w:val="0"/>
        <w:kinsoku/>
        <w:wordWrap/>
        <w:overflowPunct/>
        <w:topLinePunct w:val="0"/>
        <w:autoSpaceDE/>
        <w:autoSpaceDN/>
        <w:bidi w:val="0"/>
        <w:adjustRightInd/>
        <w:snapToGrid/>
        <w:spacing w:after="0" w:line="360" w:lineRule="auto"/>
        <w:ind w:left="0" w:firstLine="0"/>
        <w:jc w:val="left"/>
        <w:textAlignment w:val="auto"/>
        <w:outlineLvl w:val="2"/>
        <w:rPr>
          <w:rFonts w:hint="eastAsia" w:ascii="宋体" w:hAnsi="宋体" w:cs="宋体"/>
          <w:b/>
          <w:snapToGrid w:val="0"/>
          <w:color w:val="000000"/>
          <w:sz w:val="24"/>
          <w:szCs w:val="24"/>
          <w:lang w:val="en-US" w:eastAsia="en-US" w:bidi="ar-SA"/>
        </w:rPr>
      </w:pPr>
      <w:bookmarkStart w:id="15" w:name="_Toc1604188072"/>
      <w:r>
        <w:rPr>
          <w:rFonts w:hint="eastAsia" w:ascii="宋体" w:hAnsi="宋体" w:cs="宋体"/>
          <w:b/>
          <w:snapToGrid w:val="0"/>
          <w:color w:val="000000"/>
          <w:sz w:val="24"/>
          <w:szCs w:val="24"/>
          <w:lang w:val="en-US" w:eastAsia="zh-CN" w:bidi="ar-SA"/>
        </w:rPr>
        <w:t>3</w:t>
      </w:r>
      <w:r>
        <w:rPr>
          <w:rFonts w:hint="eastAsia" w:ascii="宋体" w:hAnsi="宋体" w:cs="宋体"/>
          <w:b/>
          <w:snapToGrid w:val="0"/>
          <w:color w:val="000000"/>
          <w:sz w:val="24"/>
          <w:szCs w:val="24"/>
          <w:lang w:val="en-US" w:eastAsia="en-US" w:bidi="ar-SA"/>
        </w:rPr>
        <w:t xml:space="preserve">.2.2 </w:t>
      </w:r>
      <w:r>
        <w:rPr>
          <w:rFonts w:hint="eastAsia" w:ascii="宋体" w:hAnsi="宋体" w:cs="宋体"/>
          <w:b/>
          <w:snapToGrid w:val="0"/>
          <w:color w:val="000000"/>
          <w:sz w:val="24"/>
          <w:szCs w:val="24"/>
          <w:lang w:val="en-US" w:eastAsia="en-US" w:bidi="ar-SA"/>
        </w:rPr>
        <w:t>委托申请内容梳理</w:t>
      </w:r>
      <w:bookmarkEnd w:id="15"/>
    </w:p>
    <w:p w14:paraId="511A3D96">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lang w:val="en-US" w:eastAsia="en-US"/>
        </w:rPr>
      </w:pPr>
      <w:r>
        <w:rPr>
          <w:rFonts w:hint="eastAsia" w:ascii="宋体" w:hAnsi="宋体" w:eastAsia="宋体" w:cs="宋体"/>
          <w:snapToGrid w:val="0"/>
          <w:color w:val="000000"/>
          <w:sz w:val="24"/>
          <w:szCs w:val="24"/>
          <w:lang w:val="en-US" w:eastAsia="en-US" w:bidi="ar-SA"/>
        </w:rPr>
        <w:t>与浦江委托登记人员共同梳理现有委托登记表、样品信息、受理要求和常见补充材料，并以现行业务表单及真实委托样例为依据，逐项确认小程序中的申请字段、必填内容、资料要求和受理条件。该项工作的目的是确保线上申请内容能够满足登记人员的初步核验需要，避免小程序表单与实际受理要求脱节。</w:t>
      </w:r>
    </w:p>
    <w:p w14:paraId="5FDDBA7C">
      <w:pPr>
        <w:keepNext w:val="0"/>
        <w:keepLines w:val="0"/>
        <w:pageBreakBefore w:val="0"/>
        <w:widowControl w:val="0"/>
        <w:kinsoku/>
        <w:wordWrap/>
        <w:overflowPunct/>
        <w:topLinePunct w:val="0"/>
        <w:autoSpaceDE/>
        <w:autoSpaceDN/>
        <w:bidi w:val="0"/>
        <w:adjustRightInd/>
        <w:snapToGrid/>
        <w:spacing w:after="0" w:line="360" w:lineRule="auto"/>
        <w:ind w:left="0" w:firstLine="0"/>
        <w:jc w:val="left"/>
        <w:textAlignment w:val="auto"/>
        <w:outlineLvl w:val="2"/>
        <w:rPr>
          <w:rFonts w:hint="eastAsia"/>
          <w:lang w:val="en-US" w:eastAsia="en-US"/>
        </w:rPr>
      </w:pPr>
      <w:bookmarkStart w:id="16" w:name="_Toc2079221666"/>
      <w:r>
        <w:rPr>
          <w:rFonts w:hint="eastAsia" w:ascii="宋体" w:hAnsi="宋体" w:cs="宋体"/>
          <w:b/>
          <w:snapToGrid w:val="0"/>
          <w:color w:val="000000"/>
          <w:sz w:val="24"/>
          <w:szCs w:val="24"/>
          <w:lang w:val="en-US" w:eastAsia="zh-CN" w:bidi="ar-SA"/>
        </w:rPr>
        <w:t>3</w:t>
      </w:r>
      <w:r>
        <w:rPr>
          <w:rFonts w:hint="eastAsia" w:ascii="宋体" w:hAnsi="宋体" w:cs="宋体"/>
          <w:b/>
          <w:snapToGrid w:val="0"/>
          <w:color w:val="000000"/>
          <w:sz w:val="24"/>
          <w:szCs w:val="24"/>
          <w:lang w:val="en-US" w:eastAsia="en-US" w:bidi="ar-SA"/>
        </w:rPr>
        <w:t>.2.</w:t>
      </w:r>
      <w:r>
        <w:rPr>
          <w:rFonts w:hint="eastAsia" w:ascii="宋体" w:hAnsi="宋体" w:cs="宋体"/>
          <w:b/>
          <w:snapToGrid w:val="0"/>
          <w:color w:val="000000"/>
          <w:sz w:val="24"/>
          <w:szCs w:val="24"/>
          <w:lang w:val="en-US" w:eastAsia="zh-CN" w:bidi="ar-SA"/>
        </w:rPr>
        <w:t>3</w:t>
      </w:r>
      <w:r>
        <w:rPr>
          <w:rFonts w:hint="eastAsia" w:ascii="宋体" w:hAnsi="宋体" w:cs="宋体"/>
          <w:b/>
          <w:snapToGrid w:val="0"/>
          <w:color w:val="000000"/>
          <w:sz w:val="24"/>
          <w:szCs w:val="24"/>
          <w:lang w:val="en-US" w:eastAsia="en-US" w:bidi="ar-SA"/>
        </w:rPr>
        <w:t xml:space="preserve"> 申请</w:t>
      </w:r>
      <w:r>
        <w:rPr>
          <w:rFonts w:hint="eastAsia" w:ascii="宋体" w:hAnsi="宋体" w:cs="宋体"/>
          <w:b/>
          <w:snapToGrid w:val="0"/>
          <w:color w:val="000000"/>
          <w:sz w:val="24"/>
          <w:szCs w:val="24"/>
          <w:lang w:val="en-US" w:eastAsia="zh-CN" w:bidi="ar-SA"/>
        </w:rPr>
        <w:t>受理功能建设</w:t>
      </w:r>
      <w:bookmarkEnd w:id="16"/>
    </w:p>
    <w:p w14:paraId="4197055D">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en-US" w:bidi="ar-SA"/>
        </w:rPr>
      </w:pPr>
      <w:r>
        <w:rPr>
          <w:rFonts w:hint="eastAsia" w:ascii="宋体" w:hAnsi="宋体" w:eastAsia="宋体" w:cs="宋体"/>
          <w:snapToGrid w:val="0"/>
          <w:color w:val="000000"/>
          <w:sz w:val="24"/>
          <w:szCs w:val="24"/>
          <w:lang w:val="en-US" w:eastAsia="en-US" w:bidi="ar-SA"/>
        </w:rPr>
        <w:t>将为委托登记人员建设申请查看、资料核验、退回补充和正式受理功能，并对待处理申请进行集中展示。登记人员可根据受理要求核验申请信息，对资料不完整的申请提出补充要求，对符合条件的申请执行受理。该项工作的目的是保证线上申请在进入正式业务流程前经过人工核验，避免不完整或不准确的信息直接形成正式任务。</w:t>
      </w:r>
    </w:p>
    <w:p w14:paraId="423C1A4F">
      <w:pPr>
        <w:bidi w:val="0"/>
        <w:rPr>
          <w:rFonts w:hint="eastAsia"/>
          <w:lang w:val="en-US" w:eastAsia="en-US"/>
        </w:rPr>
      </w:pPr>
      <w:r>
        <w:drawing>
          <wp:inline distT="0" distB="0" distL="114300" distR="114300">
            <wp:extent cx="5257800" cy="1303020"/>
            <wp:effectExtent l="0" t="0" r="0" b="17780"/>
            <wp:docPr id="69"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6"/>
                    <pic:cNvPicPr>
                      <a:picLocks noChangeAspect="1"/>
                    </pic:cNvPicPr>
                  </pic:nvPicPr>
                  <pic:blipFill>
                    <a:blip r:embed="rId11"/>
                    <a:stretch>
                      <a:fillRect/>
                    </a:stretch>
                  </pic:blipFill>
                  <pic:spPr>
                    <a:xfrm>
                      <a:off x="0" y="0"/>
                      <a:ext cx="5257800" cy="1303020"/>
                    </a:xfrm>
                    <a:prstGeom prst="rect">
                      <a:avLst/>
                    </a:prstGeom>
                    <a:noFill/>
                    <a:ln>
                      <a:noFill/>
                    </a:ln>
                  </pic:spPr>
                </pic:pic>
              </a:graphicData>
            </a:graphic>
          </wp:inline>
        </w:drawing>
      </w:r>
    </w:p>
    <w:p w14:paraId="5461A4F5">
      <w:pPr>
        <w:bidi w:val="0"/>
        <w:rPr>
          <w:rFonts w:hint="eastAsia"/>
          <w:lang w:val="en-US" w:eastAsia="en-US"/>
        </w:rPr>
      </w:pPr>
      <w:r>
        <w:drawing>
          <wp:inline distT="0" distB="0" distL="114300" distR="114300">
            <wp:extent cx="5257800" cy="1390650"/>
            <wp:effectExtent l="0" t="0" r="0" b="6350"/>
            <wp:docPr id="68"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5"/>
                    <pic:cNvPicPr>
                      <a:picLocks noChangeAspect="1"/>
                    </pic:cNvPicPr>
                  </pic:nvPicPr>
                  <pic:blipFill>
                    <a:blip r:embed="rId12"/>
                    <a:stretch>
                      <a:fillRect/>
                    </a:stretch>
                  </pic:blipFill>
                  <pic:spPr>
                    <a:xfrm>
                      <a:off x="0" y="0"/>
                      <a:ext cx="5257800" cy="1390650"/>
                    </a:xfrm>
                    <a:prstGeom prst="rect">
                      <a:avLst/>
                    </a:prstGeom>
                    <a:noFill/>
                    <a:ln>
                      <a:noFill/>
                    </a:ln>
                  </pic:spPr>
                </pic:pic>
              </a:graphicData>
            </a:graphic>
          </wp:inline>
        </w:drawing>
      </w:r>
    </w:p>
    <w:p w14:paraId="7E99DC38">
      <w:pPr>
        <w:keepNext w:val="0"/>
        <w:keepLines w:val="0"/>
        <w:pageBreakBefore w:val="0"/>
        <w:widowControl w:val="0"/>
        <w:kinsoku/>
        <w:wordWrap/>
        <w:overflowPunct/>
        <w:topLinePunct w:val="0"/>
        <w:autoSpaceDE/>
        <w:autoSpaceDN/>
        <w:bidi w:val="0"/>
        <w:adjustRightInd/>
        <w:snapToGrid/>
        <w:spacing w:after="0" w:line="360" w:lineRule="auto"/>
        <w:ind w:left="0" w:firstLine="0"/>
        <w:jc w:val="left"/>
        <w:textAlignment w:val="auto"/>
        <w:outlineLvl w:val="2"/>
        <w:rPr>
          <w:rFonts w:hint="default" w:eastAsia="宋体"/>
          <w:lang w:val="en-US" w:eastAsia="zh-CN"/>
        </w:rPr>
      </w:pPr>
      <w:bookmarkStart w:id="17" w:name="_Toc1624636478"/>
      <w:r>
        <w:rPr>
          <w:rFonts w:hint="eastAsia" w:ascii="宋体" w:hAnsi="宋体" w:cs="宋体"/>
          <w:b/>
          <w:snapToGrid w:val="0"/>
          <w:color w:val="000000"/>
          <w:sz w:val="24"/>
          <w:szCs w:val="24"/>
          <w:lang w:val="en-US" w:eastAsia="zh-CN" w:bidi="ar-SA"/>
        </w:rPr>
        <w:t>3</w:t>
      </w:r>
      <w:r>
        <w:rPr>
          <w:rFonts w:hint="eastAsia" w:ascii="宋体" w:hAnsi="宋体" w:cs="宋体"/>
          <w:b/>
          <w:snapToGrid w:val="0"/>
          <w:color w:val="000000"/>
          <w:sz w:val="24"/>
          <w:szCs w:val="24"/>
          <w:lang w:val="en-US" w:eastAsia="en-US" w:bidi="ar-SA"/>
        </w:rPr>
        <w:t>.2.</w:t>
      </w:r>
      <w:r>
        <w:rPr>
          <w:rFonts w:hint="eastAsia" w:ascii="宋体" w:hAnsi="宋体" w:cs="宋体"/>
          <w:b/>
          <w:snapToGrid w:val="0"/>
          <w:color w:val="000000"/>
          <w:sz w:val="24"/>
          <w:szCs w:val="24"/>
          <w:lang w:val="en-US" w:eastAsia="zh-CN" w:bidi="ar-SA"/>
        </w:rPr>
        <w:t>4</w:t>
      </w:r>
      <w:r>
        <w:rPr>
          <w:rFonts w:hint="eastAsia" w:ascii="宋体" w:hAnsi="宋体" w:cs="宋体"/>
          <w:b/>
          <w:snapToGrid w:val="0"/>
          <w:color w:val="000000"/>
          <w:sz w:val="24"/>
          <w:szCs w:val="24"/>
          <w:lang w:val="en-US" w:eastAsia="en-US" w:bidi="ar-SA"/>
        </w:rPr>
        <w:t xml:space="preserve"> </w:t>
      </w:r>
      <w:r>
        <w:rPr>
          <w:rFonts w:hint="eastAsia" w:ascii="宋体" w:hAnsi="宋体" w:cs="宋体"/>
          <w:b/>
          <w:snapToGrid w:val="0"/>
          <w:color w:val="000000"/>
          <w:sz w:val="24"/>
          <w:szCs w:val="24"/>
          <w:lang w:val="en-US" w:eastAsia="zh-CN" w:bidi="ar-SA"/>
        </w:rPr>
        <w:t>与任务系统建立完整流程链路</w:t>
      </w:r>
      <w:bookmarkEnd w:id="17"/>
    </w:p>
    <w:p w14:paraId="7351F86E">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en-US" w:bidi="ar-SA"/>
        </w:rPr>
      </w:pPr>
      <w:r>
        <w:rPr>
          <w:rFonts w:hint="eastAsia" w:ascii="宋体" w:hAnsi="宋体" w:eastAsia="宋体" w:cs="宋体"/>
          <w:snapToGrid w:val="0"/>
          <w:color w:val="000000"/>
          <w:sz w:val="24"/>
          <w:szCs w:val="24"/>
          <w:lang w:val="en-US" w:eastAsia="en-US" w:bidi="ar-SA"/>
        </w:rPr>
        <w:t>将把已受理申请中的客户、联系人、检测需求、样品及相关资料传入二期委托任务系统，并与二期既有委托业务流程衔接。仅有经登记人员确认受理的信息进入二期系统，正式委托任务仍由二期系统按照原有规则生成和管理，三期不重复建设内部任务流转功能。该项工作的目的是减少登记人员对同一信息的重复录入，同时保持正式委托任务由二期系统统一管理。</w:t>
      </w:r>
    </w:p>
    <w:p w14:paraId="02CB50FA">
      <w:pPr>
        <w:keepNext w:val="0"/>
        <w:keepLines w:val="0"/>
        <w:pageBreakBefore w:val="0"/>
        <w:widowControl w:val="0"/>
        <w:kinsoku/>
        <w:wordWrap/>
        <w:overflowPunct/>
        <w:topLinePunct w:val="0"/>
        <w:autoSpaceDE/>
        <w:autoSpaceDN/>
        <w:bidi w:val="0"/>
        <w:adjustRightInd/>
        <w:snapToGrid/>
        <w:spacing w:after="0" w:line="360" w:lineRule="auto"/>
        <w:ind w:left="0" w:firstLine="0"/>
        <w:jc w:val="left"/>
        <w:textAlignment w:val="auto"/>
        <w:outlineLvl w:val="2"/>
        <w:rPr>
          <w:rFonts w:hint="default" w:eastAsia="宋体"/>
          <w:lang w:val="en-US" w:eastAsia="zh-CN"/>
        </w:rPr>
      </w:pPr>
      <w:bookmarkStart w:id="18" w:name="_Toc10714141"/>
      <w:r>
        <w:rPr>
          <w:rFonts w:hint="eastAsia" w:ascii="宋体" w:hAnsi="宋体" w:cs="宋体"/>
          <w:b/>
          <w:snapToGrid w:val="0"/>
          <w:color w:val="000000"/>
          <w:sz w:val="24"/>
          <w:szCs w:val="24"/>
          <w:lang w:val="en-US" w:eastAsia="zh-CN" w:bidi="ar-SA"/>
        </w:rPr>
        <w:t>3</w:t>
      </w:r>
      <w:r>
        <w:rPr>
          <w:rFonts w:hint="eastAsia" w:ascii="宋体" w:hAnsi="宋体" w:cs="宋体"/>
          <w:b/>
          <w:snapToGrid w:val="0"/>
          <w:color w:val="000000"/>
          <w:sz w:val="24"/>
          <w:szCs w:val="24"/>
          <w:lang w:val="en-US" w:eastAsia="en-US" w:bidi="ar-SA"/>
        </w:rPr>
        <w:t>.2.</w:t>
      </w:r>
      <w:r>
        <w:rPr>
          <w:rFonts w:hint="eastAsia" w:ascii="宋体" w:hAnsi="宋体" w:cs="宋体"/>
          <w:b/>
          <w:snapToGrid w:val="0"/>
          <w:color w:val="000000"/>
          <w:sz w:val="24"/>
          <w:szCs w:val="24"/>
          <w:lang w:val="en-US" w:eastAsia="zh-CN" w:bidi="ar-SA"/>
        </w:rPr>
        <w:t>5</w:t>
      </w:r>
      <w:r>
        <w:rPr>
          <w:rFonts w:hint="eastAsia" w:ascii="宋体" w:hAnsi="宋体" w:cs="宋体"/>
          <w:b/>
          <w:snapToGrid w:val="0"/>
          <w:color w:val="000000"/>
          <w:sz w:val="24"/>
          <w:szCs w:val="24"/>
          <w:lang w:val="en-US" w:eastAsia="en-US" w:bidi="ar-SA"/>
        </w:rPr>
        <w:t xml:space="preserve"> </w:t>
      </w:r>
      <w:r>
        <w:rPr>
          <w:rFonts w:hint="eastAsia" w:ascii="宋体" w:hAnsi="宋体" w:cs="宋体"/>
          <w:b/>
          <w:snapToGrid w:val="0"/>
          <w:color w:val="000000"/>
          <w:sz w:val="24"/>
          <w:szCs w:val="24"/>
          <w:lang w:val="en-US" w:eastAsia="zh-CN" w:bidi="ar-SA"/>
        </w:rPr>
        <w:t>申请反馈与过程记录</w:t>
      </w:r>
      <w:bookmarkEnd w:id="18"/>
    </w:p>
    <w:p w14:paraId="41892370">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en-US" w:bidi="ar-SA"/>
        </w:rPr>
      </w:pPr>
      <w:r>
        <w:rPr>
          <w:rFonts w:hint="eastAsia" w:ascii="宋体" w:hAnsi="宋体" w:eastAsia="宋体" w:cs="宋体"/>
          <w:snapToGrid w:val="0"/>
          <w:color w:val="000000"/>
          <w:sz w:val="24"/>
          <w:szCs w:val="24"/>
          <w:lang w:val="en-US" w:eastAsia="en-US" w:bidi="ar-SA"/>
        </w:rPr>
        <w:t>将建设申请状态查看、补充要求反馈和处理记录查询功能，记录申请提交、资料补充、退回、受理和信息传递等过程，并向委托人展示与其申请相关的处理状态。该项工作的目的是使委托人和登记人员能够及时了解申请处理进度，并为后续业务查询提供依据。</w:t>
      </w:r>
    </w:p>
    <w:p w14:paraId="64536BAF">
      <w:pPr>
        <w:keepNext w:val="0"/>
        <w:keepLines w:val="0"/>
        <w:pageBreakBefore w:val="0"/>
        <w:widowControl/>
        <w:kinsoku w:val="0"/>
        <w:wordWrap/>
        <w:overflowPunct/>
        <w:topLinePunct w:val="0"/>
        <w:autoSpaceDE w:val="0"/>
        <w:autoSpaceDN w:val="0"/>
        <w:bidi w:val="0"/>
        <w:adjustRightInd w:val="0"/>
        <w:snapToGrid w:val="0"/>
        <w:spacing w:after="0" w:line="360" w:lineRule="auto"/>
        <w:ind w:left="0"/>
        <w:jc w:val="left"/>
        <w:textAlignment w:val="baseline"/>
        <w:outlineLvl w:val="1"/>
        <w:rPr>
          <w:rFonts w:hint="default" w:ascii="宋体" w:hAnsi="宋体" w:eastAsia="宋体" w:cs="宋体"/>
          <w:b/>
          <w:snapToGrid w:val="0"/>
          <w:color w:val="000000"/>
          <w:sz w:val="28"/>
          <w:szCs w:val="28"/>
          <w:lang w:val="en-US" w:eastAsia="en-US" w:bidi="ar-SA"/>
        </w:rPr>
      </w:pPr>
      <w:bookmarkStart w:id="19" w:name="_Toc1831425086"/>
      <w:r>
        <w:rPr>
          <w:rFonts w:hint="eastAsia" w:ascii="宋体" w:hAnsi="宋体" w:cs="宋体"/>
          <w:b/>
          <w:snapToGrid w:val="0"/>
          <w:color w:val="000000"/>
          <w:sz w:val="28"/>
          <w:szCs w:val="28"/>
          <w:lang w:val="en-US" w:eastAsia="zh-CN" w:bidi="ar-SA"/>
        </w:rPr>
        <w:t>3.3 试验设备数据采集与录入</w:t>
      </w:r>
      <w:bookmarkEnd w:id="19"/>
    </w:p>
    <w:p w14:paraId="656A7BD6">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default" w:ascii="宋体" w:hAnsi="宋体" w:eastAsia="宋体" w:cs="宋体"/>
          <w:snapToGrid w:val="0"/>
          <w:color w:val="000000"/>
          <w:sz w:val="24"/>
          <w:szCs w:val="24"/>
          <w:lang w:val="en-US" w:eastAsia="zh-CN" w:bidi="ar-SA"/>
        </w:rPr>
      </w:pPr>
      <w:r>
        <w:rPr>
          <w:rFonts w:hint="default" w:ascii="宋体" w:hAnsi="宋体" w:eastAsia="宋体" w:cs="宋体"/>
          <w:snapToGrid w:val="0"/>
          <w:color w:val="000000"/>
          <w:sz w:val="24"/>
          <w:szCs w:val="24"/>
          <w:lang w:val="en-US" w:eastAsia="zh-CN" w:bidi="ar-SA"/>
        </w:rPr>
        <w:t>本项建设围绕纳入项目范围的试验设备，将设备产生的试验数据与二期委托任务系统中的委托、样品和任务建立对应关系，并将经核验的数据填入相应任务的数据录入环节。建设过程中保留人工确认</w:t>
      </w:r>
      <w:r>
        <w:rPr>
          <w:rFonts w:hint="eastAsia" w:ascii="宋体" w:hAnsi="宋体" w:cs="宋体"/>
          <w:snapToGrid w:val="0"/>
          <w:color w:val="000000"/>
          <w:sz w:val="24"/>
          <w:szCs w:val="24"/>
          <w:lang w:val="en-US" w:eastAsia="zh-CN" w:bidi="ar-SA"/>
        </w:rPr>
        <w:t>，</w:t>
      </w:r>
      <w:r>
        <w:rPr>
          <w:rFonts w:hint="default" w:ascii="宋体" w:hAnsi="宋体" w:eastAsia="宋体" w:cs="宋体"/>
          <w:snapToGrid w:val="0"/>
          <w:color w:val="000000"/>
          <w:sz w:val="24"/>
          <w:szCs w:val="24"/>
          <w:lang w:val="en-US" w:eastAsia="zh-CN" w:bidi="ar-SA"/>
        </w:rPr>
        <w:t>对于无法自动采集或需要业务判断的内容，仍由试验人员按照现有职责完成处理。</w:t>
      </w:r>
    </w:p>
    <w:p w14:paraId="1C4CE403">
      <w:pPr>
        <w:bidi w:val="0"/>
        <w:rPr>
          <w:rFonts w:hint="default"/>
          <w:lang w:val="en-US" w:eastAsia="zh-CN"/>
        </w:rPr>
      </w:pPr>
      <w:r>
        <w:drawing>
          <wp:inline distT="0" distB="0" distL="114300" distR="114300">
            <wp:extent cx="5255260" cy="1470660"/>
            <wp:effectExtent l="0" t="0" r="2540" b="2540"/>
            <wp:docPr id="73"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0"/>
                    <pic:cNvPicPr>
                      <a:picLocks noChangeAspect="1"/>
                    </pic:cNvPicPr>
                  </pic:nvPicPr>
                  <pic:blipFill>
                    <a:blip r:embed="rId13"/>
                    <a:stretch>
                      <a:fillRect/>
                    </a:stretch>
                  </pic:blipFill>
                  <pic:spPr>
                    <a:xfrm>
                      <a:off x="0" y="0"/>
                      <a:ext cx="5255260" cy="1470660"/>
                    </a:xfrm>
                    <a:prstGeom prst="rect">
                      <a:avLst/>
                    </a:prstGeom>
                    <a:noFill/>
                    <a:ln>
                      <a:noFill/>
                    </a:ln>
                  </pic:spPr>
                </pic:pic>
              </a:graphicData>
            </a:graphic>
          </wp:inline>
        </w:drawing>
      </w:r>
    </w:p>
    <w:p w14:paraId="2D8930BA">
      <w:pPr>
        <w:bidi w:val="0"/>
      </w:pPr>
      <w:r>
        <w:drawing>
          <wp:inline distT="0" distB="0" distL="114300" distR="114300">
            <wp:extent cx="5267325" cy="2054860"/>
            <wp:effectExtent l="0" t="0" r="15875" b="2540"/>
            <wp:docPr id="70"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67"/>
                    <pic:cNvPicPr>
                      <a:picLocks noChangeAspect="1"/>
                    </pic:cNvPicPr>
                  </pic:nvPicPr>
                  <pic:blipFill>
                    <a:blip r:embed="rId14"/>
                    <a:stretch>
                      <a:fillRect/>
                    </a:stretch>
                  </pic:blipFill>
                  <pic:spPr>
                    <a:xfrm>
                      <a:off x="0" y="0"/>
                      <a:ext cx="5267325" cy="2054860"/>
                    </a:xfrm>
                    <a:prstGeom prst="rect">
                      <a:avLst/>
                    </a:prstGeom>
                    <a:noFill/>
                    <a:ln>
                      <a:noFill/>
                    </a:ln>
                  </pic:spPr>
                </pic:pic>
              </a:graphicData>
            </a:graphic>
          </wp:inline>
        </w:drawing>
      </w:r>
    </w:p>
    <w:tbl>
      <w:tblPr>
        <w:tblStyle w:val="13"/>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980"/>
        <w:gridCol w:w="4447"/>
        <w:gridCol w:w="3118"/>
      </w:tblGrid>
      <w:tr w14:paraId="2044B35F">
        <w:trPr>
          <w:cantSplit/>
          <w:tblHeader/>
          <w:jc w:val="center"/>
        </w:trPr>
        <w:tc>
          <w:tcPr>
            <w:tcW w:w="0" w:type="auto"/>
            <w:shd w:val="clear" w:color="auto" w:fill="17365D"/>
            <w:tcMar>
              <w:top w:w="100" w:type="dxa"/>
              <w:left w:w="120" w:type="dxa"/>
              <w:bottom w:w="100" w:type="dxa"/>
              <w:right w:w="120" w:type="dxa"/>
            </w:tcMar>
            <w:vAlign w:val="center"/>
          </w:tcPr>
          <w:p w14:paraId="69287A71">
            <w:pPr>
              <w:spacing w:before="0" w:after="0" w:line="269" w:lineRule="auto"/>
              <w:jc w:val="center"/>
              <w:rPr>
                <w:rFonts w:hint="default" w:ascii="宋体" w:hAnsi="宋体" w:eastAsia="宋体" w:cs="宋体"/>
                <w:lang w:val="en-US" w:eastAsia="zh-CN"/>
              </w:rPr>
            </w:pPr>
            <w:r>
              <w:rPr>
                <w:rFonts w:hint="eastAsia" w:ascii="宋体" w:hAnsi="宋体" w:cs="宋体"/>
                <w:b/>
                <w:color w:val="FFFFFF"/>
                <w:sz w:val="18"/>
                <w:lang w:val="en-US" w:eastAsia="zh-CN"/>
              </w:rPr>
              <w:t>服务对象</w:t>
            </w:r>
          </w:p>
        </w:tc>
        <w:tc>
          <w:tcPr>
            <w:tcW w:w="0" w:type="auto"/>
            <w:shd w:val="clear" w:color="auto" w:fill="17365D"/>
            <w:tcMar>
              <w:top w:w="100" w:type="dxa"/>
              <w:left w:w="120" w:type="dxa"/>
              <w:bottom w:w="100" w:type="dxa"/>
              <w:right w:w="120" w:type="dxa"/>
            </w:tcMar>
            <w:vAlign w:val="center"/>
          </w:tcPr>
          <w:p w14:paraId="4D77EB99">
            <w:pPr>
              <w:spacing w:before="0" w:after="0" w:line="269" w:lineRule="auto"/>
              <w:jc w:val="center"/>
              <w:rPr>
                <w:rFonts w:hint="default" w:ascii="宋体" w:hAnsi="宋体" w:eastAsia="宋体" w:cs="宋体"/>
                <w:lang w:val="en-US" w:eastAsia="zh-CN"/>
              </w:rPr>
            </w:pPr>
            <w:r>
              <w:rPr>
                <w:rFonts w:hint="eastAsia" w:ascii="宋体" w:hAnsi="宋体" w:cs="宋体"/>
                <w:lang w:val="en-US" w:eastAsia="zh-CN"/>
              </w:rPr>
              <w:t>客户的直观体验</w:t>
            </w:r>
          </w:p>
        </w:tc>
        <w:tc>
          <w:tcPr>
            <w:tcW w:w="0" w:type="auto"/>
            <w:shd w:val="clear" w:color="auto" w:fill="17365D"/>
            <w:tcMar>
              <w:top w:w="100" w:type="dxa"/>
              <w:left w:w="120" w:type="dxa"/>
              <w:bottom w:w="100" w:type="dxa"/>
              <w:right w:w="120" w:type="dxa"/>
            </w:tcMar>
            <w:vAlign w:val="center"/>
          </w:tcPr>
          <w:p w14:paraId="32F17839">
            <w:pPr>
              <w:spacing w:before="0" w:after="0" w:line="269" w:lineRule="auto"/>
              <w:jc w:val="center"/>
              <w:rPr>
                <w:rFonts w:hint="default" w:ascii="宋体" w:hAnsi="宋体" w:eastAsia="宋体" w:cs="宋体"/>
                <w:lang w:val="en-US" w:eastAsia="zh-CN"/>
              </w:rPr>
            </w:pPr>
            <w:r>
              <w:rPr>
                <w:rFonts w:hint="eastAsia" w:ascii="宋体" w:hAnsi="宋体" w:cs="宋体"/>
                <w:b/>
                <w:color w:val="FFFFFF"/>
                <w:sz w:val="18"/>
                <w:lang w:val="en-US" w:eastAsia="zh-CN"/>
              </w:rPr>
              <w:t>预期业务成效</w:t>
            </w:r>
          </w:p>
        </w:tc>
      </w:tr>
      <w:tr w14:paraId="1D16B592">
        <w:trPr>
          <w:cantSplit/>
          <w:jc w:val="center"/>
        </w:trPr>
        <w:tc>
          <w:tcPr>
            <w:tcW w:w="0" w:type="auto"/>
            <w:tcMar>
              <w:top w:w="100" w:type="dxa"/>
              <w:left w:w="120" w:type="dxa"/>
              <w:bottom w:w="100" w:type="dxa"/>
              <w:right w:w="120" w:type="dxa"/>
            </w:tcMar>
            <w:vAlign w:val="center"/>
          </w:tcPr>
          <w:p w14:paraId="17D1BAE9">
            <w:pPr>
              <w:spacing w:before="0" w:after="0" w:line="269" w:lineRule="auto"/>
              <w:jc w:val="left"/>
              <w:rPr>
                <w:rFonts w:hint="default" w:ascii="宋体" w:hAnsi="宋体" w:eastAsia="宋体" w:cs="宋体"/>
                <w:color w:val="000000"/>
                <w:sz w:val="18"/>
                <w:lang w:val="en-US" w:eastAsia="zh-CN"/>
              </w:rPr>
            </w:pPr>
            <w:r>
              <w:rPr>
                <w:rFonts w:hint="eastAsia" w:ascii="宋体" w:hAnsi="宋体" w:eastAsia="宋体" w:cs="宋体"/>
                <w:color w:val="000000"/>
                <w:sz w:val="18"/>
              </w:rPr>
              <w:t>试验检测人员</w:t>
            </w:r>
          </w:p>
        </w:tc>
        <w:tc>
          <w:tcPr>
            <w:tcW w:w="0" w:type="auto"/>
            <w:tcMar>
              <w:top w:w="100" w:type="dxa"/>
              <w:left w:w="120" w:type="dxa"/>
              <w:bottom w:w="100" w:type="dxa"/>
              <w:right w:w="120" w:type="dxa"/>
            </w:tcMar>
            <w:vAlign w:val="center"/>
          </w:tcPr>
          <w:p w14:paraId="450200D0">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完成试验后，可在相应任务中查看设备数据及其录入结果，主要完成数据核对、必要补充和异常处理，无需逐项转抄全部设备数据</w:t>
            </w:r>
          </w:p>
        </w:tc>
        <w:tc>
          <w:tcPr>
            <w:tcW w:w="0" w:type="auto"/>
            <w:tcMar>
              <w:top w:w="100" w:type="dxa"/>
              <w:left w:w="120" w:type="dxa"/>
              <w:bottom w:w="100" w:type="dxa"/>
              <w:right w:w="120" w:type="dxa"/>
            </w:tcMar>
            <w:vAlign w:val="center"/>
          </w:tcPr>
          <w:p w14:paraId="4936F831">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减少纸质转抄和办公室二次录入工作，使试验人员将更多精力用于试验操作和结果核对</w:t>
            </w:r>
          </w:p>
        </w:tc>
      </w:tr>
      <w:tr w14:paraId="55F908AE">
        <w:trPr>
          <w:cantSplit/>
          <w:jc w:val="center"/>
        </w:trPr>
        <w:tc>
          <w:tcPr>
            <w:tcW w:w="0" w:type="auto"/>
            <w:shd w:val="clear" w:color="auto" w:fill="F5F9FC"/>
            <w:tcMar>
              <w:top w:w="100" w:type="dxa"/>
              <w:left w:w="120" w:type="dxa"/>
              <w:bottom w:w="100" w:type="dxa"/>
              <w:right w:w="120" w:type="dxa"/>
            </w:tcMar>
            <w:vAlign w:val="center"/>
          </w:tcPr>
          <w:p w14:paraId="3F24496B">
            <w:pPr>
              <w:spacing w:before="0" w:after="0" w:line="269" w:lineRule="auto"/>
              <w:jc w:val="left"/>
              <w:rPr>
                <w:rFonts w:hint="eastAsia" w:ascii="宋体" w:hAnsi="宋体" w:eastAsia="宋体" w:cs="宋体"/>
                <w:color w:val="000000"/>
                <w:sz w:val="18"/>
                <w:lang w:val="en-US" w:eastAsia="zh-CN"/>
              </w:rPr>
            </w:pPr>
            <w:r>
              <w:rPr>
                <w:rFonts w:hint="eastAsia" w:ascii="宋体" w:hAnsi="宋体" w:eastAsia="宋体" w:cs="宋体"/>
                <w:color w:val="000000"/>
                <w:sz w:val="18"/>
              </w:rPr>
              <w:t>报告编制与审核人员</w:t>
            </w:r>
          </w:p>
        </w:tc>
        <w:tc>
          <w:tcPr>
            <w:tcW w:w="0" w:type="auto"/>
            <w:shd w:val="clear" w:color="auto" w:fill="F5F9FC"/>
            <w:tcMar>
              <w:top w:w="100" w:type="dxa"/>
              <w:left w:w="120" w:type="dxa"/>
              <w:bottom w:w="100" w:type="dxa"/>
              <w:right w:w="120" w:type="dxa"/>
            </w:tcMar>
            <w:vAlign w:val="center"/>
          </w:tcPr>
          <w:p w14:paraId="62A9DE1D">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可查看报告所用数据对应的任务、样品、设备、操作人员和原始记录</w:t>
            </w:r>
          </w:p>
        </w:tc>
        <w:tc>
          <w:tcPr>
            <w:tcW w:w="0" w:type="auto"/>
            <w:shd w:val="clear" w:color="auto" w:fill="F5F9FC"/>
            <w:tcMar>
              <w:top w:w="100" w:type="dxa"/>
              <w:left w:w="120" w:type="dxa"/>
              <w:bottom w:w="100" w:type="dxa"/>
              <w:right w:w="120" w:type="dxa"/>
            </w:tcMar>
            <w:vAlign w:val="center"/>
          </w:tcPr>
          <w:p w14:paraId="2ACB61CD">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缩短数据来源核查路径，提高报告数据的可追溯性</w:t>
            </w:r>
          </w:p>
        </w:tc>
      </w:tr>
      <w:tr w14:paraId="36B0AF9D">
        <w:trPr>
          <w:cantSplit/>
          <w:jc w:val="center"/>
        </w:trPr>
        <w:tc>
          <w:tcPr>
            <w:tcW w:w="0" w:type="auto"/>
            <w:shd w:val="clear" w:color="auto" w:fill="F5F9FC"/>
            <w:tcMar>
              <w:top w:w="100" w:type="dxa"/>
              <w:left w:w="120" w:type="dxa"/>
              <w:bottom w:w="100" w:type="dxa"/>
              <w:right w:w="120" w:type="dxa"/>
            </w:tcMar>
            <w:vAlign w:val="center"/>
          </w:tcPr>
          <w:p w14:paraId="360C00D3">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业务与管理人员</w:t>
            </w:r>
          </w:p>
        </w:tc>
        <w:tc>
          <w:tcPr>
            <w:tcW w:w="0" w:type="auto"/>
            <w:shd w:val="clear" w:color="auto" w:fill="F5F9FC"/>
            <w:tcMar>
              <w:top w:w="100" w:type="dxa"/>
              <w:left w:w="120" w:type="dxa"/>
              <w:bottom w:w="100" w:type="dxa"/>
              <w:right w:w="120" w:type="dxa"/>
            </w:tcMar>
            <w:vAlign w:val="center"/>
          </w:tcPr>
          <w:p w14:paraId="19FC7323">
            <w:pPr>
              <w:spacing w:before="0" w:after="0" w:line="269" w:lineRule="auto"/>
              <w:jc w:val="left"/>
              <w:rPr>
                <w:rFonts w:hint="default" w:ascii="宋体" w:hAnsi="宋体" w:eastAsia="宋体" w:cs="宋体"/>
                <w:color w:val="000000"/>
                <w:sz w:val="18"/>
                <w:lang w:val="en-US" w:eastAsia="zh-CN"/>
              </w:rPr>
            </w:pPr>
            <w:r>
              <w:rPr>
                <w:rFonts w:hint="eastAsia" w:ascii="宋体" w:hAnsi="宋体" w:eastAsia="宋体" w:cs="宋体"/>
                <w:color w:val="000000"/>
                <w:sz w:val="18"/>
              </w:rPr>
              <w:t>可查看各设备的数据采集、任务关联、自动录入</w:t>
            </w:r>
            <w:r>
              <w:rPr>
                <w:rFonts w:hint="eastAsia" w:ascii="宋体" w:hAnsi="宋体" w:cs="宋体"/>
                <w:color w:val="000000"/>
                <w:sz w:val="18"/>
                <w:lang w:val="en-US" w:eastAsia="zh-CN"/>
              </w:rPr>
              <w:t>的日志数据</w:t>
            </w:r>
          </w:p>
        </w:tc>
        <w:tc>
          <w:tcPr>
            <w:tcW w:w="0" w:type="auto"/>
            <w:shd w:val="clear" w:color="auto" w:fill="F5F9FC"/>
            <w:tcMar>
              <w:top w:w="100" w:type="dxa"/>
              <w:left w:w="120" w:type="dxa"/>
              <w:bottom w:w="100" w:type="dxa"/>
              <w:right w:w="120" w:type="dxa"/>
            </w:tcMar>
            <w:vAlign w:val="center"/>
          </w:tcPr>
          <w:p w14:paraId="143FCA1F">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及时掌握设备数据是否正常进入业务流程，并对漏采、错配和待处理数据进行跟踪</w:t>
            </w:r>
          </w:p>
        </w:tc>
      </w:tr>
    </w:tbl>
    <w:p w14:paraId="6F08B2FD">
      <w:pPr>
        <w:bidi w:val="0"/>
      </w:pPr>
    </w:p>
    <w:p w14:paraId="6E5BDDFB">
      <w:pPr>
        <w:bidi w:val="0"/>
      </w:pPr>
    </w:p>
    <w:p w14:paraId="0F6DBEEF">
      <w:pPr>
        <w:keepNext w:val="0"/>
        <w:keepLines w:val="0"/>
        <w:pageBreakBefore w:val="0"/>
        <w:widowControl w:val="0"/>
        <w:kinsoku/>
        <w:wordWrap/>
        <w:overflowPunct/>
        <w:topLinePunct w:val="0"/>
        <w:autoSpaceDE/>
        <w:autoSpaceDN/>
        <w:bidi w:val="0"/>
        <w:adjustRightInd/>
        <w:snapToGrid/>
        <w:spacing w:after="0" w:line="360" w:lineRule="auto"/>
        <w:ind w:left="0" w:firstLine="0"/>
        <w:jc w:val="left"/>
        <w:textAlignment w:val="auto"/>
        <w:outlineLvl w:val="2"/>
        <w:rPr>
          <w:rFonts w:hint="default" w:ascii="宋体" w:hAnsi="宋体" w:eastAsia="宋体" w:cs="宋体"/>
          <w:snapToGrid w:val="0"/>
          <w:color w:val="000000"/>
          <w:sz w:val="24"/>
          <w:szCs w:val="24"/>
          <w:lang w:val="en-US" w:eastAsia="zh-CN" w:bidi="ar-SA"/>
        </w:rPr>
      </w:pPr>
      <w:bookmarkStart w:id="20" w:name="_Toc878307951"/>
      <w:r>
        <w:rPr>
          <w:rFonts w:hint="eastAsia" w:ascii="宋体" w:hAnsi="宋体" w:cs="宋体"/>
          <w:b/>
          <w:snapToGrid w:val="0"/>
          <w:color w:val="000000"/>
          <w:sz w:val="24"/>
          <w:szCs w:val="24"/>
          <w:lang w:val="en-US" w:eastAsia="zh-CN" w:bidi="ar-SA"/>
        </w:rPr>
        <w:t>3.3</w:t>
      </w:r>
      <w:r>
        <w:rPr>
          <w:rFonts w:hint="default" w:ascii="宋体" w:hAnsi="宋体" w:cs="宋体"/>
          <w:b/>
          <w:snapToGrid w:val="0"/>
          <w:color w:val="000000"/>
          <w:sz w:val="24"/>
          <w:szCs w:val="24"/>
          <w:lang w:val="en-US" w:eastAsia="zh-CN" w:bidi="ar-SA"/>
        </w:rPr>
        <w:t>.1 设备范围与数据条件确认</w:t>
      </w:r>
      <w:bookmarkEnd w:id="20"/>
    </w:p>
    <w:p w14:paraId="23712D0C">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default" w:ascii="宋体" w:hAnsi="宋体" w:eastAsia="宋体" w:cs="宋体"/>
          <w:snapToGrid w:val="0"/>
          <w:color w:val="000000"/>
          <w:sz w:val="24"/>
          <w:szCs w:val="24"/>
          <w:lang w:val="en-US" w:eastAsia="zh-CN" w:bidi="ar-SA"/>
        </w:rPr>
      </w:pPr>
      <w:r>
        <w:rPr>
          <w:rFonts w:hint="default" w:ascii="宋体" w:hAnsi="宋体" w:eastAsia="宋体" w:cs="宋体"/>
          <w:snapToGrid w:val="0"/>
          <w:color w:val="000000"/>
          <w:sz w:val="24"/>
          <w:szCs w:val="24"/>
          <w:lang w:val="en-US" w:eastAsia="zh-CN" w:bidi="ar-SA"/>
        </w:rPr>
        <w:t>配合浦江逐台核对拟接入设备的型号、使用场景、原厂软件、数据输出方式、可取得的数据内容和现场配合条件。实施过程中，以设备台账、原厂资料和真实试验样例为依据形成设备接入清单，并分别说明可直接采集、需通过文件获取或暂不具备接入条件的设备。该项工作的目的是明确本期设备接入范围和实施条件，使后续建设及验收具有清晰边界。</w:t>
      </w:r>
    </w:p>
    <w:p w14:paraId="16106D6C">
      <w:pPr>
        <w:keepNext w:val="0"/>
        <w:keepLines w:val="0"/>
        <w:pageBreakBefore w:val="0"/>
        <w:widowControl w:val="0"/>
        <w:kinsoku/>
        <w:wordWrap/>
        <w:overflowPunct/>
        <w:topLinePunct w:val="0"/>
        <w:autoSpaceDE/>
        <w:autoSpaceDN/>
        <w:bidi w:val="0"/>
        <w:adjustRightInd/>
        <w:snapToGrid/>
        <w:spacing w:after="0" w:line="360" w:lineRule="auto"/>
        <w:ind w:left="0" w:firstLine="0"/>
        <w:jc w:val="left"/>
        <w:textAlignment w:val="auto"/>
        <w:outlineLvl w:val="2"/>
        <w:rPr>
          <w:rFonts w:hint="default" w:ascii="宋体" w:hAnsi="宋体" w:eastAsia="宋体" w:cs="宋体"/>
          <w:snapToGrid w:val="0"/>
          <w:color w:val="000000"/>
          <w:sz w:val="24"/>
          <w:szCs w:val="24"/>
          <w:lang w:val="en-US" w:eastAsia="zh-CN" w:bidi="ar-SA"/>
        </w:rPr>
      </w:pPr>
      <w:bookmarkStart w:id="21" w:name="_Toc2066626626"/>
      <w:r>
        <w:rPr>
          <w:rFonts w:hint="eastAsia" w:ascii="宋体" w:hAnsi="宋体" w:cs="宋体"/>
          <w:b/>
          <w:snapToGrid w:val="0"/>
          <w:color w:val="000000"/>
          <w:sz w:val="24"/>
          <w:szCs w:val="24"/>
          <w:lang w:val="en-US" w:eastAsia="zh-CN" w:bidi="ar-SA"/>
        </w:rPr>
        <w:t>3.3</w:t>
      </w:r>
      <w:r>
        <w:rPr>
          <w:rFonts w:hint="default" w:ascii="宋体" w:hAnsi="宋体" w:cs="宋体"/>
          <w:b/>
          <w:snapToGrid w:val="0"/>
          <w:color w:val="000000"/>
          <w:sz w:val="24"/>
          <w:szCs w:val="24"/>
          <w:lang w:val="en-US" w:eastAsia="zh-CN" w:bidi="ar-SA"/>
        </w:rPr>
        <w:t>.2 设备数据采集</w:t>
      </w:r>
      <w:bookmarkEnd w:id="21"/>
    </w:p>
    <w:p w14:paraId="7B104437">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default" w:ascii="宋体" w:hAnsi="宋体" w:eastAsia="宋体" w:cs="宋体"/>
          <w:snapToGrid w:val="0"/>
          <w:color w:val="000000"/>
          <w:sz w:val="24"/>
          <w:szCs w:val="24"/>
          <w:lang w:val="en-US" w:eastAsia="zh-CN" w:bidi="ar-SA"/>
        </w:rPr>
      </w:pPr>
      <w:r>
        <w:rPr>
          <w:rFonts w:hint="default" w:ascii="宋体" w:hAnsi="宋体" w:eastAsia="宋体" w:cs="宋体"/>
          <w:snapToGrid w:val="0"/>
          <w:color w:val="000000"/>
          <w:sz w:val="24"/>
          <w:szCs w:val="24"/>
          <w:lang w:val="en-US" w:eastAsia="zh-CN" w:bidi="ar-SA"/>
        </w:rPr>
        <w:t>根据每台设备的实际条件建立相应的数据获取方式，采集设备产生的试验结果，并在条件允许时同步保留试验曲线和原始文件。对于能够直接提供数据的设备实施自动采集；对于通过原厂软件形成文件的设备读取其输出文件；对于暂不支持自动获取的数据保留受控导入方式。该项工作的目的是减少试验人员从设备界面或原始文件中人工抄录数据的工作，同时保留数据的原始来源。</w:t>
      </w:r>
    </w:p>
    <w:p w14:paraId="7BC8B26F">
      <w:pPr>
        <w:keepNext w:val="0"/>
        <w:keepLines w:val="0"/>
        <w:pageBreakBefore w:val="0"/>
        <w:widowControl w:val="0"/>
        <w:kinsoku/>
        <w:wordWrap/>
        <w:overflowPunct/>
        <w:topLinePunct w:val="0"/>
        <w:autoSpaceDE/>
        <w:autoSpaceDN/>
        <w:bidi w:val="0"/>
        <w:adjustRightInd/>
        <w:snapToGrid/>
        <w:spacing w:after="0" w:line="360" w:lineRule="auto"/>
        <w:ind w:left="0" w:firstLine="0"/>
        <w:jc w:val="left"/>
        <w:textAlignment w:val="auto"/>
        <w:outlineLvl w:val="2"/>
        <w:rPr>
          <w:rFonts w:hint="default" w:ascii="宋体" w:hAnsi="宋体" w:eastAsia="宋体" w:cs="宋体"/>
          <w:snapToGrid w:val="0"/>
          <w:color w:val="000000"/>
          <w:sz w:val="24"/>
          <w:szCs w:val="24"/>
          <w:lang w:val="en-US" w:eastAsia="zh-CN" w:bidi="ar-SA"/>
        </w:rPr>
      </w:pPr>
      <w:bookmarkStart w:id="22" w:name="_Toc393196604"/>
      <w:r>
        <w:rPr>
          <w:rFonts w:hint="eastAsia" w:ascii="宋体" w:hAnsi="宋体" w:cs="宋体"/>
          <w:b/>
          <w:snapToGrid w:val="0"/>
          <w:color w:val="000000"/>
          <w:sz w:val="24"/>
          <w:szCs w:val="24"/>
          <w:lang w:val="en-US" w:eastAsia="zh-CN" w:bidi="ar-SA"/>
        </w:rPr>
        <w:t>3.3</w:t>
      </w:r>
      <w:r>
        <w:rPr>
          <w:rFonts w:hint="default" w:ascii="宋体" w:hAnsi="宋体" w:cs="宋体"/>
          <w:b/>
          <w:snapToGrid w:val="0"/>
          <w:color w:val="000000"/>
          <w:sz w:val="24"/>
          <w:szCs w:val="24"/>
          <w:lang w:val="en-US" w:eastAsia="zh-CN" w:bidi="ar-SA"/>
        </w:rPr>
        <w:t>.3 试验任务关联</w:t>
      </w:r>
      <w:bookmarkEnd w:id="22"/>
    </w:p>
    <w:p w14:paraId="0F899574">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default" w:ascii="宋体" w:hAnsi="宋体" w:eastAsia="宋体" w:cs="宋体"/>
          <w:snapToGrid w:val="0"/>
          <w:color w:val="000000"/>
          <w:sz w:val="24"/>
          <w:szCs w:val="24"/>
          <w:lang w:val="en-US" w:eastAsia="zh-CN" w:bidi="ar-SA"/>
        </w:rPr>
      </w:pPr>
      <w:r>
        <w:rPr>
          <w:rFonts w:hint="default" w:ascii="宋体" w:hAnsi="宋体" w:eastAsia="宋体" w:cs="宋体"/>
          <w:snapToGrid w:val="0"/>
          <w:color w:val="000000"/>
          <w:sz w:val="24"/>
          <w:szCs w:val="24"/>
          <w:lang w:val="en-US" w:eastAsia="zh-CN" w:bidi="ar-SA"/>
        </w:rPr>
        <w:t>把采集数据与二期系统中的委托、样品、任务、检测项目、操作人员和设备建立对应关系。试验开始前或数据形成后，系统依据任务和样品信息进行匹配；对于无法确定归属的数据，由试验人员补充选择或确认。该项工作的目的是确保每组设备数据均能准确归入对应的试验任务，避免数据错配。</w:t>
      </w:r>
    </w:p>
    <w:p w14:paraId="4CF2FDBB">
      <w:pPr>
        <w:keepNext w:val="0"/>
        <w:keepLines w:val="0"/>
        <w:pageBreakBefore w:val="0"/>
        <w:widowControl w:val="0"/>
        <w:kinsoku/>
        <w:wordWrap/>
        <w:overflowPunct/>
        <w:topLinePunct w:val="0"/>
        <w:autoSpaceDE/>
        <w:autoSpaceDN/>
        <w:bidi w:val="0"/>
        <w:adjustRightInd/>
        <w:snapToGrid/>
        <w:spacing w:after="0" w:line="360" w:lineRule="auto"/>
        <w:ind w:left="0" w:firstLine="0"/>
        <w:jc w:val="left"/>
        <w:textAlignment w:val="auto"/>
        <w:outlineLvl w:val="2"/>
        <w:rPr>
          <w:rFonts w:hint="default" w:ascii="宋体" w:hAnsi="宋体" w:eastAsia="宋体" w:cs="宋体"/>
          <w:snapToGrid w:val="0"/>
          <w:color w:val="000000"/>
          <w:sz w:val="24"/>
          <w:szCs w:val="24"/>
          <w:lang w:val="en-US" w:eastAsia="zh-CN" w:bidi="ar-SA"/>
        </w:rPr>
      </w:pPr>
      <w:bookmarkStart w:id="23" w:name="_Toc648141609"/>
      <w:r>
        <w:rPr>
          <w:rFonts w:hint="eastAsia" w:ascii="宋体" w:hAnsi="宋体" w:cs="宋体"/>
          <w:b/>
          <w:snapToGrid w:val="0"/>
          <w:color w:val="000000"/>
          <w:sz w:val="24"/>
          <w:szCs w:val="24"/>
          <w:lang w:val="en-US" w:eastAsia="zh-CN" w:bidi="ar-SA"/>
        </w:rPr>
        <w:t>3.3</w:t>
      </w:r>
      <w:r>
        <w:rPr>
          <w:rFonts w:hint="default" w:ascii="宋体" w:hAnsi="宋体" w:cs="宋体"/>
          <w:b/>
          <w:snapToGrid w:val="0"/>
          <w:color w:val="000000"/>
          <w:sz w:val="24"/>
          <w:szCs w:val="24"/>
          <w:lang w:val="en-US" w:eastAsia="zh-CN" w:bidi="ar-SA"/>
        </w:rPr>
        <w:t>.4 数据检查与自动录入</w:t>
      </w:r>
      <w:bookmarkEnd w:id="23"/>
    </w:p>
    <w:p w14:paraId="2E2D38D2">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default" w:ascii="宋体" w:hAnsi="宋体" w:eastAsia="宋体" w:cs="宋体"/>
          <w:snapToGrid w:val="0"/>
          <w:color w:val="000000"/>
          <w:sz w:val="24"/>
          <w:szCs w:val="24"/>
          <w:lang w:val="en-US" w:eastAsia="zh-CN" w:bidi="ar-SA"/>
        </w:rPr>
      </w:pPr>
      <w:r>
        <w:rPr>
          <w:rFonts w:hint="default" w:ascii="宋体" w:hAnsi="宋体" w:eastAsia="宋体" w:cs="宋体"/>
          <w:snapToGrid w:val="0"/>
          <w:color w:val="000000"/>
          <w:sz w:val="24"/>
          <w:szCs w:val="24"/>
          <w:lang w:val="en-US" w:eastAsia="zh-CN" w:bidi="ar-SA"/>
        </w:rPr>
        <w:t>对数据完整性、计量单位、合理范围和重复情况进行检查，并把符合要求的数据填入二期系统相应任务的数据录入环节。系统先完成数据检查，再将结果展示给试验人员确认；经确认的数据进入二期系统，需要人工补充的内容仍由试验人员按照现有职责完成。该项工作的目的是将试验人员的工作由逐项录入调整为数据核对和必要补充，降低重复录入工作量。</w:t>
      </w:r>
    </w:p>
    <w:p w14:paraId="79EA6C80">
      <w:pPr>
        <w:pStyle w:val="2"/>
        <w:rPr>
          <w:rFonts w:hint="eastAsia" w:ascii="宋体" w:hAnsi="宋体" w:cs="宋体"/>
          <w:b/>
          <w:snapToGrid w:val="0"/>
          <w:color w:val="000000"/>
          <w:sz w:val="28"/>
          <w:szCs w:val="28"/>
          <w:lang w:val="en-US" w:eastAsia="zh-CN" w:bidi="ar-SA"/>
        </w:rPr>
      </w:pPr>
      <w:bookmarkStart w:id="24" w:name="_Toc1278964879"/>
      <w:r>
        <w:rPr>
          <w:rFonts w:hint="eastAsia" w:ascii="宋体" w:hAnsi="宋体" w:cs="宋体"/>
          <w:b/>
          <w:snapToGrid w:val="0"/>
          <w:color w:val="000000"/>
          <w:sz w:val="28"/>
          <w:szCs w:val="28"/>
          <w:lang w:val="en-US" w:eastAsia="zh-CN" w:bidi="ar-SA"/>
        </w:rPr>
        <w:t>3.4 报告生成与分析智能体</w:t>
      </w:r>
      <w:bookmarkEnd w:id="24"/>
    </w:p>
    <w:p w14:paraId="1E2E687A">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default" w:ascii="宋体" w:hAnsi="宋体" w:eastAsia="宋体" w:cs="宋体"/>
          <w:snapToGrid w:val="0"/>
          <w:color w:val="000000"/>
          <w:sz w:val="24"/>
          <w:szCs w:val="24"/>
          <w:lang w:val="en-US" w:eastAsia="zh-CN" w:bidi="ar-SA"/>
        </w:rPr>
      </w:pPr>
      <w:r>
        <w:rPr>
          <w:rFonts w:hint="default" w:ascii="宋体" w:hAnsi="宋体" w:eastAsia="宋体" w:cs="宋体"/>
          <w:snapToGrid w:val="0"/>
          <w:color w:val="000000"/>
          <w:sz w:val="24"/>
          <w:szCs w:val="24"/>
          <w:lang w:val="en-US" w:eastAsia="zh-CN" w:bidi="ar-SA"/>
        </w:rPr>
        <w:t>本项目基于</w:t>
      </w:r>
      <w:r>
        <w:rPr>
          <w:rFonts w:hint="eastAsia" w:ascii="宋体" w:hAnsi="宋体" w:cs="宋体"/>
          <w:snapToGrid w:val="0"/>
          <w:color w:val="000000"/>
          <w:sz w:val="24"/>
          <w:szCs w:val="24"/>
          <w:lang w:val="en-US" w:eastAsia="zh-CN" w:bidi="ar-SA"/>
        </w:rPr>
        <w:t>正方既有的</w:t>
      </w:r>
      <w:r>
        <w:rPr>
          <w:rFonts w:hint="default" w:ascii="宋体" w:hAnsi="宋体" w:eastAsia="宋体" w:cs="宋体"/>
          <w:snapToGrid w:val="0"/>
          <w:color w:val="000000"/>
          <w:sz w:val="24"/>
          <w:szCs w:val="24"/>
          <w:lang w:val="en-US" w:eastAsia="zh-CN" w:bidi="ar-SA"/>
        </w:rPr>
        <w:t>企业智能体产品</w:t>
      </w:r>
      <w:r>
        <w:rPr>
          <w:rFonts w:hint="eastAsia" w:ascii="宋体" w:hAnsi="宋体" w:cs="宋体"/>
          <w:snapToGrid w:val="0"/>
          <w:color w:val="000000"/>
          <w:sz w:val="24"/>
          <w:szCs w:val="24"/>
          <w:lang w:val="en-US" w:eastAsia="zh-CN" w:bidi="ar-SA"/>
        </w:rPr>
        <w:t>，</w:t>
      </w:r>
      <w:r>
        <w:rPr>
          <w:rFonts w:hint="default" w:ascii="宋体" w:hAnsi="宋体" w:eastAsia="宋体" w:cs="宋体"/>
          <w:snapToGrid w:val="0"/>
          <w:color w:val="000000"/>
          <w:sz w:val="24"/>
          <w:szCs w:val="24"/>
          <w:lang w:val="en-US" w:eastAsia="zh-CN" w:bidi="ar-SA"/>
        </w:rPr>
        <w:t>建设报告生成与分析</w:t>
      </w:r>
      <w:r>
        <w:rPr>
          <w:rFonts w:hint="eastAsia" w:ascii="宋体" w:hAnsi="宋体" w:cs="宋体"/>
          <w:snapToGrid w:val="0"/>
          <w:color w:val="000000"/>
          <w:sz w:val="24"/>
          <w:szCs w:val="24"/>
          <w:lang w:val="en-US" w:eastAsia="zh-CN" w:bidi="ar-SA"/>
        </w:rPr>
        <w:t>智能体</w:t>
      </w:r>
      <w:r>
        <w:rPr>
          <w:rFonts w:hint="default" w:ascii="宋体" w:hAnsi="宋体" w:eastAsia="宋体" w:cs="宋体"/>
          <w:snapToGrid w:val="0"/>
          <w:color w:val="000000"/>
          <w:sz w:val="24"/>
          <w:szCs w:val="24"/>
          <w:lang w:val="en-US" w:eastAsia="zh-CN" w:bidi="ar-SA"/>
        </w:rPr>
        <w:t>。系统围绕浦江实际报告类型和编审流程，汇集任务数据、设备数据、桥梁检测数据和用户</w:t>
      </w:r>
      <w:r>
        <w:rPr>
          <w:rFonts w:hint="eastAsia" w:ascii="宋体" w:hAnsi="宋体" w:cs="宋体"/>
          <w:snapToGrid w:val="0"/>
          <w:color w:val="000000"/>
          <w:sz w:val="24"/>
          <w:szCs w:val="24"/>
          <w:lang w:val="en-US" w:eastAsia="zh-CN" w:bidi="ar-SA"/>
        </w:rPr>
        <w:t>上传的</w:t>
      </w:r>
      <w:r>
        <w:rPr>
          <w:rFonts w:hint="default" w:ascii="宋体" w:hAnsi="宋体" w:eastAsia="宋体" w:cs="宋体"/>
          <w:snapToGrid w:val="0"/>
          <w:color w:val="000000"/>
          <w:sz w:val="24"/>
          <w:szCs w:val="24"/>
          <w:lang w:val="en-US" w:eastAsia="zh-CN" w:bidi="ar-SA"/>
        </w:rPr>
        <w:t>资料，形成可编辑、可校验、可追溯的报告初稿，并</w:t>
      </w:r>
      <w:r>
        <w:rPr>
          <w:rFonts w:hint="eastAsia" w:ascii="宋体" w:hAnsi="宋体" w:cs="宋体"/>
          <w:snapToGrid w:val="0"/>
          <w:color w:val="000000"/>
          <w:sz w:val="24"/>
          <w:szCs w:val="24"/>
          <w:lang w:val="en-US" w:eastAsia="zh-CN" w:bidi="ar-SA"/>
        </w:rPr>
        <w:t>根据报告内容辅助提供报告</w:t>
      </w:r>
      <w:r>
        <w:rPr>
          <w:rFonts w:hint="default" w:ascii="宋体" w:hAnsi="宋体" w:eastAsia="宋体" w:cs="宋体"/>
          <w:snapToGrid w:val="0"/>
          <w:color w:val="000000"/>
          <w:sz w:val="24"/>
          <w:szCs w:val="24"/>
          <w:lang w:val="en-US" w:eastAsia="zh-CN" w:bidi="ar-SA"/>
        </w:rPr>
        <w:t>总结与</w:t>
      </w:r>
      <w:r>
        <w:rPr>
          <w:rFonts w:hint="eastAsia" w:ascii="宋体" w:hAnsi="宋体" w:cs="宋体"/>
          <w:snapToGrid w:val="0"/>
          <w:color w:val="000000"/>
          <w:sz w:val="24"/>
          <w:szCs w:val="24"/>
          <w:lang w:val="en-US" w:eastAsia="zh-CN" w:bidi="ar-SA"/>
        </w:rPr>
        <w:t>技术建议</w:t>
      </w:r>
      <w:r>
        <w:rPr>
          <w:rFonts w:hint="default" w:ascii="宋体" w:hAnsi="宋体" w:eastAsia="宋体" w:cs="宋体"/>
          <w:snapToGrid w:val="0"/>
          <w:color w:val="000000"/>
          <w:sz w:val="24"/>
          <w:szCs w:val="24"/>
          <w:lang w:val="en-US" w:eastAsia="zh-CN" w:bidi="ar-SA"/>
        </w:rPr>
        <w:t>。智能体不替代编制、审核和签发职责，正式报告仍由相关人员按照既有流程确认。</w:t>
      </w:r>
    </w:p>
    <w:p w14:paraId="1D3B21CC">
      <w:pPr>
        <w:bidi w:val="0"/>
        <w:rPr>
          <w:rFonts w:hint="default"/>
          <w:lang w:val="en-US" w:eastAsia="zh-CN"/>
        </w:rPr>
      </w:pPr>
      <w:r>
        <w:drawing>
          <wp:inline distT="0" distB="0" distL="114300" distR="114300">
            <wp:extent cx="5255260" cy="1466850"/>
            <wp:effectExtent l="0" t="0" r="2540" b="6350"/>
            <wp:docPr id="74"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1"/>
                    <pic:cNvPicPr>
                      <a:picLocks noChangeAspect="1"/>
                    </pic:cNvPicPr>
                  </pic:nvPicPr>
                  <pic:blipFill>
                    <a:blip r:embed="rId15"/>
                    <a:stretch>
                      <a:fillRect/>
                    </a:stretch>
                  </pic:blipFill>
                  <pic:spPr>
                    <a:xfrm>
                      <a:off x="0" y="0"/>
                      <a:ext cx="5255260" cy="1466850"/>
                    </a:xfrm>
                    <a:prstGeom prst="rect">
                      <a:avLst/>
                    </a:prstGeom>
                    <a:noFill/>
                    <a:ln>
                      <a:noFill/>
                    </a:ln>
                  </pic:spPr>
                </pic:pic>
              </a:graphicData>
            </a:graphic>
          </wp:inline>
        </w:drawing>
      </w:r>
    </w:p>
    <w:p w14:paraId="23F75937">
      <w:pPr>
        <w:bidi w:val="0"/>
      </w:pPr>
      <w:r>
        <w:drawing>
          <wp:inline distT="0" distB="0" distL="114300" distR="114300">
            <wp:extent cx="5254625" cy="3300730"/>
            <wp:effectExtent l="0" t="0" r="3175" b="1270"/>
            <wp:docPr id="71"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68"/>
                    <pic:cNvPicPr>
                      <a:picLocks noChangeAspect="1"/>
                    </pic:cNvPicPr>
                  </pic:nvPicPr>
                  <pic:blipFill>
                    <a:blip r:embed="rId16"/>
                    <a:stretch>
                      <a:fillRect/>
                    </a:stretch>
                  </pic:blipFill>
                  <pic:spPr>
                    <a:xfrm>
                      <a:off x="0" y="0"/>
                      <a:ext cx="5254625" cy="3300730"/>
                    </a:xfrm>
                    <a:prstGeom prst="rect">
                      <a:avLst/>
                    </a:prstGeom>
                    <a:noFill/>
                    <a:ln>
                      <a:noFill/>
                    </a:ln>
                  </pic:spPr>
                </pic:pic>
              </a:graphicData>
            </a:graphic>
          </wp:inline>
        </w:drawing>
      </w:r>
    </w:p>
    <w:tbl>
      <w:tblPr>
        <w:tblStyle w:val="13"/>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1057"/>
        <w:gridCol w:w="4274"/>
        <w:gridCol w:w="3214"/>
      </w:tblGrid>
      <w:tr w14:paraId="6B48C03A">
        <w:trPr>
          <w:cantSplit/>
          <w:tblHeader/>
          <w:jc w:val="center"/>
        </w:trPr>
        <w:tc>
          <w:tcPr>
            <w:tcW w:w="0" w:type="auto"/>
            <w:shd w:val="clear" w:color="auto" w:fill="17365D"/>
            <w:tcMar>
              <w:top w:w="100" w:type="dxa"/>
              <w:left w:w="120" w:type="dxa"/>
              <w:bottom w:w="100" w:type="dxa"/>
              <w:right w:w="120" w:type="dxa"/>
            </w:tcMar>
            <w:vAlign w:val="center"/>
          </w:tcPr>
          <w:p w14:paraId="00743CDA">
            <w:pPr>
              <w:spacing w:before="0" w:after="0" w:line="269" w:lineRule="auto"/>
              <w:jc w:val="center"/>
              <w:rPr>
                <w:rFonts w:hint="default" w:ascii="宋体" w:hAnsi="宋体" w:eastAsia="宋体" w:cs="宋体"/>
                <w:lang w:val="en-US" w:eastAsia="zh-CN"/>
              </w:rPr>
            </w:pPr>
            <w:r>
              <w:rPr>
                <w:rFonts w:hint="eastAsia" w:ascii="宋体" w:hAnsi="宋体" w:cs="宋体"/>
                <w:b/>
                <w:color w:val="FFFFFF"/>
                <w:sz w:val="18"/>
                <w:lang w:val="en-US" w:eastAsia="zh-CN"/>
              </w:rPr>
              <w:t>服务对象</w:t>
            </w:r>
          </w:p>
        </w:tc>
        <w:tc>
          <w:tcPr>
            <w:tcW w:w="0" w:type="auto"/>
            <w:shd w:val="clear" w:color="auto" w:fill="17365D"/>
            <w:tcMar>
              <w:top w:w="100" w:type="dxa"/>
              <w:left w:w="120" w:type="dxa"/>
              <w:bottom w:w="100" w:type="dxa"/>
              <w:right w:w="120" w:type="dxa"/>
            </w:tcMar>
            <w:vAlign w:val="center"/>
          </w:tcPr>
          <w:p w14:paraId="5A7A7AFD">
            <w:pPr>
              <w:spacing w:before="0" w:after="0" w:line="269" w:lineRule="auto"/>
              <w:jc w:val="center"/>
              <w:rPr>
                <w:rFonts w:hint="default" w:ascii="宋体" w:hAnsi="宋体" w:eastAsia="宋体" w:cs="宋体"/>
                <w:lang w:val="en-US" w:eastAsia="zh-CN"/>
              </w:rPr>
            </w:pPr>
            <w:r>
              <w:rPr>
                <w:rFonts w:hint="eastAsia" w:ascii="宋体" w:hAnsi="宋体" w:cs="宋体"/>
                <w:lang w:val="en-US" w:eastAsia="zh-CN"/>
              </w:rPr>
              <w:t>客户的直观体验</w:t>
            </w:r>
          </w:p>
        </w:tc>
        <w:tc>
          <w:tcPr>
            <w:tcW w:w="0" w:type="auto"/>
            <w:shd w:val="clear" w:color="auto" w:fill="17365D"/>
            <w:tcMar>
              <w:top w:w="100" w:type="dxa"/>
              <w:left w:w="120" w:type="dxa"/>
              <w:bottom w:w="100" w:type="dxa"/>
              <w:right w:w="120" w:type="dxa"/>
            </w:tcMar>
            <w:vAlign w:val="center"/>
          </w:tcPr>
          <w:p w14:paraId="2F0562DA">
            <w:pPr>
              <w:spacing w:before="0" w:after="0" w:line="269" w:lineRule="auto"/>
              <w:jc w:val="center"/>
              <w:rPr>
                <w:rFonts w:hint="default" w:ascii="宋体" w:hAnsi="宋体" w:eastAsia="宋体" w:cs="宋体"/>
                <w:lang w:val="en-US" w:eastAsia="zh-CN"/>
              </w:rPr>
            </w:pPr>
            <w:r>
              <w:rPr>
                <w:rFonts w:hint="eastAsia" w:ascii="宋体" w:hAnsi="宋体" w:cs="宋体"/>
                <w:b/>
                <w:color w:val="FFFFFF"/>
                <w:sz w:val="18"/>
                <w:lang w:val="en-US" w:eastAsia="zh-CN"/>
              </w:rPr>
              <w:t>预期业务成效</w:t>
            </w:r>
          </w:p>
        </w:tc>
      </w:tr>
      <w:tr w14:paraId="77BD9C7F">
        <w:trPr>
          <w:cantSplit/>
          <w:jc w:val="center"/>
        </w:trPr>
        <w:tc>
          <w:tcPr>
            <w:tcW w:w="0" w:type="auto"/>
            <w:tcMar>
              <w:top w:w="100" w:type="dxa"/>
              <w:left w:w="120" w:type="dxa"/>
              <w:bottom w:w="100" w:type="dxa"/>
              <w:right w:w="120" w:type="dxa"/>
            </w:tcMar>
            <w:vAlign w:val="center"/>
          </w:tcPr>
          <w:p w14:paraId="4854EB90">
            <w:pPr>
              <w:spacing w:before="0" w:after="0" w:line="269" w:lineRule="auto"/>
              <w:jc w:val="left"/>
              <w:rPr>
                <w:rFonts w:hint="default" w:ascii="宋体" w:hAnsi="宋体" w:eastAsia="宋体" w:cs="宋体"/>
                <w:color w:val="000000"/>
                <w:sz w:val="18"/>
                <w:lang w:val="en-US" w:eastAsia="zh-CN"/>
              </w:rPr>
            </w:pPr>
            <w:r>
              <w:rPr>
                <w:rFonts w:hint="eastAsia" w:ascii="宋体" w:hAnsi="宋体" w:eastAsia="宋体" w:cs="宋体"/>
                <w:color w:val="000000"/>
                <w:sz w:val="18"/>
              </w:rPr>
              <w:t>报告编制人员</w:t>
            </w:r>
          </w:p>
        </w:tc>
        <w:tc>
          <w:tcPr>
            <w:tcW w:w="0" w:type="auto"/>
            <w:tcMar>
              <w:top w:w="100" w:type="dxa"/>
              <w:left w:w="120" w:type="dxa"/>
              <w:bottom w:w="100" w:type="dxa"/>
              <w:right w:w="120" w:type="dxa"/>
            </w:tcMar>
            <w:vAlign w:val="center"/>
          </w:tcPr>
          <w:p w14:paraId="5BA69B0D">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选择任务和报告类型后，系统先检查资料并形成符合模板的可编辑初稿；编制人员主要完成专业判断、内容补充和成果修订</w:t>
            </w:r>
          </w:p>
        </w:tc>
        <w:tc>
          <w:tcPr>
            <w:tcW w:w="0" w:type="auto"/>
            <w:tcMar>
              <w:top w:w="100" w:type="dxa"/>
              <w:left w:w="120" w:type="dxa"/>
              <w:bottom w:w="100" w:type="dxa"/>
              <w:right w:w="120" w:type="dxa"/>
            </w:tcMar>
            <w:vAlign w:val="center"/>
          </w:tcPr>
          <w:p w14:paraId="1C9A76E9">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减少资料查找、数据转录、重复编写和格式编排工作，提高同类报告的结构与表达一致性</w:t>
            </w:r>
          </w:p>
        </w:tc>
      </w:tr>
      <w:tr w14:paraId="04E3C665">
        <w:trPr>
          <w:cantSplit/>
          <w:jc w:val="center"/>
        </w:trPr>
        <w:tc>
          <w:tcPr>
            <w:tcW w:w="0" w:type="auto"/>
            <w:shd w:val="clear" w:color="auto" w:fill="F5F9FC"/>
            <w:tcMar>
              <w:top w:w="100" w:type="dxa"/>
              <w:left w:w="120" w:type="dxa"/>
              <w:bottom w:w="100" w:type="dxa"/>
              <w:right w:w="120" w:type="dxa"/>
            </w:tcMar>
            <w:vAlign w:val="center"/>
          </w:tcPr>
          <w:p w14:paraId="3E5D5D84">
            <w:pPr>
              <w:spacing w:before="0" w:after="0" w:line="269" w:lineRule="auto"/>
              <w:jc w:val="left"/>
              <w:rPr>
                <w:rFonts w:hint="eastAsia" w:ascii="宋体" w:hAnsi="宋体" w:eastAsia="宋体" w:cs="宋体"/>
                <w:color w:val="000000"/>
                <w:sz w:val="18"/>
                <w:lang w:val="en-US" w:eastAsia="zh-CN"/>
              </w:rPr>
            </w:pPr>
            <w:r>
              <w:rPr>
                <w:rFonts w:hint="eastAsia" w:ascii="宋体" w:hAnsi="宋体" w:eastAsia="宋体" w:cs="宋体"/>
                <w:color w:val="000000"/>
                <w:sz w:val="18"/>
              </w:rPr>
              <w:t>报告审核人员</w:t>
            </w:r>
          </w:p>
        </w:tc>
        <w:tc>
          <w:tcPr>
            <w:tcW w:w="0" w:type="auto"/>
            <w:shd w:val="clear" w:color="auto" w:fill="F5F9FC"/>
            <w:tcMar>
              <w:top w:w="100" w:type="dxa"/>
              <w:left w:w="120" w:type="dxa"/>
              <w:bottom w:w="100" w:type="dxa"/>
              <w:right w:w="120" w:type="dxa"/>
            </w:tcMar>
            <w:vAlign w:val="center"/>
          </w:tcPr>
          <w:p w14:paraId="0E64BABB">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可集中查看报告所用的数据来源、规范依据、计算结果、校验提示和版本变化</w:t>
            </w:r>
          </w:p>
        </w:tc>
        <w:tc>
          <w:tcPr>
            <w:tcW w:w="0" w:type="auto"/>
            <w:shd w:val="clear" w:color="auto" w:fill="F5F9FC"/>
            <w:tcMar>
              <w:top w:w="100" w:type="dxa"/>
              <w:left w:w="120" w:type="dxa"/>
              <w:bottom w:w="100" w:type="dxa"/>
              <w:right w:w="120" w:type="dxa"/>
            </w:tcMar>
            <w:vAlign w:val="center"/>
          </w:tcPr>
          <w:p w14:paraId="3ED49F68">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缩短复核路径，便于定位缺项、不一致内容和修改记录，同时保留审核决定权</w:t>
            </w:r>
          </w:p>
        </w:tc>
      </w:tr>
      <w:tr w14:paraId="09371216">
        <w:trPr>
          <w:cantSplit/>
          <w:jc w:val="center"/>
        </w:trPr>
        <w:tc>
          <w:tcPr>
            <w:tcW w:w="0" w:type="auto"/>
            <w:shd w:val="clear" w:color="auto" w:fill="F5F9FC"/>
            <w:tcMar>
              <w:top w:w="100" w:type="dxa"/>
              <w:left w:w="120" w:type="dxa"/>
              <w:bottom w:w="100" w:type="dxa"/>
              <w:right w:w="120" w:type="dxa"/>
            </w:tcMar>
            <w:vAlign w:val="center"/>
          </w:tcPr>
          <w:p w14:paraId="47FEEFFA">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项目负责人及专业人员</w:t>
            </w:r>
          </w:p>
        </w:tc>
        <w:tc>
          <w:tcPr>
            <w:tcW w:w="0" w:type="auto"/>
            <w:shd w:val="clear" w:color="auto" w:fill="F5F9FC"/>
            <w:tcMar>
              <w:top w:w="100" w:type="dxa"/>
              <w:left w:w="120" w:type="dxa"/>
              <w:bottom w:w="100" w:type="dxa"/>
              <w:right w:w="120" w:type="dxa"/>
            </w:tcMar>
            <w:vAlign w:val="center"/>
          </w:tcPr>
          <w:p w14:paraId="00101EB3">
            <w:pPr>
              <w:spacing w:before="0" w:after="0" w:line="269" w:lineRule="auto"/>
              <w:jc w:val="left"/>
              <w:rPr>
                <w:rFonts w:hint="default" w:ascii="宋体" w:hAnsi="宋体" w:eastAsia="宋体" w:cs="宋体"/>
                <w:color w:val="000000"/>
                <w:sz w:val="18"/>
                <w:lang w:val="en-US" w:eastAsia="zh-CN"/>
              </w:rPr>
            </w:pPr>
            <w:r>
              <w:rPr>
                <w:rFonts w:hint="eastAsia" w:ascii="宋体" w:hAnsi="宋体" w:eastAsia="宋体" w:cs="宋体"/>
                <w:color w:val="000000"/>
                <w:sz w:val="18"/>
              </w:rPr>
              <w:t>报告完成后，可根据实际需要生成摘要、问题清单、专业建议和方案对比材料</w:t>
            </w:r>
          </w:p>
        </w:tc>
        <w:tc>
          <w:tcPr>
            <w:tcW w:w="0" w:type="auto"/>
            <w:shd w:val="clear" w:color="auto" w:fill="F5F9FC"/>
            <w:tcMar>
              <w:top w:w="100" w:type="dxa"/>
              <w:left w:w="120" w:type="dxa"/>
              <w:bottom w:w="100" w:type="dxa"/>
              <w:right w:w="120" w:type="dxa"/>
            </w:tcMar>
            <w:vAlign w:val="center"/>
          </w:tcPr>
          <w:p w14:paraId="2B916256">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减少从完整报告中重新摘录和整理内容的工作，为项目沟通和后续工作研判提供支持</w:t>
            </w:r>
          </w:p>
        </w:tc>
      </w:tr>
    </w:tbl>
    <w:p w14:paraId="38CC2505">
      <w:pPr>
        <w:keepNext w:val="0"/>
        <w:keepLines w:val="0"/>
        <w:pageBreakBefore w:val="0"/>
        <w:widowControl w:val="0"/>
        <w:kinsoku/>
        <w:wordWrap/>
        <w:overflowPunct/>
        <w:topLinePunct w:val="0"/>
        <w:autoSpaceDE/>
        <w:autoSpaceDN/>
        <w:bidi w:val="0"/>
        <w:adjustRightInd/>
        <w:snapToGrid/>
        <w:spacing w:after="0" w:line="360" w:lineRule="auto"/>
        <w:ind w:left="0" w:firstLine="0"/>
        <w:jc w:val="left"/>
        <w:textAlignment w:val="auto"/>
        <w:outlineLvl w:val="2"/>
        <w:rPr>
          <w:rFonts w:hint="eastAsia" w:ascii="宋体" w:hAnsi="宋体" w:cs="宋体"/>
          <w:b/>
          <w:snapToGrid w:val="0"/>
          <w:color w:val="000000"/>
          <w:sz w:val="24"/>
          <w:szCs w:val="24"/>
          <w:lang w:val="en-US" w:eastAsia="zh-CN" w:bidi="ar-SA"/>
        </w:rPr>
      </w:pPr>
      <w:bookmarkStart w:id="25" w:name="_Toc1398898530"/>
      <w:r>
        <w:rPr>
          <w:rFonts w:hint="eastAsia" w:ascii="宋体" w:hAnsi="宋体" w:cs="宋体"/>
          <w:b/>
          <w:snapToGrid w:val="0"/>
          <w:color w:val="000000"/>
          <w:sz w:val="24"/>
          <w:szCs w:val="24"/>
          <w:lang w:val="en-US" w:eastAsia="zh-CN" w:bidi="ar-SA"/>
        </w:rPr>
        <w:t>3.4.1 报告</w:t>
      </w:r>
      <w:r>
        <w:rPr>
          <w:rFonts w:hint="eastAsia" w:ascii="宋体" w:hAnsi="宋体" w:cs="宋体"/>
          <w:b/>
          <w:snapToGrid w:val="0"/>
          <w:color w:val="000000"/>
          <w:sz w:val="24"/>
          <w:szCs w:val="24"/>
          <w:lang w:val="en-US" w:eastAsia="zh-CN" w:bidi="ar-SA"/>
        </w:rPr>
        <w:t>范围与样例确认</w:t>
      </w:r>
      <w:bookmarkEnd w:id="25"/>
    </w:p>
    <w:p w14:paraId="5C97CDBA">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与浦江共同确定首批纳入智能体的报告类型，并针对每类报告确认现行模板、真实样例、编制流程、审核要点和输出格式。实施过程中，以浦江已经使用并确认的报告为基准，逐项梳理报告封面、目录、章节、表格、图表、图片、附件和最终版式，明确哪些内容可以由系统直接填充、哪些内容需要智能体辅助生成、哪些内容必须由专业人员填写或确认，形成每类报告的建设清单和验收样稿。该项工作的目的是先明确报告智能体的建设对象和人工职责边界，避免使用一套通用生成方式</w:t>
      </w:r>
      <w:r>
        <w:rPr>
          <w:rFonts w:hint="eastAsia" w:ascii="宋体" w:hAnsi="宋体" w:cs="宋体"/>
          <w:snapToGrid w:val="0"/>
          <w:color w:val="000000"/>
          <w:sz w:val="24"/>
          <w:szCs w:val="24"/>
          <w:lang w:val="en-US" w:eastAsia="zh-CN" w:bidi="ar-SA"/>
        </w:rPr>
        <w:t>，去</w:t>
      </w:r>
      <w:r>
        <w:rPr>
          <w:rFonts w:hint="eastAsia" w:ascii="宋体" w:hAnsi="宋体" w:eastAsia="宋体" w:cs="宋体"/>
          <w:snapToGrid w:val="0"/>
          <w:color w:val="000000"/>
          <w:sz w:val="24"/>
          <w:szCs w:val="24"/>
          <w:lang w:val="en-US" w:eastAsia="zh-CN" w:bidi="ar-SA"/>
        </w:rPr>
        <w:t>处理结构和要求不同的报告。</w:t>
      </w:r>
    </w:p>
    <w:tbl>
      <w:tblPr>
        <w:tblStyle w:val="13"/>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735"/>
        <w:gridCol w:w="1107"/>
        <w:gridCol w:w="2831"/>
        <w:gridCol w:w="3872"/>
      </w:tblGrid>
      <w:tr w14:paraId="66A61ECB">
        <w:trPr>
          <w:cantSplit/>
          <w:tblHeader/>
          <w:jc w:val="center"/>
        </w:trPr>
        <w:tc>
          <w:tcPr>
            <w:tcW w:w="0" w:type="auto"/>
            <w:shd w:val="clear" w:color="auto" w:fill="17365D"/>
            <w:tcMar>
              <w:top w:w="100" w:type="dxa"/>
              <w:left w:w="120" w:type="dxa"/>
              <w:bottom w:w="100" w:type="dxa"/>
              <w:right w:w="120" w:type="dxa"/>
            </w:tcMar>
            <w:vAlign w:val="center"/>
          </w:tcPr>
          <w:p w14:paraId="243435E7">
            <w:pPr>
              <w:spacing w:before="0" w:after="0" w:line="269" w:lineRule="auto"/>
              <w:jc w:val="center"/>
              <w:rPr>
                <w:rFonts w:hint="default" w:ascii="宋体" w:hAnsi="宋体" w:eastAsia="宋体" w:cs="宋体"/>
                <w:lang w:val="en-US" w:eastAsia="zh-CN"/>
              </w:rPr>
            </w:pPr>
            <w:r>
              <w:rPr>
                <w:rFonts w:hint="eastAsia" w:ascii="宋体" w:hAnsi="宋体" w:cs="宋体"/>
                <w:lang w:val="en-US" w:eastAsia="zh-CN"/>
              </w:rPr>
              <w:t>类别</w:t>
            </w:r>
          </w:p>
        </w:tc>
        <w:tc>
          <w:tcPr>
            <w:tcW w:w="0" w:type="auto"/>
            <w:shd w:val="clear" w:color="auto" w:fill="17365D"/>
            <w:tcMar>
              <w:top w:w="100" w:type="dxa"/>
              <w:left w:w="120" w:type="dxa"/>
              <w:bottom w:w="100" w:type="dxa"/>
              <w:right w:w="120" w:type="dxa"/>
            </w:tcMar>
            <w:vAlign w:val="center"/>
          </w:tcPr>
          <w:p w14:paraId="1E33D114">
            <w:pPr>
              <w:spacing w:before="0" w:after="0" w:line="269" w:lineRule="auto"/>
              <w:jc w:val="center"/>
              <w:rPr>
                <w:rFonts w:hint="default" w:ascii="宋体" w:hAnsi="宋体" w:eastAsia="宋体" w:cs="宋体"/>
                <w:lang w:val="en-US" w:eastAsia="zh-CN"/>
              </w:rPr>
            </w:pPr>
            <w:r>
              <w:rPr>
                <w:rFonts w:hint="eastAsia" w:ascii="宋体" w:hAnsi="宋体" w:cs="宋体"/>
                <w:lang w:val="en-US" w:eastAsia="zh-CN"/>
              </w:rPr>
              <w:t>报告名称</w:t>
            </w:r>
          </w:p>
        </w:tc>
        <w:tc>
          <w:tcPr>
            <w:tcW w:w="0" w:type="auto"/>
            <w:shd w:val="clear" w:color="auto" w:fill="17365D"/>
            <w:tcMar>
              <w:top w:w="100" w:type="dxa"/>
              <w:left w:w="120" w:type="dxa"/>
              <w:bottom w:w="100" w:type="dxa"/>
              <w:right w:w="120" w:type="dxa"/>
            </w:tcMar>
            <w:vAlign w:val="center"/>
          </w:tcPr>
          <w:p w14:paraId="7DBA32C1">
            <w:pPr>
              <w:spacing w:before="0" w:after="0" w:line="269" w:lineRule="auto"/>
              <w:jc w:val="center"/>
              <w:rPr>
                <w:rFonts w:hint="default" w:ascii="宋体" w:hAnsi="宋体" w:eastAsia="宋体" w:cs="宋体"/>
                <w:lang w:val="en-US" w:eastAsia="zh-CN"/>
              </w:rPr>
            </w:pPr>
            <w:r>
              <w:rPr>
                <w:rFonts w:hint="eastAsia" w:ascii="宋体" w:hAnsi="宋体" w:cs="宋体"/>
                <w:lang w:val="en-US" w:eastAsia="zh-CN"/>
              </w:rPr>
              <w:t>使用场景</w:t>
            </w:r>
          </w:p>
        </w:tc>
        <w:tc>
          <w:tcPr>
            <w:tcW w:w="0" w:type="auto"/>
            <w:shd w:val="clear" w:color="auto" w:fill="17365D"/>
            <w:tcMar>
              <w:top w:w="100" w:type="dxa"/>
              <w:left w:w="120" w:type="dxa"/>
              <w:bottom w:w="100" w:type="dxa"/>
              <w:right w:w="120" w:type="dxa"/>
            </w:tcMar>
            <w:vAlign w:val="center"/>
          </w:tcPr>
          <w:p w14:paraId="247BA45A">
            <w:pPr>
              <w:spacing w:before="0" w:after="0" w:line="269" w:lineRule="auto"/>
              <w:jc w:val="center"/>
              <w:rPr>
                <w:rFonts w:hint="default" w:ascii="宋体" w:hAnsi="宋体" w:cs="宋体"/>
                <w:lang w:val="en-US" w:eastAsia="zh-CN"/>
              </w:rPr>
            </w:pPr>
            <w:r>
              <w:rPr>
                <w:rFonts w:hint="eastAsia" w:ascii="宋体" w:hAnsi="宋体" w:cs="宋体"/>
                <w:lang w:val="en-US" w:eastAsia="zh-CN"/>
              </w:rPr>
              <w:t>报告生成重点</w:t>
            </w:r>
          </w:p>
        </w:tc>
      </w:tr>
      <w:tr w14:paraId="7892ECC7">
        <w:trPr>
          <w:cantSplit/>
          <w:jc w:val="center"/>
        </w:trPr>
        <w:tc>
          <w:tcPr>
            <w:tcW w:w="0" w:type="auto"/>
            <w:shd w:val="clear" w:color="auto" w:fill="F5F9FC"/>
            <w:tcMar>
              <w:top w:w="100" w:type="dxa"/>
              <w:left w:w="120" w:type="dxa"/>
              <w:bottom w:w="100" w:type="dxa"/>
              <w:right w:w="120" w:type="dxa"/>
            </w:tcMar>
            <w:vAlign w:val="center"/>
          </w:tcPr>
          <w:p w14:paraId="025A48C3">
            <w:pPr>
              <w:spacing w:before="0" w:after="0" w:line="269" w:lineRule="auto"/>
              <w:jc w:val="left"/>
              <w:rPr>
                <w:rFonts w:hint="eastAsia" w:ascii="宋体" w:hAnsi="宋体" w:eastAsia="宋体" w:cs="宋体"/>
                <w:color w:val="000000"/>
                <w:sz w:val="18"/>
                <w:lang w:val="en-US" w:eastAsia="zh-CN"/>
              </w:rPr>
            </w:pPr>
            <w:r>
              <w:rPr>
                <w:rFonts w:hint="eastAsia" w:ascii="宋体" w:hAnsi="宋体" w:eastAsia="宋体" w:cs="宋体"/>
                <w:color w:val="000000"/>
                <w:sz w:val="18"/>
              </w:rPr>
              <w:t>试验设计类</w:t>
            </w:r>
          </w:p>
        </w:tc>
        <w:tc>
          <w:tcPr>
            <w:tcW w:w="0" w:type="auto"/>
            <w:shd w:val="clear" w:color="auto" w:fill="F5F9FC"/>
            <w:tcMar>
              <w:top w:w="100" w:type="dxa"/>
              <w:left w:w="120" w:type="dxa"/>
              <w:bottom w:w="100" w:type="dxa"/>
              <w:right w:w="120" w:type="dxa"/>
            </w:tcMar>
            <w:vAlign w:val="center"/>
          </w:tcPr>
          <w:p w14:paraId="1E807D16">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配合比设计报告</w:t>
            </w:r>
          </w:p>
        </w:tc>
        <w:tc>
          <w:tcPr>
            <w:tcW w:w="0" w:type="auto"/>
            <w:shd w:val="clear" w:color="auto" w:fill="F5F9FC"/>
            <w:tcMar>
              <w:top w:w="100" w:type="dxa"/>
              <w:left w:w="120" w:type="dxa"/>
              <w:bottom w:w="100" w:type="dxa"/>
              <w:right w:w="120" w:type="dxa"/>
            </w:tcMar>
            <w:vAlign w:val="center"/>
          </w:tcPr>
          <w:p w14:paraId="4C089152">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根据原材料试验、设计要求和计算过程形成配合比设计成果</w:t>
            </w:r>
          </w:p>
        </w:tc>
        <w:tc>
          <w:tcPr>
            <w:tcW w:w="0" w:type="auto"/>
            <w:shd w:val="clear" w:color="auto" w:fill="F5F9FC"/>
            <w:tcMar>
              <w:top w:w="100" w:type="dxa"/>
              <w:left w:w="120" w:type="dxa"/>
              <w:bottom w:w="100" w:type="dxa"/>
              <w:right w:w="120" w:type="dxa"/>
            </w:tcMar>
            <w:vAlign w:val="center"/>
          </w:tcPr>
          <w:p w14:paraId="0AE66DEB">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汇集原材料参数、设计条件、计算过程、试配结果和最终建议值，保证数据与计算过程一致</w:t>
            </w:r>
          </w:p>
        </w:tc>
      </w:tr>
      <w:tr w14:paraId="7B1A18D4">
        <w:trPr>
          <w:cantSplit/>
          <w:jc w:val="center"/>
        </w:trPr>
        <w:tc>
          <w:tcPr>
            <w:tcW w:w="0" w:type="auto"/>
            <w:shd w:val="clear" w:color="auto" w:fill="F5F9FC"/>
            <w:tcMar>
              <w:top w:w="100" w:type="dxa"/>
              <w:left w:w="120" w:type="dxa"/>
              <w:bottom w:w="100" w:type="dxa"/>
              <w:right w:w="120" w:type="dxa"/>
            </w:tcMar>
            <w:vAlign w:val="center"/>
          </w:tcPr>
          <w:p w14:paraId="41A79F99">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专项检测类</w:t>
            </w:r>
          </w:p>
        </w:tc>
        <w:tc>
          <w:tcPr>
            <w:tcW w:w="0" w:type="auto"/>
            <w:shd w:val="clear" w:color="auto" w:fill="F5F9FC"/>
            <w:tcMar>
              <w:top w:w="100" w:type="dxa"/>
              <w:left w:w="120" w:type="dxa"/>
              <w:bottom w:w="100" w:type="dxa"/>
              <w:right w:w="120" w:type="dxa"/>
            </w:tcMar>
            <w:vAlign w:val="center"/>
          </w:tcPr>
          <w:p w14:paraId="34BD94EB">
            <w:pPr>
              <w:spacing w:before="0" w:after="0" w:line="269" w:lineRule="auto"/>
              <w:jc w:val="left"/>
              <w:rPr>
                <w:rFonts w:hint="default" w:ascii="宋体" w:hAnsi="宋体" w:eastAsia="宋体" w:cs="宋体"/>
                <w:color w:val="000000"/>
                <w:sz w:val="18"/>
                <w:lang w:val="en-US" w:eastAsia="zh-CN"/>
              </w:rPr>
            </w:pPr>
            <w:r>
              <w:rPr>
                <w:rFonts w:hint="eastAsia" w:ascii="宋体" w:hAnsi="宋体" w:eastAsia="宋体" w:cs="宋体"/>
                <w:color w:val="000000"/>
                <w:sz w:val="18"/>
              </w:rPr>
              <w:t>桥梁专项检测报告</w:t>
            </w:r>
          </w:p>
        </w:tc>
        <w:tc>
          <w:tcPr>
            <w:tcW w:w="0" w:type="auto"/>
            <w:shd w:val="clear" w:color="auto" w:fill="F5F9FC"/>
            <w:tcMar>
              <w:top w:w="100" w:type="dxa"/>
              <w:left w:w="120" w:type="dxa"/>
              <w:bottom w:w="100" w:type="dxa"/>
              <w:right w:w="120" w:type="dxa"/>
            </w:tcMar>
            <w:vAlign w:val="center"/>
          </w:tcPr>
          <w:p w14:paraId="55F63997">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对受检桥梁的基础信息、构件、病害、检测数据和评定结果进行系统分析</w:t>
            </w:r>
          </w:p>
        </w:tc>
        <w:tc>
          <w:tcPr>
            <w:tcW w:w="0" w:type="auto"/>
            <w:shd w:val="clear" w:color="auto" w:fill="F5F9FC"/>
            <w:tcMar>
              <w:top w:w="100" w:type="dxa"/>
              <w:left w:w="120" w:type="dxa"/>
              <w:bottom w:w="100" w:type="dxa"/>
              <w:right w:w="120" w:type="dxa"/>
            </w:tcMar>
            <w:vAlign w:val="center"/>
          </w:tcPr>
          <w:p w14:paraId="74769C0A">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调用桥梁检测数据管理系统中的受检桥梁信息、病害记录、影像资料和规范计算结果，形成完整专项报告</w:t>
            </w:r>
          </w:p>
        </w:tc>
      </w:tr>
      <w:tr w14:paraId="77EC4828">
        <w:trPr>
          <w:cantSplit/>
          <w:jc w:val="center"/>
        </w:trPr>
        <w:tc>
          <w:tcPr>
            <w:tcW w:w="0" w:type="auto"/>
            <w:shd w:val="clear" w:color="auto" w:fill="F5F9FC"/>
            <w:tcMar>
              <w:top w:w="100" w:type="dxa"/>
              <w:left w:w="120" w:type="dxa"/>
              <w:bottom w:w="100" w:type="dxa"/>
              <w:right w:w="120" w:type="dxa"/>
            </w:tcMar>
            <w:vAlign w:val="center"/>
          </w:tcPr>
          <w:p w14:paraId="0BA35D3E">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专项检测类</w:t>
            </w:r>
          </w:p>
        </w:tc>
        <w:tc>
          <w:tcPr>
            <w:tcW w:w="0" w:type="auto"/>
            <w:shd w:val="clear" w:color="auto" w:fill="F5F9FC"/>
            <w:tcMar>
              <w:top w:w="100" w:type="dxa"/>
              <w:left w:w="120" w:type="dxa"/>
              <w:bottom w:w="100" w:type="dxa"/>
              <w:right w:w="120" w:type="dxa"/>
            </w:tcMar>
            <w:vAlign w:val="center"/>
          </w:tcPr>
          <w:p w14:paraId="5827E9CB">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管道专项检测报告</w:t>
            </w:r>
          </w:p>
        </w:tc>
        <w:tc>
          <w:tcPr>
            <w:tcW w:w="0" w:type="auto"/>
            <w:shd w:val="clear" w:color="auto" w:fill="F5F9FC"/>
            <w:tcMar>
              <w:top w:w="100" w:type="dxa"/>
              <w:left w:w="120" w:type="dxa"/>
              <w:bottom w:w="100" w:type="dxa"/>
              <w:right w:w="120" w:type="dxa"/>
            </w:tcMar>
            <w:vAlign w:val="center"/>
          </w:tcPr>
          <w:p w14:paraId="50BCE8CA">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汇总管道基本信息、现场检测记录、缺陷信息、影像资料和检测结论</w:t>
            </w:r>
          </w:p>
        </w:tc>
        <w:tc>
          <w:tcPr>
            <w:tcW w:w="0" w:type="auto"/>
            <w:shd w:val="clear" w:color="auto" w:fill="F5F9FC"/>
            <w:tcMar>
              <w:top w:w="100" w:type="dxa"/>
              <w:left w:w="120" w:type="dxa"/>
              <w:bottom w:w="100" w:type="dxa"/>
              <w:right w:w="120" w:type="dxa"/>
            </w:tcMar>
            <w:vAlign w:val="center"/>
          </w:tcPr>
          <w:p w14:paraId="789AB768">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组织检测范围、缺陷位置、检测数据、图片或视频成果、判定依据和结论</w:t>
            </w:r>
          </w:p>
        </w:tc>
      </w:tr>
      <w:tr w14:paraId="4785477C">
        <w:trPr>
          <w:cantSplit/>
          <w:jc w:val="center"/>
        </w:trPr>
        <w:tc>
          <w:tcPr>
            <w:tcW w:w="0" w:type="auto"/>
            <w:shd w:val="clear" w:color="auto" w:fill="F5F9FC"/>
            <w:tcMar>
              <w:top w:w="100" w:type="dxa"/>
              <w:left w:w="120" w:type="dxa"/>
              <w:bottom w:w="100" w:type="dxa"/>
              <w:right w:w="120" w:type="dxa"/>
            </w:tcMar>
            <w:vAlign w:val="center"/>
          </w:tcPr>
          <w:p w14:paraId="28C56829">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专项检测类</w:t>
            </w:r>
          </w:p>
        </w:tc>
        <w:tc>
          <w:tcPr>
            <w:tcW w:w="0" w:type="auto"/>
            <w:shd w:val="clear" w:color="auto" w:fill="F5F9FC"/>
            <w:tcMar>
              <w:top w:w="100" w:type="dxa"/>
              <w:left w:w="120" w:type="dxa"/>
              <w:bottom w:w="100" w:type="dxa"/>
              <w:right w:w="120" w:type="dxa"/>
            </w:tcMar>
            <w:vAlign w:val="center"/>
          </w:tcPr>
          <w:p w14:paraId="0AD908DA">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隧道专项检测报告</w:t>
            </w:r>
          </w:p>
        </w:tc>
        <w:tc>
          <w:tcPr>
            <w:tcW w:w="0" w:type="auto"/>
            <w:shd w:val="clear" w:color="auto" w:fill="F5F9FC"/>
            <w:tcMar>
              <w:top w:w="100" w:type="dxa"/>
              <w:left w:w="120" w:type="dxa"/>
              <w:bottom w:w="100" w:type="dxa"/>
              <w:right w:w="120" w:type="dxa"/>
            </w:tcMar>
            <w:vAlign w:val="center"/>
          </w:tcPr>
          <w:p w14:paraId="3DB2D747">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汇总隧道结构信息、现场检测数据、病害记录和专项分析结果</w:t>
            </w:r>
          </w:p>
        </w:tc>
        <w:tc>
          <w:tcPr>
            <w:tcW w:w="0" w:type="auto"/>
            <w:shd w:val="clear" w:color="auto" w:fill="F5F9FC"/>
            <w:tcMar>
              <w:top w:w="100" w:type="dxa"/>
              <w:left w:w="120" w:type="dxa"/>
              <w:bottom w:w="100" w:type="dxa"/>
              <w:right w:w="120" w:type="dxa"/>
            </w:tcMar>
            <w:vAlign w:val="center"/>
          </w:tcPr>
          <w:p w14:paraId="43D5B2AC">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组织检测对象、部位、病害、影像资料、计算或评定结果及结论</w:t>
            </w:r>
          </w:p>
        </w:tc>
      </w:tr>
      <w:tr w14:paraId="17EF9B13">
        <w:trPr>
          <w:cantSplit/>
          <w:jc w:val="center"/>
        </w:trPr>
        <w:tc>
          <w:tcPr>
            <w:tcW w:w="0" w:type="auto"/>
            <w:shd w:val="clear" w:color="auto" w:fill="F5F9FC"/>
            <w:tcMar>
              <w:top w:w="100" w:type="dxa"/>
              <w:left w:w="120" w:type="dxa"/>
              <w:bottom w:w="100" w:type="dxa"/>
              <w:right w:w="120" w:type="dxa"/>
            </w:tcMar>
            <w:vAlign w:val="center"/>
          </w:tcPr>
          <w:p w14:paraId="36D60B00">
            <w:pPr>
              <w:spacing w:before="0" w:after="0" w:line="269" w:lineRule="auto"/>
              <w:jc w:val="left"/>
              <w:rPr>
                <w:rFonts w:hint="eastAsia" w:ascii="宋体" w:hAnsi="宋体" w:eastAsia="宋体" w:cs="宋体"/>
                <w:color w:val="000000"/>
                <w:sz w:val="18"/>
                <w:lang w:eastAsia="zh-CN"/>
              </w:rPr>
            </w:pPr>
            <w:r>
              <w:rPr>
                <w:rFonts w:hint="eastAsia" w:ascii="宋体" w:hAnsi="宋体" w:eastAsia="宋体" w:cs="宋体"/>
                <w:color w:val="000000"/>
                <w:sz w:val="18"/>
              </w:rPr>
              <w:t>综合检测类</w:t>
            </w:r>
          </w:p>
        </w:tc>
        <w:tc>
          <w:tcPr>
            <w:tcW w:w="0" w:type="auto"/>
            <w:shd w:val="clear" w:color="auto" w:fill="F5F9FC"/>
            <w:tcMar>
              <w:top w:w="100" w:type="dxa"/>
              <w:left w:w="120" w:type="dxa"/>
              <w:bottom w:w="100" w:type="dxa"/>
              <w:right w:w="120" w:type="dxa"/>
            </w:tcMar>
            <w:vAlign w:val="center"/>
          </w:tcPr>
          <w:p w14:paraId="264F0523">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工程质量综合检测报告</w:t>
            </w:r>
          </w:p>
        </w:tc>
        <w:tc>
          <w:tcPr>
            <w:tcW w:w="0" w:type="auto"/>
            <w:shd w:val="clear" w:color="auto" w:fill="F5F9FC"/>
            <w:tcMar>
              <w:top w:w="100" w:type="dxa"/>
              <w:left w:w="120" w:type="dxa"/>
              <w:bottom w:w="100" w:type="dxa"/>
              <w:right w:w="120" w:type="dxa"/>
            </w:tcMar>
            <w:vAlign w:val="center"/>
          </w:tcPr>
          <w:p w14:paraId="1D69C0DF">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对同一工程中多个检测项目或多类检测成果进行综合汇总</w:t>
            </w:r>
          </w:p>
        </w:tc>
        <w:tc>
          <w:tcPr>
            <w:tcW w:w="0" w:type="auto"/>
            <w:shd w:val="clear" w:color="auto" w:fill="F5F9FC"/>
            <w:tcMar>
              <w:top w:w="100" w:type="dxa"/>
              <w:left w:w="120" w:type="dxa"/>
              <w:bottom w:w="100" w:type="dxa"/>
              <w:right w:w="120" w:type="dxa"/>
            </w:tcMar>
            <w:vAlign w:val="center"/>
          </w:tcPr>
          <w:p w14:paraId="16FD6EDB">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统一项目基本信息和检测范围，汇集多项检测结果，形成分项结论和综合说明</w:t>
            </w:r>
          </w:p>
        </w:tc>
      </w:tr>
    </w:tbl>
    <w:p w14:paraId="626C9B33">
      <w:pPr>
        <w:bidi w:val="0"/>
        <w:rPr>
          <w:rFonts w:hint="eastAsia"/>
          <w:lang w:val="en-US" w:eastAsia="zh-CN"/>
        </w:rPr>
      </w:pPr>
    </w:p>
    <w:p w14:paraId="36B571F9">
      <w:pPr>
        <w:keepNext w:val="0"/>
        <w:keepLines w:val="0"/>
        <w:pageBreakBefore w:val="0"/>
        <w:widowControl w:val="0"/>
        <w:kinsoku/>
        <w:wordWrap/>
        <w:overflowPunct/>
        <w:topLinePunct w:val="0"/>
        <w:autoSpaceDE/>
        <w:autoSpaceDN/>
        <w:bidi w:val="0"/>
        <w:adjustRightInd/>
        <w:snapToGrid/>
        <w:spacing w:after="0" w:line="360" w:lineRule="auto"/>
        <w:ind w:left="0" w:firstLine="0"/>
        <w:jc w:val="left"/>
        <w:textAlignment w:val="auto"/>
        <w:outlineLvl w:val="2"/>
        <w:rPr>
          <w:rFonts w:hint="eastAsia" w:ascii="宋体" w:hAnsi="宋体" w:eastAsia="宋体" w:cs="宋体"/>
          <w:snapToGrid w:val="0"/>
          <w:color w:val="000000"/>
          <w:sz w:val="24"/>
          <w:szCs w:val="24"/>
          <w:lang w:val="en-US" w:eastAsia="zh-CN" w:bidi="ar-SA"/>
        </w:rPr>
      </w:pPr>
      <w:bookmarkStart w:id="26" w:name="_Toc636626354"/>
      <w:r>
        <w:rPr>
          <w:rFonts w:hint="eastAsia" w:ascii="宋体" w:hAnsi="宋体" w:cs="宋体"/>
          <w:b/>
          <w:snapToGrid w:val="0"/>
          <w:color w:val="000000"/>
          <w:sz w:val="24"/>
          <w:szCs w:val="24"/>
          <w:lang w:val="en-US" w:eastAsia="zh-CN" w:bidi="ar-SA"/>
        </w:rPr>
        <w:t>3.4.2 多源数据接入与报告资料组织</w:t>
      </w:r>
      <w:bookmarkEnd w:id="26"/>
    </w:p>
    <w:p w14:paraId="301851D8">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按照报告章节梳理所需数据和资料，并分别建立相应的数据来源接入方式。委托单位、样品、任务、检测项目、数据录入结果和报告状态等信息从二期委托任务系统获取；设备原始值、试验曲线、原始文件和采集状态从设备数据采集与录入服务获取；受检桥梁信息、构件信息、病害记录、检测数据、影像资料、计算结果和历次成果从桥梁检测数据管理系统获取；现场记录、补充说明、图片、表格、Word、PDF和其他附件由业务人员在智能体工作区上传或补充；规范文档、报告模板、专业术语、历史报告和审核规则从经浦江确认的知识与模板库中调用。</w:t>
      </w:r>
    </w:p>
    <w:p w14:paraId="3FE8B23A">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建设过程中，将针对每项资料明确来源系统、提供人员、所属任务、使用章节、更新时间、权限范围和缺失处理方式。报告生成前，智能体先汇集与当前任务相关的资料并形成完整性清单；发现数据缺失、来源不明或任务归属无法确认时，先提示业务人员补充或确认，不直接生成缺少事实依据的内容。该项工作的目的是建立稳定、可追溯的报告数据来源，使报告编制人员能够在统一工作区内使用相关资料。</w:t>
      </w:r>
    </w:p>
    <w:p w14:paraId="77F16732">
      <w:pPr>
        <w:keepNext w:val="0"/>
        <w:keepLines w:val="0"/>
        <w:pageBreakBefore w:val="0"/>
        <w:widowControl w:val="0"/>
        <w:kinsoku/>
        <w:wordWrap/>
        <w:overflowPunct/>
        <w:topLinePunct w:val="0"/>
        <w:autoSpaceDE/>
        <w:autoSpaceDN/>
        <w:bidi w:val="0"/>
        <w:adjustRightInd/>
        <w:snapToGrid/>
        <w:spacing w:after="0" w:line="360" w:lineRule="auto"/>
        <w:ind w:left="0" w:firstLine="0"/>
        <w:jc w:val="left"/>
        <w:textAlignment w:val="auto"/>
        <w:outlineLvl w:val="2"/>
        <w:rPr>
          <w:rFonts w:hint="eastAsia" w:ascii="宋体" w:hAnsi="宋体" w:eastAsia="宋体" w:cs="宋体"/>
          <w:snapToGrid w:val="0"/>
          <w:color w:val="000000"/>
          <w:sz w:val="24"/>
          <w:szCs w:val="24"/>
          <w:lang w:val="en-US" w:eastAsia="zh-CN" w:bidi="ar-SA"/>
        </w:rPr>
      </w:pPr>
      <w:bookmarkStart w:id="27" w:name="_Toc1015602324"/>
      <w:r>
        <w:rPr>
          <w:rFonts w:hint="eastAsia" w:ascii="宋体" w:hAnsi="宋体" w:cs="宋体"/>
          <w:b/>
          <w:snapToGrid w:val="0"/>
          <w:color w:val="000000"/>
          <w:sz w:val="24"/>
          <w:szCs w:val="24"/>
          <w:lang w:val="en-US" w:eastAsia="zh-CN" w:bidi="ar-SA"/>
        </w:rPr>
        <w:t>3.4.3 报告模板梳理与数据字段映射</w:t>
      </w:r>
      <w:bookmarkEnd w:id="27"/>
    </w:p>
    <w:p w14:paraId="770CFD87">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将把每类报告模板拆分为固定内容、数据字段、计算结果、文字分析、表格、图表、图片和附件等组成部分，并逐项建立模板内容与业务数据之间的对应关系。对于项目名称、委托单位、样品信息、设备信息、检测结果、日期和编号等确定性内容，明确其来源系统和对应字段；对于需要换算、修约、统计或判定的内容，明确计算规则、计量单位和结果格式；对于需要人工判断或智能生成的内容，明确可使用的资料范围、生成要求和人工确认责任。</w:t>
      </w:r>
    </w:p>
    <w:p w14:paraId="30516006">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字段映射按照“模板位置—业务含义—数据来源—对应字段—填写格式—处理规则—缺失处理”的关系进行配置。报告模板调用时，系统先根据字段映射取得相应数据，再按照模板要求完成格式转换和内容填充；无法自动确定的字段保持待补充状态，并提示责任人员处理。模板、字段映射和计算规则均按照报告类型和版本进行管理，模板更新后重新核对映射关系。该项工作的目的是保证数据能够准确填入报告的正确位置，使模板调整、数据来源和自动填充过程均可核查。</w:t>
      </w:r>
    </w:p>
    <w:p w14:paraId="759D000F">
      <w:pPr>
        <w:keepNext w:val="0"/>
        <w:keepLines w:val="0"/>
        <w:pageBreakBefore w:val="0"/>
        <w:widowControl w:val="0"/>
        <w:kinsoku/>
        <w:wordWrap/>
        <w:overflowPunct/>
        <w:topLinePunct w:val="0"/>
        <w:autoSpaceDE/>
        <w:autoSpaceDN/>
        <w:bidi w:val="0"/>
        <w:adjustRightInd/>
        <w:snapToGrid/>
        <w:spacing w:after="0" w:line="360" w:lineRule="auto"/>
        <w:ind w:left="0" w:firstLine="0"/>
        <w:jc w:val="left"/>
        <w:textAlignment w:val="auto"/>
        <w:outlineLvl w:val="2"/>
        <w:rPr>
          <w:rFonts w:hint="eastAsia" w:ascii="宋体" w:hAnsi="宋体" w:eastAsia="宋体" w:cs="宋体"/>
          <w:snapToGrid w:val="0"/>
          <w:color w:val="000000"/>
          <w:sz w:val="24"/>
          <w:szCs w:val="24"/>
          <w:lang w:val="en-US" w:eastAsia="zh-CN" w:bidi="ar-SA"/>
        </w:rPr>
      </w:pPr>
      <w:bookmarkStart w:id="28" w:name="_Toc1028233112"/>
      <w:r>
        <w:rPr>
          <w:rFonts w:hint="eastAsia" w:ascii="宋体" w:hAnsi="宋体" w:cs="宋体"/>
          <w:b/>
          <w:snapToGrid w:val="0"/>
          <w:color w:val="000000"/>
          <w:sz w:val="24"/>
          <w:szCs w:val="24"/>
          <w:lang w:val="en-US" w:eastAsia="zh-CN" w:bidi="ar-SA"/>
        </w:rPr>
        <w:t>3.4.4 智能体报告生成链路建设</w:t>
      </w:r>
      <w:bookmarkEnd w:id="28"/>
    </w:p>
    <w:p w14:paraId="6FBF1C74">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根据每类报告的实际生产顺序，搭建“选择任务与报告类型—加载对应模板—汇集任务数据和业务资料—检查资料完整性—执行专业计算与规则校验—填充结构化字段—生成文字内容—组织表格、图表、图片和附件—形成可编辑初稿—提交人工复核”的完整生成链路。</w:t>
      </w:r>
    </w:p>
    <w:p w14:paraId="495734A3">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用户发起报告任务后，智能体先识别报告类型和对应模板，再按照预设步骤调用任务数据、设备数据、桥梁检测数据、知识文档和专业计算</w:t>
      </w:r>
      <w:r>
        <w:rPr>
          <w:rFonts w:hint="eastAsia" w:ascii="宋体" w:hAnsi="宋体" w:cs="宋体"/>
          <w:snapToGrid w:val="0"/>
          <w:color w:val="000000"/>
          <w:sz w:val="24"/>
          <w:szCs w:val="24"/>
          <w:lang w:val="en-US" w:eastAsia="zh-CN" w:bidi="ar-SA"/>
        </w:rPr>
        <w:t>工具</w:t>
      </w:r>
      <w:r>
        <w:rPr>
          <w:rFonts w:hint="eastAsia" w:ascii="宋体" w:hAnsi="宋体" w:eastAsia="宋体" w:cs="宋体"/>
          <w:snapToGrid w:val="0"/>
          <w:color w:val="000000"/>
          <w:sz w:val="24"/>
          <w:szCs w:val="24"/>
          <w:lang w:val="en-US" w:eastAsia="zh-CN" w:bidi="ar-SA"/>
        </w:rPr>
        <w:t>。确定</w:t>
      </w:r>
      <w:r>
        <w:rPr>
          <w:rFonts w:hint="eastAsia" w:ascii="宋体" w:hAnsi="宋体" w:cs="宋体"/>
          <w:snapToGrid w:val="0"/>
          <w:color w:val="000000"/>
          <w:sz w:val="24"/>
          <w:szCs w:val="24"/>
          <w:lang w:val="en-US" w:eastAsia="zh-CN" w:bidi="ar-SA"/>
        </w:rPr>
        <w:t>的</w:t>
      </w:r>
      <w:r>
        <w:rPr>
          <w:rFonts w:hint="eastAsia" w:ascii="宋体" w:hAnsi="宋体" w:eastAsia="宋体" w:cs="宋体"/>
          <w:snapToGrid w:val="0"/>
          <w:color w:val="000000"/>
          <w:sz w:val="24"/>
          <w:szCs w:val="24"/>
          <w:lang w:val="en-US" w:eastAsia="zh-CN" w:bidi="ar-SA"/>
        </w:rPr>
        <w:t>数据和计算结果按照字段映射直接填入模板；过程描述、结果分析和结论初稿仅在已有数据</w:t>
      </w:r>
      <w:r>
        <w:rPr>
          <w:rFonts w:hint="eastAsia" w:ascii="宋体" w:hAnsi="宋体" w:cs="宋体"/>
          <w:snapToGrid w:val="0"/>
          <w:color w:val="000000"/>
          <w:sz w:val="24"/>
          <w:szCs w:val="24"/>
          <w:lang w:val="en-US" w:eastAsia="zh-CN" w:bidi="ar-SA"/>
        </w:rPr>
        <w:t>、</w:t>
      </w:r>
      <w:r>
        <w:rPr>
          <w:rFonts w:hint="eastAsia" w:ascii="宋体" w:hAnsi="宋体" w:eastAsia="宋体" w:cs="宋体"/>
          <w:snapToGrid w:val="0"/>
          <w:color w:val="000000"/>
          <w:sz w:val="24"/>
          <w:szCs w:val="24"/>
          <w:lang w:val="en-US" w:eastAsia="zh-CN" w:bidi="ar-SA"/>
        </w:rPr>
        <w:t>规范和资料范围内生成；生成完成后，系统对</w:t>
      </w:r>
      <w:r>
        <w:rPr>
          <w:rFonts w:hint="eastAsia" w:ascii="宋体" w:hAnsi="宋体" w:cs="宋体"/>
          <w:snapToGrid w:val="0"/>
          <w:color w:val="000000"/>
          <w:sz w:val="24"/>
          <w:szCs w:val="24"/>
          <w:lang w:val="en-US" w:eastAsia="zh-CN" w:bidi="ar-SA"/>
        </w:rPr>
        <w:t>内容完整性</w:t>
      </w:r>
      <w:r>
        <w:rPr>
          <w:rFonts w:hint="eastAsia" w:ascii="宋体" w:hAnsi="宋体" w:eastAsia="宋体" w:cs="宋体"/>
          <w:snapToGrid w:val="0"/>
          <w:color w:val="000000"/>
          <w:sz w:val="24"/>
          <w:szCs w:val="24"/>
          <w:lang w:val="en-US" w:eastAsia="zh-CN" w:bidi="ar-SA"/>
        </w:rPr>
        <w:t>、数据一致性、规范引用</w:t>
      </w:r>
      <w:r>
        <w:rPr>
          <w:rFonts w:hint="eastAsia" w:ascii="宋体" w:hAnsi="宋体" w:cs="宋体"/>
          <w:snapToGrid w:val="0"/>
          <w:color w:val="000000"/>
          <w:sz w:val="24"/>
          <w:szCs w:val="24"/>
          <w:lang w:val="en-US" w:eastAsia="zh-CN" w:bidi="ar-SA"/>
        </w:rPr>
        <w:t>合规性</w:t>
      </w:r>
      <w:r>
        <w:rPr>
          <w:rFonts w:hint="eastAsia" w:ascii="宋体" w:hAnsi="宋体" w:eastAsia="宋体" w:cs="宋体"/>
          <w:snapToGrid w:val="0"/>
          <w:color w:val="000000"/>
          <w:sz w:val="24"/>
          <w:szCs w:val="24"/>
          <w:lang w:val="en-US" w:eastAsia="zh-CN" w:bidi="ar-SA"/>
        </w:rPr>
        <w:t>进行检查，并将报告初稿、问题清单和数据来源一并交给编制人员。该项工作的目的是把资料准备、数据填充、内容组织和</w:t>
      </w:r>
      <w:r>
        <w:rPr>
          <w:rFonts w:hint="eastAsia" w:ascii="宋体" w:hAnsi="宋体" w:cs="宋体"/>
          <w:snapToGrid w:val="0"/>
          <w:color w:val="000000"/>
          <w:sz w:val="24"/>
          <w:szCs w:val="24"/>
          <w:lang w:val="en-US" w:eastAsia="zh-CN" w:bidi="ar-SA"/>
        </w:rPr>
        <w:t>成果审核组成</w:t>
      </w:r>
      <w:r>
        <w:rPr>
          <w:rFonts w:hint="eastAsia" w:ascii="宋体" w:hAnsi="宋体" w:eastAsia="宋体" w:cs="宋体"/>
          <w:snapToGrid w:val="0"/>
          <w:color w:val="000000"/>
          <w:sz w:val="24"/>
          <w:szCs w:val="24"/>
          <w:lang w:val="en-US" w:eastAsia="zh-CN" w:bidi="ar-SA"/>
        </w:rPr>
        <w:t>可重复执行的报告生产流程。</w:t>
      </w:r>
    </w:p>
    <w:p w14:paraId="710BF867">
      <w:pPr>
        <w:keepNext w:val="0"/>
        <w:keepLines w:val="0"/>
        <w:pageBreakBefore w:val="0"/>
        <w:widowControl w:val="0"/>
        <w:kinsoku/>
        <w:wordWrap/>
        <w:overflowPunct/>
        <w:topLinePunct w:val="0"/>
        <w:autoSpaceDE/>
        <w:autoSpaceDN/>
        <w:bidi w:val="0"/>
        <w:adjustRightInd/>
        <w:snapToGrid/>
        <w:spacing w:after="0" w:line="360" w:lineRule="auto"/>
        <w:ind w:left="0" w:firstLine="0"/>
        <w:jc w:val="left"/>
        <w:textAlignment w:val="auto"/>
        <w:outlineLvl w:val="2"/>
        <w:rPr>
          <w:rFonts w:hint="eastAsia" w:ascii="宋体" w:hAnsi="宋体" w:eastAsia="宋体" w:cs="宋体"/>
          <w:snapToGrid w:val="0"/>
          <w:color w:val="000000"/>
          <w:sz w:val="24"/>
          <w:szCs w:val="24"/>
          <w:lang w:val="en-US" w:eastAsia="zh-CN" w:bidi="ar-SA"/>
        </w:rPr>
      </w:pPr>
      <w:bookmarkStart w:id="29" w:name="_Toc713005975"/>
      <w:r>
        <w:rPr>
          <w:rFonts w:hint="eastAsia" w:ascii="宋体" w:hAnsi="宋体" w:cs="宋体"/>
          <w:b/>
          <w:snapToGrid w:val="0"/>
          <w:color w:val="000000"/>
          <w:sz w:val="24"/>
          <w:szCs w:val="24"/>
          <w:lang w:val="en-US" w:eastAsia="zh-CN" w:bidi="ar-SA"/>
        </w:rPr>
        <w:t>3.4.5 自然语言交互协同报告编制与修改</w:t>
      </w:r>
      <w:bookmarkEnd w:id="29"/>
    </w:p>
    <w:p w14:paraId="0E10725A">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搭建面向报告编制人员的对话式协同工作页面。页面采用左右分区的呈现形式：左侧设置自然语言会话窗口，用于接收用户提出的资料查询、章节生成、内容修改、数据核对、格式调整和问题检查等指令；右侧设置报告工作区，根据当前任务展示报告目录、正文编辑器、数据表格、图表、图片、附件、问题清单、数据来源和版本对比等不同类型的组件窗口。</w:t>
      </w:r>
    </w:p>
    <w:p w14:paraId="64A4676D">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编制人员可以在右侧选择整份报告、具体章节、某段文字、某张表格或某幅图片，再通过左侧会话窗口提出修改要求，例如补充某章节、调整分析结构、引用指定数据、重新生成图表、核对结论与数据是否一致，或按照审核意见修改相关内容。智能体完成处理后，在右侧展示修改结果和影响范围，由编制人员选择确认采用、继续调整或保留原内容。所有修改均在可编辑报告中完成，并记录用户指令、修改前后内容和确认结果。该项工作的目的是使业务人员能够采用熟悉的业务语言参与报告编制和修改，同时始终保留对正式内容的确认权。</w:t>
      </w:r>
    </w:p>
    <w:p w14:paraId="5A34D5A9">
      <w:pPr>
        <w:keepNext w:val="0"/>
        <w:keepLines w:val="0"/>
        <w:pageBreakBefore w:val="0"/>
        <w:widowControl w:val="0"/>
        <w:kinsoku/>
        <w:wordWrap/>
        <w:overflowPunct/>
        <w:topLinePunct w:val="0"/>
        <w:autoSpaceDE/>
        <w:autoSpaceDN/>
        <w:bidi w:val="0"/>
        <w:adjustRightInd/>
        <w:snapToGrid/>
        <w:spacing w:after="0" w:line="360" w:lineRule="auto"/>
        <w:ind w:left="0" w:firstLine="0"/>
        <w:jc w:val="left"/>
        <w:textAlignment w:val="auto"/>
        <w:outlineLvl w:val="2"/>
        <w:rPr>
          <w:rFonts w:hint="eastAsia" w:ascii="宋体" w:hAnsi="宋体" w:eastAsia="宋体" w:cs="宋体"/>
          <w:snapToGrid w:val="0"/>
          <w:color w:val="000000"/>
          <w:sz w:val="24"/>
          <w:szCs w:val="24"/>
          <w:lang w:val="en-US" w:eastAsia="zh-CN" w:bidi="ar-SA"/>
        </w:rPr>
      </w:pPr>
      <w:bookmarkStart w:id="30" w:name="_Toc532671565"/>
      <w:r>
        <w:rPr>
          <w:rFonts w:hint="eastAsia" w:ascii="宋体" w:hAnsi="宋体" w:cs="宋体"/>
          <w:b/>
          <w:snapToGrid w:val="0"/>
          <w:color w:val="000000"/>
          <w:sz w:val="24"/>
          <w:szCs w:val="24"/>
          <w:lang w:val="en-US" w:eastAsia="zh-CN" w:bidi="ar-SA"/>
        </w:rPr>
        <w:t>3.4.6 报告校验与审核衔接</w:t>
      </w:r>
      <w:bookmarkEnd w:id="30"/>
    </w:p>
    <w:p w14:paraId="1B3D1A32">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围绕报告提交审核前的常见问题，建设必填项、编号、日期、计量单位、数据来源、表格之间的数据关系、正文与结论一致性、规范引用和附件完整性检查能力。系统在报告工作区集中展示问题位置、问题类型、涉及数据和建议处理方式，编制人员可以直接定位并完成修改。</w:t>
      </w:r>
    </w:p>
    <w:p w14:paraId="31327F91">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报告提交审核后，审核人员可在同一工作区查看报告正文、引用数据、计算依据、生成记录、人工修改内容和历次版本，并通过会话窗口提出核查或调整要求。报告的审核、退回、修改、定稿和签发仍按照浦江既有职责和流程办理，智能体仅提供检查、定位、修改辅助和过程记录，不代替审核人员作出正式结论。该项工作的目的是在保持现有审核责任不变的前提下，缩短问题核查和修改路径，并形成完整的报告编审记录。</w:t>
      </w:r>
    </w:p>
    <w:p w14:paraId="7E889566">
      <w:pPr>
        <w:keepNext w:val="0"/>
        <w:keepLines w:val="0"/>
        <w:pageBreakBefore w:val="0"/>
        <w:widowControl w:val="0"/>
        <w:kinsoku/>
        <w:wordWrap/>
        <w:overflowPunct/>
        <w:topLinePunct w:val="0"/>
        <w:autoSpaceDE/>
        <w:autoSpaceDN/>
        <w:bidi w:val="0"/>
        <w:adjustRightInd/>
        <w:snapToGrid/>
        <w:spacing w:after="0" w:line="360" w:lineRule="auto"/>
        <w:ind w:left="0" w:firstLine="0"/>
        <w:jc w:val="left"/>
        <w:textAlignment w:val="auto"/>
        <w:outlineLvl w:val="2"/>
        <w:rPr>
          <w:rFonts w:hint="eastAsia" w:ascii="宋体" w:hAnsi="宋体" w:eastAsia="宋体" w:cs="宋体"/>
          <w:snapToGrid w:val="0"/>
          <w:color w:val="000000"/>
          <w:sz w:val="24"/>
          <w:szCs w:val="24"/>
          <w:lang w:val="en-US" w:eastAsia="zh-CN" w:bidi="ar-SA"/>
        </w:rPr>
      </w:pPr>
      <w:bookmarkStart w:id="31" w:name="_Toc1899152259"/>
      <w:r>
        <w:rPr>
          <w:rFonts w:hint="eastAsia" w:ascii="宋体" w:hAnsi="宋体" w:cs="宋体"/>
          <w:b/>
          <w:snapToGrid w:val="0"/>
          <w:color w:val="000000"/>
          <w:sz w:val="24"/>
          <w:szCs w:val="24"/>
          <w:lang w:val="en-US" w:eastAsia="zh-CN" w:bidi="ar-SA"/>
        </w:rPr>
        <w:t>3.4.7 模型增量训练与报告分析能力提升</w:t>
      </w:r>
      <w:bookmarkEnd w:id="31"/>
    </w:p>
    <w:p w14:paraId="53D163CA">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围绕报告总结、问题归纳、技术建议和方案对比等分析任务，持续建设面向浦江报告业务的增量训练数据。训练资料主要来源于经浦江确认并授权使用的历史报告、编制人员修改后的报告版本、审核意见、专业人员确认的总结与建议、典型问题案例以及规范中可用于分析判断的内容。所有训练资料在使用前均需完成筛选、脱敏、去重和质量检查，并按照报告类型、章节、问题类型、检测结论、建议类别和适用条件进行标注，形成训练集、验证集和独立测试集。</w:t>
      </w:r>
    </w:p>
    <w:p w14:paraId="1CB157AF">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在项目确认的基础模型和部署环境中分批开展模型增量训练，使模型逐步学习浦江报告的专业术语、表达方式、总结结构、问题归纳方法和建议组织方式。每次训练完成后，使用未参与训练的真实样例进行对比测试，重点检查事实准确性、数据一致性、专业表达、建议依据和不同报告类型的适用性，再由浦江专业人员对输出结果进行复核。达到双方确认要求的模型版本方可进入实际业务，并保留模型版本、训练数据范围和评估结果。</w:t>
      </w:r>
    </w:p>
    <w:p w14:paraId="2246F518">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default" w:ascii="宋体" w:hAnsi="宋体" w:eastAsia="宋体" w:cs="宋体"/>
          <w:snapToGrid w:val="0"/>
          <w:color w:val="000000"/>
          <w:sz w:val="24"/>
          <w:szCs w:val="24"/>
          <w:lang w:val="en-US" w:eastAsia="zh-CN" w:bidi="ar-SA"/>
        </w:rPr>
      </w:pPr>
      <w:r>
        <w:rPr>
          <w:rFonts w:hint="eastAsia" w:ascii="宋体" w:hAnsi="宋体" w:eastAsia="宋体" w:cs="宋体"/>
          <w:snapToGrid w:val="0"/>
          <w:color w:val="000000"/>
          <w:sz w:val="24"/>
          <w:szCs w:val="24"/>
          <w:lang w:val="en-US" w:eastAsia="zh-CN" w:bidi="ar-SA"/>
        </w:rPr>
        <w:t>规范文档、报告模板、计算公式和频繁变化的业务要求不直接依赖模型记忆，而是通过知识库、模板和规则持续更新；增量训练重点提升报告摘要、主要问题提炼、专业表达和技术建议组织能力。报告完成后，模型仅在报告事实、检测数据、规范依据、历史案例和已确认专业知识范围内生成总结、养护维修建议及处置方案对比材料，并标明依据和适用条件。涉及成本、工期或实施效果但缺少可靠数据时，仅列出待补充条件，不生成无依据数值，最终技术建议仍由专业人员确认。该项工作的目的是通过持续积累经过专业人员确认的业务样本，逐步提高模型对浦江报告的理解、总结和分析能力，同时保证专业结论的责任边界不发生变化。</w:t>
      </w:r>
    </w:p>
    <w:p w14:paraId="11CCBB2A">
      <w:pPr>
        <w:pStyle w:val="2"/>
        <w:rPr>
          <w:rFonts w:hint="eastAsia" w:ascii="宋体" w:hAnsi="宋体" w:cs="宋体"/>
          <w:b/>
          <w:snapToGrid w:val="0"/>
          <w:color w:val="000000"/>
          <w:sz w:val="28"/>
          <w:szCs w:val="28"/>
          <w:lang w:val="en-US" w:eastAsia="zh-CN" w:bidi="ar-SA"/>
        </w:rPr>
      </w:pPr>
      <w:bookmarkStart w:id="32" w:name="_Toc1002571652"/>
      <w:r>
        <w:rPr>
          <w:rFonts w:hint="eastAsia" w:ascii="宋体" w:hAnsi="宋体" w:cs="宋体"/>
          <w:b/>
          <w:snapToGrid w:val="0"/>
          <w:color w:val="000000"/>
          <w:sz w:val="28"/>
          <w:szCs w:val="28"/>
          <w:lang w:val="en-US" w:eastAsia="zh-CN" w:bidi="ar-SA"/>
        </w:rPr>
        <w:t>3.5 桥梁检测数据管理系统</w:t>
      </w:r>
      <w:bookmarkEnd w:id="32"/>
    </w:p>
    <w:p w14:paraId="34C56748">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default" w:ascii="宋体" w:hAnsi="宋体" w:eastAsia="宋体" w:cs="宋体"/>
          <w:snapToGrid w:val="0"/>
          <w:color w:val="000000"/>
          <w:sz w:val="24"/>
          <w:szCs w:val="24"/>
          <w:lang w:val="en-US" w:eastAsia="zh-CN" w:bidi="ar-SA"/>
        </w:rPr>
      </w:pPr>
      <w:r>
        <w:rPr>
          <w:rFonts w:hint="default" w:ascii="宋体" w:hAnsi="宋体" w:eastAsia="宋体" w:cs="宋体"/>
          <w:snapToGrid w:val="0"/>
          <w:color w:val="000000"/>
          <w:sz w:val="24"/>
          <w:szCs w:val="24"/>
          <w:lang w:val="en-US" w:eastAsia="zh-CN" w:bidi="ar-SA"/>
        </w:rPr>
        <w:t>浦江受客户委托开展桥梁检测，不承担受检桥梁资产的权属管理和日常运营管理。因此，本项目建设桥梁检测数据管理系统，用于管理浦江在桥梁检测业务中形成的受检桥梁信息、检测项目、病害记录、检测数据、计算结果和报告成果，不涉及养护计划执行、巡检</w:t>
      </w:r>
      <w:r>
        <w:rPr>
          <w:rFonts w:hint="default" w:ascii="宋体" w:hAnsi="宋体" w:eastAsia="宋体" w:cs="宋体"/>
          <w:snapToGrid w:val="0"/>
          <w:color w:val="000000"/>
          <w:sz w:val="24"/>
          <w:szCs w:val="24"/>
          <w:lang w:val="en-US" w:eastAsia="zh-CN" w:bidi="ar-SA"/>
        </w:rPr>
        <w:t>调度或路网运营管理。</w:t>
      </w:r>
    </w:p>
    <w:p w14:paraId="6D20A010">
      <w:pPr>
        <w:bidi w:val="0"/>
      </w:pPr>
      <w:r>
        <w:drawing>
          <wp:inline distT="0" distB="0" distL="114300" distR="114300">
            <wp:extent cx="5268595" cy="1443355"/>
            <wp:effectExtent l="0" t="0" r="14605" b="4445"/>
            <wp:docPr id="77"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4"/>
                    <pic:cNvPicPr>
                      <a:picLocks noChangeAspect="1"/>
                    </pic:cNvPicPr>
                  </pic:nvPicPr>
                  <pic:blipFill>
                    <a:blip r:embed="rId17"/>
                    <a:stretch>
                      <a:fillRect/>
                    </a:stretch>
                  </pic:blipFill>
                  <pic:spPr>
                    <a:xfrm>
                      <a:off x="0" y="0"/>
                      <a:ext cx="5268595" cy="1443355"/>
                    </a:xfrm>
                    <a:prstGeom prst="rect">
                      <a:avLst/>
                    </a:prstGeom>
                    <a:noFill/>
                    <a:ln>
                      <a:noFill/>
                    </a:ln>
                  </pic:spPr>
                </pic:pic>
              </a:graphicData>
            </a:graphic>
          </wp:inline>
        </w:drawing>
      </w:r>
    </w:p>
    <w:p w14:paraId="2DF0A288"/>
    <w:tbl>
      <w:tblPr>
        <w:tblStyle w:val="13"/>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1113"/>
        <w:gridCol w:w="3908"/>
        <w:gridCol w:w="3524"/>
      </w:tblGrid>
      <w:tr w14:paraId="6B25515A">
        <w:trPr>
          <w:cantSplit/>
          <w:tblHeader/>
          <w:jc w:val="center"/>
        </w:trPr>
        <w:tc>
          <w:tcPr>
            <w:tcW w:w="0" w:type="auto"/>
            <w:shd w:val="clear" w:color="auto" w:fill="17365D"/>
            <w:tcMar>
              <w:top w:w="100" w:type="dxa"/>
              <w:left w:w="120" w:type="dxa"/>
              <w:bottom w:w="100" w:type="dxa"/>
              <w:right w:w="120" w:type="dxa"/>
            </w:tcMar>
            <w:vAlign w:val="center"/>
          </w:tcPr>
          <w:p w14:paraId="2A6322A8">
            <w:pPr>
              <w:spacing w:before="0" w:after="0" w:line="269" w:lineRule="auto"/>
              <w:jc w:val="center"/>
              <w:rPr>
                <w:rFonts w:hint="default" w:ascii="宋体" w:hAnsi="宋体" w:eastAsia="宋体" w:cs="宋体"/>
                <w:lang w:val="en-US" w:eastAsia="zh-CN"/>
              </w:rPr>
            </w:pPr>
            <w:r>
              <w:rPr>
                <w:rFonts w:hint="eastAsia" w:ascii="宋体" w:hAnsi="宋体" w:cs="宋体"/>
                <w:b/>
                <w:color w:val="FFFFFF"/>
                <w:sz w:val="18"/>
                <w:lang w:val="en-US" w:eastAsia="zh-CN"/>
              </w:rPr>
              <w:t>服务对象</w:t>
            </w:r>
          </w:p>
        </w:tc>
        <w:tc>
          <w:tcPr>
            <w:tcW w:w="0" w:type="auto"/>
            <w:shd w:val="clear" w:color="auto" w:fill="17365D"/>
            <w:tcMar>
              <w:top w:w="100" w:type="dxa"/>
              <w:left w:w="120" w:type="dxa"/>
              <w:bottom w:w="100" w:type="dxa"/>
              <w:right w:w="120" w:type="dxa"/>
            </w:tcMar>
            <w:vAlign w:val="center"/>
          </w:tcPr>
          <w:p w14:paraId="25637096">
            <w:pPr>
              <w:spacing w:before="0" w:after="0" w:line="269" w:lineRule="auto"/>
              <w:jc w:val="center"/>
              <w:rPr>
                <w:rFonts w:hint="default" w:ascii="宋体" w:hAnsi="宋体" w:eastAsia="宋体" w:cs="宋体"/>
                <w:lang w:val="en-US" w:eastAsia="zh-CN"/>
              </w:rPr>
            </w:pPr>
            <w:r>
              <w:rPr>
                <w:rFonts w:hint="eastAsia" w:ascii="宋体" w:hAnsi="宋体" w:cs="宋体"/>
                <w:lang w:val="en-US" w:eastAsia="zh-CN"/>
              </w:rPr>
              <w:t>客户的直观体验</w:t>
            </w:r>
          </w:p>
        </w:tc>
        <w:tc>
          <w:tcPr>
            <w:tcW w:w="0" w:type="auto"/>
            <w:shd w:val="clear" w:color="auto" w:fill="17365D"/>
            <w:tcMar>
              <w:top w:w="100" w:type="dxa"/>
              <w:left w:w="120" w:type="dxa"/>
              <w:bottom w:w="100" w:type="dxa"/>
              <w:right w:w="120" w:type="dxa"/>
            </w:tcMar>
            <w:vAlign w:val="center"/>
          </w:tcPr>
          <w:p w14:paraId="1782ACE0">
            <w:pPr>
              <w:spacing w:before="0" w:after="0" w:line="269" w:lineRule="auto"/>
              <w:jc w:val="center"/>
              <w:rPr>
                <w:rFonts w:hint="default" w:ascii="宋体" w:hAnsi="宋体" w:eastAsia="宋体" w:cs="宋体"/>
                <w:lang w:val="en-US" w:eastAsia="zh-CN"/>
              </w:rPr>
            </w:pPr>
            <w:r>
              <w:rPr>
                <w:rFonts w:hint="eastAsia" w:ascii="宋体" w:hAnsi="宋体" w:cs="宋体"/>
                <w:b/>
                <w:color w:val="FFFFFF"/>
                <w:sz w:val="18"/>
                <w:lang w:val="en-US" w:eastAsia="zh-CN"/>
              </w:rPr>
              <w:t>预期业务成效</w:t>
            </w:r>
          </w:p>
        </w:tc>
      </w:tr>
      <w:tr w14:paraId="4999BE76">
        <w:trPr>
          <w:cantSplit/>
          <w:jc w:val="center"/>
        </w:trPr>
        <w:tc>
          <w:tcPr>
            <w:tcW w:w="0" w:type="auto"/>
            <w:tcMar>
              <w:top w:w="100" w:type="dxa"/>
              <w:left w:w="120" w:type="dxa"/>
              <w:bottom w:w="100" w:type="dxa"/>
              <w:right w:w="120" w:type="dxa"/>
            </w:tcMar>
            <w:vAlign w:val="center"/>
          </w:tcPr>
          <w:p w14:paraId="50BFDC02">
            <w:pPr>
              <w:spacing w:before="0" w:after="0" w:line="269" w:lineRule="auto"/>
              <w:jc w:val="left"/>
              <w:rPr>
                <w:rFonts w:hint="default" w:ascii="宋体" w:hAnsi="宋体" w:eastAsia="宋体" w:cs="宋体"/>
                <w:color w:val="000000"/>
                <w:sz w:val="18"/>
                <w:lang w:val="en-US" w:eastAsia="zh-CN"/>
              </w:rPr>
            </w:pPr>
            <w:r>
              <w:rPr>
                <w:rFonts w:hint="eastAsia" w:ascii="宋体" w:hAnsi="宋体" w:eastAsia="宋体" w:cs="宋体"/>
                <w:color w:val="000000"/>
                <w:sz w:val="18"/>
              </w:rPr>
              <w:t>桥梁检测人员</w:t>
            </w:r>
          </w:p>
        </w:tc>
        <w:tc>
          <w:tcPr>
            <w:tcW w:w="0" w:type="auto"/>
            <w:tcMar>
              <w:top w:w="100" w:type="dxa"/>
              <w:left w:w="120" w:type="dxa"/>
              <w:bottom w:w="100" w:type="dxa"/>
              <w:right w:w="120" w:type="dxa"/>
            </w:tcMar>
            <w:vAlign w:val="center"/>
          </w:tcPr>
          <w:p w14:paraId="351AB69F">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可按照受检桥梁和检测项目集中查看基础信息、构件信息、病害记录、影像资料、计算结果和历次报告</w:t>
            </w:r>
          </w:p>
        </w:tc>
        <w:tc>
          <w:tcPr>
            <w:tcW w:w="0" w:type="auto"/>
            <w:tcMar>
              <w:top w:w="100" w:type="dxa"/>
              <w:left w:w="120" w:type="dxa"/>
              <w:bottom w:w="100" w:type="dxa"/>
              <w:right w:w="120" w:type="dxa"/>
            </w:tcMar>
            <w:vAlign w:val="center"/>
          </w:tcPr>
          <w:p w14:paraId="2FA8B4CC">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减少项目资料分散保存和重复整理，使现场成果、专业计算和最终报告形成连续的数据关系</w:t>
            </w:r>
          </w:p>
        </w:tc>
      </w:tr>
      <w:tr w14:paraId="7892945B">
        <w:trPr>
          <w:cantSplit/>
          <w:jc w:val="center"/>
        </w:trPr>
        <w:tc>
          <w:tcPr>
            <w:tcW w:w="0" w:type="auto"/>
            <w:shd w:val="clear" w:color="auto" w:fill="F5F9FC"/>
            <w:tcMar>
              <w:top w:w="100" w:type="dxa"/>
              <w:left w:w="120" w:type="dxa"/>
              <w:bottom w:w="100" w:type="dxa"/>
              <w:right w:w="120" w:type="dxa"/>
            </w:tcMar>
            <w:vAlign w:val="center"/>
          </w:tcPr>
          <w:p w14:paraId="2A3668A3">
            <w:pPr>
              <w:spacing w:before="0" w:after="0" w:line="269" w:lineRule="auto"/>
              <w:jc w:val="left"/>
              <w:rPr>
                <w:rFonts w:hint="eastAsia" w:ascii="宋体" w:hAnsi="宋体" w:eastAsia="宋体" w:cs="宋体"/>
                <w:color w:val="000000"/>
                <w:sz w:val="18"/>
                <w:lang w:val="en-US" w:eastAsia="zh-CN"/>
              </w:rPr>
            </w:pPr>
            <w:r>
              <w:rPr>
                <w:rFonts w:hint="eastAsia" w:ascii="宋体" w:hAnsi="宋体" w:eastAsia="宋体" w:cs="宋体"/>
                <w:color w:val="000000"/>
                <w:sz w:val="18"/>
              </w:rPr>
              <w:t>报告编制与审核人员</w:t>
            </w:r>
          </w:p>
        </w:tc>
        <w:tc>
          <w:tcPr>
            <w:tcW w:w="0" w:type="auto"/>
            <w:shd w:val="clear" w:color="auto" w:fill="F5F9FC"/>
            <w:tcMar>
              <w:top w:w="100" w:type="dxa"/>
              <w:left w:w="120" w:type="dxa"/>
              <w:bottom w:w="100" w:type="dxa"/>
              <w:right w:w="120" w:type="dxa"/>
            </w:tcMar>
            <w:vAlign w:val="center"/>
          </w:tcPr>
          <w:p w14:paraId="1C1BF3DF">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可直接调用经确认的桥梁信息、病害记录、检测数据、图片和计算结果，并可查询其来源</w:t>
            </w:r>
          </w:p>
        </w:tc>
        <w:tc>
          <w:tcPr>
            <w:tcW w:w="0" w:type="auto"/>
            <w:shd w:val="clear" w:color="auto" w:fill="F5F9FC"/>
            <w:tcMar>
              <w:top w:w="100" w:type="dxa"/>
              <w:left w:w="120" w:type="dxa"/>
              <w:bottom w:w="100" w:type="dxa"/>
              <w:right w:w="120" w:type="dxa"/>
            </w:tcMar>
            <w:vAlign w:val="center"/>
          </w:tcPr>
          <w:p w14:paraId="2B654E11">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减少跨文件转录和人工核对工作，提高桥梁专项检测报告的数据一致性与可追溯性</w:t>
            </w:r>
          </w:p>
        </w:tc>
      </w:tr>
      <w:tr w14:paraId="450D092C">
        <w:trPr>
          <w:cantSplit/>
          <w:jc w:val="center"/>
        </w:trPr>
        <w:tc>
          <w:tcPr>
            <w:tcW w:w="0" w:type="auto"/>
            <w:shd w:val="clear" w:color="auto" w:fill="F5F9FC"/>
            <w:tcMar>
              <w:top w:w="100" w:type="dxa"/>
              <w:left w:w="120" w:type="dxa"/>
              <w:bottom w:w="100" w:type="dxa"/>
              <w:right w:w="120" w:type="dxa"/>
            </w:tcMar>
            <w:vAlign w:val="center"/>
          </w:tcPr>
          <w:p w14:paraId="346334EC">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项目负责人及专业人员</w:t>
            </w:r>
          </w:p>
        </w:tc>
        <w:tc>
          <w:tcPr>
            <w:tcW w:w="0" w:type="auto"/>
            <w:shd w:val="clear" w:color="auto" w:fill="F5F9FC"/>
            <w:tcMar>
              <w:top w:w="100" w:type="dxa"/>
              <w:left w:w="120" w:type="dxa"/>
              <w:bottom w:w="100" w:type="dxa"/>
              <w:right w:w="120" w:type="dxa"/>
            </w:tcMar>
            <w:vAlign w:val="center"/>
          </w:tcPr>
          <w:p w14:paraId="681E7B56">
            <w:pPr>
              <w:spacing w:before="0" w:after="0" w:line="269" w:lineRule="auto"/>
              <w:jc w:val="left"/>
              <w:rPr>
                <w:rFonts w:hint="default" w:ascii="宋体" w:hAnsi="宋体" w:eastAsia="宋体" w:cs="宋体"/>
                <w:color w:val="000000"/>
                <w:sz w:val="18"/>
                <w:lang w:val="en-US" w:eastAsia="zh-CN"/>
              </w:rPr>
            </w:pPr>
            <w:r>
              <w:rPr>
                <w:rFonts w:hint="eastAsia" w:ascii="宋体" w:hAnsi="宋体" w:eastAsia="宋体" w:cs="宋体"/>
                <w:color w:val="000000"/>
                <w:sz w:val="18"/>
              </w:rPr>
              <w:t>浦江再次承接同一桥梁的检测任务时，可查询既有资料并开展历次成果对比</w:t>
            </w:r>
          </w:p>
        </w:tc>
        <w:tc>
          <w:tcPr>
            <w:tcW w:w="0" w:type="auto"/>
            <w:shd w:val="clear" w:color="auto" w:fill="F5F9FC"/>
            <w:tcMar>
              <w:top w:w="100" w:type="dxa"/>
              <w:left w:w="120" w:type="dxa"/>
              <w:bottom w:w="100" w:type="dxa"/>
              <w:right w:w="120" w:type="dxa"/>
            </w:tcMar>
            <w:vAlign w:val="center"/>
          </w:tcPr>
          <w:p w14:paraId="7A589787">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为检测范围确认、病害变化分析和后续专业研判提供历史依据</w:t>
            </w:r>
          </w:p>
        </w:tc>
      </w:tr>
    </w:tbl>
    <w:p w14:paraId="3A2347E2">
      <w:pPr>
        <w:rPr>
          <w:rFonts w:hint="default"/>
          <w:lang w:val="en-US" w:eastAsia="zh-CN"/>
        </w:rPr>
      </w:pPr>
    </w:p>
    <w:p w14:paraId="00759F31">
      <w:pPr>
        <w:keepNext w:val="0"/>
        <w:keepLines w:val="0"/>
        <w:pageBreakBefore w:val="0"/>
        <w:widowControl w:val="0"/>
        <w:kinsoku/>
        <w:wordWrap/>
        <w:overflowPunct/>
        <w:topLinePunct w:val="0"/>
        <w:autoSpaceDE/>
        <w:autoSpaceDN/>
        <w:bidi w:val="0"/>
        <w:adjustRightInd/>
        <w:snapToGrid/>
        <w:spacing w:after="0" w:line="360" w:lineRule="auto"/>
        <w:ind w:left="0" w:firstLine="0"/>
        <w:jc w:val="left"/>
        <w:textAlignment w:val="auto"/>
        <w:outlineLvl w:val="2"/>
        <w:rPr>
          <w:rFonts w:hint="default" w:ascii="宋体" w:hAnsi="宋体" w:cs="宋体"/>
          <w:b/>
          <w:snapToGrid w:val="0"/>
          <w:color w:val="000000"/>
          <w:sz w:val="24"/>
          <w:szCs w:val="24"/>
          <w:lang w:val="en-US" w:eastAsia="zh-CN" w:bidi="ar-SA"/>
        </w:rPr>
      </w:pPr>
      <w:bookmarkStart w:id="33" w:name="_Toc1065060802"/>
      <w:r>
        <w:rPr>
          <w:rFonts w:hint="eastAsia" w:ascii="宋体" w:hAnsi="宋体" w:cs="宋体"/>
          <w:b/>
          <w:snapToGrid w:val="0"/>
          <w:color w:val="000000"/>
          <w:sz w:val="24"/>
          <w:szCs w:val="24"/>
          <w:lang w:val="en-US" w:eastAsia="zh-CN" w:bidi="ar-SA"/>
        </w:rPr>
        <w:t>3.5</w:t>
      </w:r>
      <w:r>
        <w:rPr>
          <w:rFonts w:hint="default" w:ascii="宋体" w:hAnsi="宋体" w:cs="宋体"/>
          <w:b/>
          <w:snapToGrid w:val="0"/>
          <w:color w:val="000000"/>
          <w:sz w:val="24"/>
          <w:szCs w:val="24"/>
          <w:lang w:val="en-US" w:eastAsia="zh-CN" w:bidi="ar-SA"/>
        </w:rPr>
        <w:t>.1 桥梁检测数据范围梳理</w:t>
      </w:r>
      <w:bookmarkEnd w:id="33"/>
    </w:p>
    <w:p w14:paraId="7E1E41B3">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default" w:ascii="宋体" w:hAnsi="宋体" w:eastAsia="宋体" w:cs="宋体"/>
          <w:snapToGrid w:val="0"/>
          <w:color w:val="000000"/>
          <w:sz w:val="24"/>
          <w:szCs w:val="24"/>
          <w:lang w:val="en-US" w:eastAsia="zh-CN" w:bidi="ar-SA"/>
        </w:rPr>
      </w:pPr>
      <w:r>
        <w:rPr>
          <w:rFonts w:hint="default" w:ascii="宋体" w:hAnsi="宋体" w:eastAsia="宋体" w:cs="宋体"/>
          <w:snapToGrid w:val="0"/>
          <w:color w:val="000000"/>
          <w:sz w:val="24"/>
          <w:szCs w:val="24"/>
          <w:lang w:val="en-US" w:eastAsia="zh-CN" w:bidi="ar-SA"/>
        </w:rPr>
        <w:t>与浦江桥梁检测业务人员共同梳理现有桥梁检测流程、报告模板、数据表格、计算表、病害记录和历史项目资料。实施过程中，选取真实桥梁检测项目作为样例，逐项确认需要管理的桥梁信息、项目资料、部位与构件、检测数据、病害记录、影像资料、计算结果和报告成果。该项工作的目的是明确系统需要管理的数据内容及业务边界，确保系统围绕检测业务建设，不扩展为桥梁资产运营管理系统。</w:t>
      </w:r>
    </w:p>
    <w:p w14:paraId="3E849F3B">
      <w:pPr>
        <w:keepNext w:val="0"/>
        <w:keepLines w:val="0"/>
        <w:pageBreakBefore w:val="0"/>
        <w:widowControl w:val="0"/>
        <w:kinsoku/>
        <w:wordWrap/>
        <w:overflowPunct/>
        <w:topLinePunct w:val="0"/>
        <w:autoSpaceDE/>
        <w:autoSpaceDN/>
        <w:bidi w:val="0"/>
        <w:adjustRightInd/>
        <w:snapToGrid/>
        <w:spacing w:after="0" w:line="360" w:lineRule="auto"/>
        <w:ind w:left="0" w:firstLine="0"/>
        <w:jc w:val="left"/>
        <w:textAlignment w:val="auto"/>
        <w:outlineLvl w:val="2"/>
        <w:rPr>
          <w:rFonts w:hint="default" w:ascii="宋体" w:hAnsi="宋体" w:eastAsia="宋体" w:cs="宋体"/>
          <w:snapToGrid w:val="0"/>
          <w:color w:val="000000"/>
          <w:sz w:val="24"/>
          <w:szCs w:val="24"/>
          <w:lang w:val="en-US" w:eastAsia="zh-CN" w:bidi="ar-SA"/>
        </w:rPr>
      </w:pPr>
      <w:bookmarkStart w:id="34" w:name="_Toc1200701469"/>
      <w:r>
        <w:rPr>
          <w:rFonts w:hint="eastAsia" w:ascii="宋体" w:hAnsi="宋体" w:cs="宋体"/>
          <w:b/>
          <w:snapToGrid w:val="0"/>
          <w:color w:val="000000"/>
          <w:sz w:val="24"/>
          <w:szCs w:val="24"/>
          <w:lang w:val="en-US" w:eastAsia="zh-CN" w:bidi="ar-SA"/>
        </w:rPr>
        <w:t>3.5</w:t>
      </w:r>
      <w:r>
        <w:rPr>
          <w:rFonts w:hint="default" w:ascii="宋体" w:hAnsi="宋体" w:cs="宋体"/>
          <w:b/>
          <w:snapToGrid w:val="0"/>
          <w:color w:val="000000"/>
          <w:sz w:val="24"/>
          <w:szCs w:val="24"/>
          <w:lang w:val="en-US" w:eastAsia="zh-CN" w:bidi="ar-SA"/>
        </w:rPr>
        <w:t>.2 受检桥梁信息管理</w:t>
      </w:r>
      <w:bookmarkEnd w:id="34"/>
    </w:p>
    <w:p w14:paraId="1C2E4A7E">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default" w:ascii="宋体" w:hAnsi="宋体" w:eastAsia="宋体" w:cs="宋体"/>
          <w:snapToGrid w:val="0"/>
          <w:color w:val="000000"/>
          <w:sz w:val="24"/>
          <w:szCs w:val="24"/>
          <w:lang w:val="en-US" w:eastAsia="zh-CN" w:bidi="ar-SA"/>
        </w:rPr>
      </w:pPr>
      <w:r>
        <w:rPr>
          <w:rFonts w:hint="default" w:ascii="宋体" w:hAnsi="宋体" w:eastAsia="宋体" w:cs="宋体"/>
          <w:snapToGrid w:val="0"/>
          <w:color w:val="000000"/>
          <w:sz w:val="24"/>
          <w:szCs w:val="24"/>
          <w:lang w:val="en-US" w:eastAsia="zh-CN" w:bidi="ar-SA"/>
        </w:rPr>
        <w:t>建设受检桥梁基础信息、结构体系、部位和构件等检测所需资料的维护功能。对于首次受检的桥梁，建立相应基础信息；再次承接同一桥梁检测任务时，在权限和资料适用条件允许的范围内复用并更新已有资料。该项工作的目的是形成统一的受检对象信息，减少不同检测项目对相同基础资料的重复整理。</w:t>
      </w:r>
    </w:p>
    <w:p w14:paraId="04A24857">
      <w:pPr>
        <w:keepNext w:val="0"/>
        <w:keepLines w:val="0"/>
        <w:pageBreakBefore w:val="0"/>
        <w:widowControl w:val="0"/>
        <w:kinsoku/>
        <w:wordWrap/>
        <w:overflowPunct/>
        <w:topLinePunct w:val="0"/>
        <w:autoSpaceDE/>
        <w:autoSpaceDN/>
        <w:bidi w:val="0"/>
        <w:adjustRightInd/>
        <w:snapToGrid/>
        <w:spacing w:after="0" w:line="360" w:lineRule="auto"/>
        <w:ind w:left="0" w:firstLine="0"/>
        <w:jc w:val="left"/>
        <w:textAlignment w:val="auto"/>
        <w:outlineLvl w:val="2"/>
        <w:rPr>
          <w:rFonts w:hint="default" w:ascii="宋体" w:hAnsi="宋体" w:eastAsia="宋体" w:cs="宋体"/>
          <w:snapToGrid w:val="0"/>
          <w:color w:val="000000"/>
          <w:sz w:val="24"/>
          <w:szCs w:val="24"/>
          <w:lang w:val="en-US" w:eastAsia="zh-CN" w:bidi="ar-SA"/>
        </w:rPr>
      </w:pPr>
      <w:bookmarkStart w:id="35" w:name="_Toc285758624"/>
      <w:r>
        <w:rPr>
          <w:rFonts w:hint="eastAsia" w:ascii="宋体" w:hAnsi="宋体" w:cs="宋体"/>
          <w:b/>
          <w:snapToGrid w:val="0"/>
          <w:color w:val="000000"/>
          <w:sz w:val="24"/>
          <w:szCs w:val="24"/>
          <w:lang w:val="en-US" w:eastAsia="zh-CN" w:bidi="ar-SA"/>
        </w:rPr>
        <w:t>3.5</w:t>
      </w:r>
      <w:r>
        <w:rPr>
          <w:rFonts w:hint="default" w:ascii="宋体" w:hAnsi="宋体" w:cs="宋体"/>
          <w:b/>
          <w:snapToGrid w:val="0"/>
          <w:color w:val="000000"/>
          <w:sz w:val="24"/>
          <w:szCs w:val="24"/>
          <w:lang w:val="en-US" w:eastAsia="zh-CN" w:bidi="ar-SA"/>
        </w:rPr>
        <w:t>.3 检测项目与资料管理</w:t>
      </w:r>
      <w:bookmarkEnd w:id="35"/>
    </w:p>
    <w:p w14:paraId="5A3E9281">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default" w:ascii="宋体" w:hAnsi="宋体" w:eastAsia="宋体" w:cs="宋体"/>
          <w:snapToGrid w:val="0"/>
          <w:color w:val="000000"/>
          <w:sz w:val="24"/>
          <w:szCs w:val="24"/>
          <w:lang w:val="en-US" w:eastAsia="zh-CN" w:bidi="ar-SA"/>
        </w:rPr>
      </w:pPr>
      <w:r>
        <w:rPr>
          <w:rFonts w:hint="default" w:ascii="宋体" w:hAnsi="宋体" w:eastAsia="宋体" w:cs="宋体"/>
          <w:snapToGrid w:val="0"/>
          <w:color w:val="000000"/>
          <w:sz w:val="24"/>
          <w:szCs w:val="24"/>
          <w:lang w:val="en-US" w:eastAsia="zh-CN" w:bidi="ar-SA"/>
        </w:rPr>
        <w:t>把每次桥梁检测委托与受检桥梁、检测范围、参与人员、实施时间、项目资料和交付成果建立关联。每次接受委托后建立独立的检测项目，并将本次检测使用和形成的文件、表格、图片及成果统一归入该项目。该项工作的目的是明确每次检测的委托来源、实施范围和成果构成，避免不同批次项目的资料混用。</w:t>
      </w:r>
    </w:p>
    <w:p w14:paraId="77A2248D">
      <w:pPr>
        <w:keepNext w:val="0"/>
        <w:keepLines w:val="0"/>
        <w:pageBreakBefore w:val="0"/>
        <w:widowControl w:val="0"/>
        <w:kinsoku/>
        <w:wordWrap/>
        <w:overflowPunct/>
        <w:topLinePunct w:val="0"/>
        <w:autoSpaceDE/>
        <w:autoSpaceDN/>
        <w:bidi w:val="0"/>
        <w:adjustRightInd/>
        <w:snapToGrid/>
        <w:spacing w:after="0" w:line="360" w:lineRule="auto"/>
        <w:ind w:left="0" w:firstLine="0"/>
        <w:jc w:val="left"/>
        <w:textAlignment w:val="auto"/>
        <w:outlineLvl w:val="2"/>
        <w:rPr>
          <w:rFonts w:hint="default" w:ascii="宋体" w:hAnsi="宋体" w:eastAsia="宋体" w:cs="宋体"/>
          <w:snapToGrid w:val="0"/>
          <w:color w:val="000000"/>
          <w:sz w:val="24"/>
          <w:szCs w:val="24"/>
          <w:lang w:val="en-US" w:eastAsia="zh-CN" w:bidi="ar-SA"/>
        </w:rPr>
      </w:pPr>
      <w:bookmarkStart w:id="36" w:name="_Toc971758876"/>
      <w:r>
        <w:rPr>
          <w:rFonts w:hint="eastAsia" w:ascii="宋体" w:hAnsi="宋体" w:cs="宋体"/>
          <w:b/>
          <w:snapToGrid w:val="0"/>
          <w:color w:val="000000"/>
          <w:sz w:val="24"/>
          <w:szCs w:val="24"/>
          <w:lang w:val="en-US" w:eastAsia="zh-CN" w:bidi="ar-SA"/>
        </w:rPr>
        <w:t>3.5</w:t>
      </w:r>
      <w:r>
        <w:rPr>
          <w:rFonts w:hint="default" w:ascii="宋体" w:hAnsi="宋体" w:cs="宋体"/>
          <w:b/>
          <w:snapToGrid w:val="0"/>
          <w:color w:val="000000"/>
          <w:sz w:val="24"/>
          <w:szCs w:val="24"/>
          <w:lang w:val="en-US" w:eastAsia="zh-CN" w:bidi="ar-SA"/>
        </w:rPr>
        <w:t>.4 检测数据与病害管理</w:t>
      </w:r>
      <w:bookmarkEnd w:id="36"/>
    </w:p>
    <w:p w14:paraId="1CB24935">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default" w:ascii="宋体" w:hAnsi="宋体" w:eastAsia="宋体" w:cs="宋体"/>
          <w:snapToGrid w:val="0"/>
          <w:color w:val="000000"/>
          <w:sz w:val="24"/>
          <w:szCs w:val="24"/>
          <w:lang w:val="en-US" w:eastAsia="zh-CN" w:bidi="ar-SA"/>
        </w:rPr>
      </w:pPr>
      <w:r>
        <w:rPr>
          <w:rFonts w:hint="default" w:ascii="宋体" w:hAnsi="宋体" w:eastAsia="宋体" w:cs="宋体"/>
          <w:snapToGrid w:val="0"/>
          <w:color w:val="000000"/>
          <w:sz w:val="24"/>
          <w:szCs w:val="24"/>
          <w:lang w:val="en-US" w:eastAsia="zh-CN" w:bidi="ar-SA"/>
        </w:rPr>
        <w:t>建设检测数据、病害记录、影像资料和原始文件的录入、导入、查询和修改记录功能，并按照受检桥梁、检测项目、部位或构件组织相关数据。对于内容缺失、重复或无法确定归属的资料，系统提示业务人员进行确认。该项工作的目的是使检测数据和病害记录能够准确对应具体受检对象，为专业计算、报告编制和历史查询提供可靠基础。</w:t>
      </w:r>
    </w:p>
    <w:p w14:paraId="3A3C8390">
      <w:pPr>
        <w:keepNext w:val="0"/>
        <w:keepLines w:val="0"/>
        <w:pageBreakBefore w:val="0"/>
        <w:widowControl w:val="0"/>
        <w:kinsoku/>
        <w:wordWrap/>
        <w:overflowPunct/>
        <w:topLinePunct w:val="0"/>
        <w:autoSpaceDE/>
        <w:autoSpaceDN/>
        <w:bidi w:val="0"/>
        <w:adjustRightInd/>
        <w:snapToGrid/>
        <w:spacing w:after="0" w:line="360" w:lineRule="auto"/>
        <w:ind w:left="0" w:firstLine="0"/>
        <w:jc w:val="left"/>
        <w:textAlignment w:val="auto"/>
        <w:outlineLvl w:val="2"/>
        <w:rPr>
          <w:rFonts w:hint="default" w:ascii="宋体" w:hAnsi="宋体" w:eastAsia="宋体" w:cs="宋体"/>
          <w:snapToGrid w:val="0"/>
          <w:color w:val="000000"/>
          <w:sz w:val="24"/>
          <w:szCs w:val="24"/>
          <w:lang w:val="en-US" w:eastAsia="zh-CN" w:bidi="ar-SA"/>
        </w:rPr>
      </w:pPr>
      <w:bookmarkStart w:id="37" w:name="_Toc738293497"/>
      <w:r>
        <w:rPr>
          <w:rFonts w:hint="eastAsia" w:ascii="宋体" w:hAnsi="宋体" w:cs="宋体"/>
          <w:b/>
          <w:snapToGrid w:val="0"/>
          <w:color w:val="000000"/>
          <w:sz w:val="24"/>
          <w:szCs w:val="24"/>
          <w:lang w:val="en-US" w:eastAsia="zh-CN" w:bidi="ar-SA"/>
        </w:rPr>
        <w:t>3.5</w:t>
      </w:r>
      <w:r>
        <w:rPr>
          <w:rFonts w:hint="default" w:ascii="宋体" w:hAnsi="宋体" w:cs="宋体"/>
          <w:b/>
          <w:snapToGrid w:val="0"/>
          <w:color w:val="000000"/>
          <w:sz w:val="24"/>
          <w:szCs w:val="24"/>
          <w:lang w:val="en-US" w:eastAsia="zh-CN" w:bidi="ar-SA"/>
        </w:rPr>
        <w:t xml:space="preserve">.5 </w:t>
      </w:r>
      <w:r>
        <w:rPr>
          <w:rFonts w:hint="eastAsia" w:ascii="宋体" w:hAnsi="宋体" w:cs="宋体"/>
          <w:b/>
          <w:snapToGrid w:val="0"/>
          <w:color w:val="000000"/>
          <w:sz w:val="24"/>
          <w:szCs w:val="24"/>
          <w:lang w:val="en-US" w:eastAsia="zh-CN" w:bidi="ar-SA"/>
        </w:rPr>
        <w:t>自动</w:t>
      </w:r>
      <w:r>
        <w:rPr>
          <w:rFonts w:hint="default" w:ascii="宋体" w:hAnsi="宋体" w:cs="宋体"/>
          <w:b/>
          <w:snapToGrid w:val="0"/>
          <w:color w:val="000000"/>
          <w:sz w:val="24"/>
          <w:szCs w:val="24"/>
          <w:lang w:val="en-US" w:eastAsia="zh-CN" w:bidi="ar-SA"/>
        </w:rPr>
        <w:t>计算与人工复核</w:t>
      </w:r>
      <w:bookmarkEnd w:id="37"/>
    </w:p>
    <w:p w14:paraId="687BADA1">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default" w:ascii="宋体" w:hAnsi="宋体" w:eastAsia="宋体" w:cs="宋体"/>
          <w:snapToGrid w:val="0"/>
          <w:color w:val="000000"/>
          <w:sz w:val="24"/>
          <w:szCs w:val="24"/>
          <w:lang w:val="en-US" w:eastAsia="zh-CN" w:bidi="ar-SA"/>
        </w:rPr>
      </w:pPr>
      <w:r>
        <w:rPr>
          <w:rFonts w:hint="default" w:ascii="宋体" w:hAnsi="宋体" w:eastAsia="宋体" w:cs="宋体"/>
          <w:snapToGrid w:val="0"/>
          <w:color w:val="000000"/>
          <w:sz w:val="24"/>
          <w:szCs w:val="24"/>
          <w:lang w:val="en-US" w:eastAsia="zh-CN" w:bidi="ar-SA"/>
        </w:rPr>
        <w:t>按照</w:t>
      </w:r>
      <w:r>
        <w:rPr>
          <w:rFonts w:hint="eastAsia" w:ascii="宋体" w:hAnsi="宋体" w:cs="宋体"/>
          <w:snapToGrid w:val="0"/>
          <w:color w:val="000000"/>
          <w:sz w:val="24"/>
          <w:szCs w:val="24"/>
          <w:lang w:val="en-US" w:eastAsia="zh-CN" w:bidi="ar-SA"/>
        </w:rPr>
        <w:t>《公路桥梁技术状况评定标准》规范文件，</w:t>
      </w:r>
      <w:r>
        <w:rPr>
          <w:rFonts w:hint="default" w:ascii="宋体" w:hAnsi="宋体" w:eastAsia="宋体" w:cs="宋体"/>
          <w:snapToGrid w:val="0"/>
          <w:color w:val="000000"/>
          <w:sz w:val="24"/>
          <w:szCs w:val="24"/>
          <w:lang w:val="en-US" w:eastAsia="zh-CN" w:bidi="ar-SA"/>
        </w:rPr>
        <w:t>建设相应计算功能。系统基于已确认的数据完成计算，并保留输入数据、计算过程、规则版本和计算结果；专业人员负责对结果进行复核和确认。该项工作的目的是统一同类检测项目的计算口径，减少人工维护分散计算表的工作，并保证计算结果能够复核。</w:t>
      </w:r>
    </w:p>
    <w:p w14:paraId="49C47782">
      <w:pPr>
        <w:keepNext w:val="0"/>
        <w:keepLines w:val="0"/>
        <w:pageBreakBefore w:val="0"/>
        <w:widowControl w:val="0"/>
        <w:kinsoku/>
        <w:wordWrap/>
        <w:overflowPunct/>
        <w:topLinePunct w:val="0"/>
        <w:autoSpaceDE/>
        <w:autoSpaceDN/>
        <w:bidi w:val="0"/>
        <w:adjustRightInd/>
        <w:snapToGrid/>
        <w:spacing w:after="0" w:line="360" w:lineRule="auto"/>
        <w:ind w:left="0" w:firstLine="0"/>
        <w:jc w:val="left"/>
        <w:textAlignment w:val="auto"/>
        <w:outlineLvl w:val="2"/>
        <w:rPr>
          <w:rFonts w:hint="default" w:ascii="宋体" w:hAnsi="宋体" w:eastAsia="宋体" w:cs="宋体"/>
          <w:snapToGrid w:val="0"/>
          <w:color w:val="000000"/>
          <w:sz w:val="24"/>
          <w:szCs w:val="24"/>
          <w:lang w:val="en-US" w:eastAsia="zh-CN" w:bidi="ar-SA"/>
        </w:rPr>
      </w:pPr>
      <w:bookmarkStart w:id="38" w:name="_Toc338291713"/>
      <w:r>
        <w:rPr>
          <w:rFonts w:hint="eastAsia" w:ascii="宋体" w:hAnsi="宋体" w:cs="宋体"/>
          <w:b/>
          <w:snapToGrid w:val="0"/>
          <w:color w:val="000000"/>
          <w:sz w:val="24"/>
          <w:szCs w:val="24"/>
          <w:lang w:val="en-US" w:eastAsia="zh-CN" w:bidi="ar-SA"/>
        </w:rPr>
        <w:t>3.5</w:t>
      </w:r>
      <w:r>
        <w:rPr>
          <w:rFonts w:hint="default" w:ascii="宋体" w:hAnsi="宋体" w:cs="宋体"/>
          <w:b/>
          <w:snapToGrid w:val="0"/>
          <w:color w:val="000000"/>
          <w:sz w:val="24"/>
          <w:szCs w:val="24"/>
          <w:lang w:val="en-US" w:eastAsia="zh-CN" w:bidi="ar-SA"/>
        </w:rPr>
        <w:t>.6 历史成果查询与对比</w:t>
      </w:r>
      <w:bookmarkEnd w:id="38"/>
    </w:p>
    <w:p w14:paraId="75FDACEB">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default" w:ascii="宋体" w:hAnsi="宋体" w:eastAsia="宋体" w:cs="宋体"/>
          <w:snapToGrid w:val="0"/>
          <w:color w:val="000000"/>
          <w:sz w:val="24"/>
          <w:szCs w:val="24"/>
          <w:lang w:val="en-US" w:eastAsia="zh-CN" w:bidi="ar-SA"/>
        </w:rPr>
      </w:pPr>
      <w:r>
        <w:rPr>
          <w:rFonts w:hint="default" w:ascii="宋体" w:hAnsi="宋体" w:eastAsia="宋体" w:cs="宋体"/>
          <w:snapToGrid w:val="0"/>
          <w:color w:val="000000"/>
          <w:sz w:val="24"/>
          <w:szCs w:val="24"/>
          <w:lang w:val="en-US" w:eastAsia="zh-CN" w:bidi="ar-SA"/>
        </w:rPr>
        <w:t>建设同一受检桥梁历次检测项目、病害记录、计算结果和报告成果的查询与对比功能。系统按照桥梁、检测时间、检测项目、部位或构件组织历史资料，并在数据条件满足时呈现历次检测结果的变化。该项工作的目的是为再次承接检测、报告编制和专业研判提供历史依据，减少从多个项目文件夹中重新查找资料的工作。</w:t>
      </w:r>
    </w:p>
    <w:p w14:paraId="126B44E1">
      <w:pPr>
        <w:keepNext w:val="0"/>
        <w:keepLines w:val="0"/>
        <w:pageBreakBefore w:val="0"/>
        <w:widowControl w:val="0"/>
        <w:kinsoku/>
        <w:wordWrap/>
        <w:overflowPunct/>
        <w:topLinePunct w:val="0"/>
        <w:autoSpaceDE/>
        <w:autoSpaceDN/>
        <w:bidi w:val="0"/>
        <w:adjustRightInd/>
        <w:snapToGrid/>
        <w:spacing w:after="0" w:line="360" w:lineRule="auto"/>
        <w:ind w:left="0" w:firstLine="0"/>
        <w:jc w:val="left"/>
        <w:textAlignment w:val="auto"/>
        <w:outlineLvl w:val="2"/>
        <w:rPr>
          <w:rFonts w:hint="default" w:ascii="宋体" w:hAnsi="宋体" w:eastAsia="宋体" w:cs="宋体"/>
          <w:snapToGrid w:val="0"/>
          <w:color w:val="000000"/>
          <w:sz w:val="24"/>
          <w:szCs w:val="24"/>
          <w:lang w:val="en-US" w:eastAsia="zh-CN" w:bidi="ar-SA"/>
        </w:rPr>
      </w:pPr>
      <w:bookmarkStart w:id="39" w:name="_Toc1279606782"/>
      <w:r>
        <w:rPr>
          <w:rFonts w:hint="eastAsia" w:ascii="宋体" w:hAnsi="宋体" w:cs="宋体"/>
          <w:b/>
          <w:snapToGrid w:val="0"/>
          <w:color w:val="000000"/>
          <w:sz w:val="24"/>
          <w:szCs w:val="24"/>
          <w:lang w:val="en-US" w:eastAsia="zh-CN" w:bidi="ar-SA"/>
        </w:rPr>
        <w:t>3.5</w:t>
      </w:r>
      <w:r>
        <w:rPr>
          <w:rFonts w:hint="default" w:ascii="宋体" w:hAnsi="宋体" w:cs="宋体"/>
          <w:b/>
          <w:snapToGrid w:val="0"/>
          <w:color w:val="000000"/>
          <w:sz w:val="24"/>
          <w:szCs w:val="24"/>
          <w:lang w:val="en-US" w:eastAsia="zh-CN" w:bidi="ar-SA"/>
        </w:rPr>
        <w:t>.7 桥梁专项检测报告衔接</w:t>
      </w:r>
      <w:bookmarkEnd w:id="39"/>
    </w:p>
    <w:p w14:paraId="0106F9BC">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default" w:ascii="宋体" w:hAnsi="宋体" w:eastAsia="宋体" w:cs="宋体"/>
          <w:snapToGrid w:val="0"/>
          <w:color w:val="000000"/>
          <w:sz w:val="24"/>
          <w:szCs w:val="24"/>
          <w:lang w:val="en-US" w:eastAsia="zh-CN" w:bidi="ar-SA"/>
        </w:rPr>
      </w:pPr>
      <w:r>
        <w:rPr>
          <w:rFonts w:hint="default" w:ascii="宋体" w:hAnsi="宋体" w:eastAsia="宋体" w:cs="宋体"/>
          <w:snapToGrid w:val="0"/>
          <w:color w:val="000000"/>
          <w:sz w:val="24"/>
          <w:szCs w:val="24"/>
          <w:lang w:val="en-US" w:eastAsia="zh-CN" w:bidi="ar-SA"/>
        </w:rPr>
        <w:t>把经确认的受检桥梁信息、检测数据、病害记录、影像资料和计算结果</w:t>
      </w:r>
      <w:r>
        <w:rPr>
          <w:rFonts w:hint="eastAsia" w:ascii="宋体" w:hAnsi="宋体" w:cs="宋体"/>
          <w:snapToGrid w:val="0"/>
          <w:color w:val="000000"/>
          <w:sz w:val="24"/>
          <w:szCs w:val="24"/>
          <w:lang w:val="en-US" w:eastAsia="zh-CN" w:bidi="ar-SA"/>
        </w:rPr>
        <w:t>对接至</w:t>
      </w:r>
      <w:r>
        <w:rPr>
          <w:rFonts w:hint="default" w:ascii="宋体" w:hAnsi="宋体" w:eastAsia="宋体" w:cs="宋体"/>
          <w:snapToGrid w:val="0"/>
          <w:color w:val="000000"/>
          <w:sz w:val="24"/>
          <w:szCs w:val="24"/>
          <w:lang w:val="en-US" w:eastAsia="zh-CN" w:bidi="ar-SA"/>
        </w:rPr>
        <w:t>报告生成与分析智能体。报告智能体按照桥梁专项检测报告模板调用相关资料并形成报告初稿，后续仍由编制和审核人员完成修改、审核及签发。该项工作的目的是减少桥梁信息、病害表、计算结果和图片在报告编制阶段的重复整理和跨文件转录。</w:t>
      </w:r>
    </w:p>
    <w:p w14:paraId="097847CB">
      <w:pPr>
        <w:rPr>
          <w:rFonts w:hint="eastAsia" w:ascii="宋体" w:hAnsi="宋体" w:cs="宋体"/>
          <w:b/>
          <w:snapToGrid w:val="0"/>
          <w:color w:val="000000"/>
          <w:sz w:val="28"/>
          <w:szCs w:val="28"/>
          <w:lang w:val="en-US" w:eastAsia="zh-CN" w:bidi="ar-SA"/>
        </w:rPr>
      </w:pPr>
      <w:r>
        <w:rPr>
          <w:rFonts w:hint="eastAsia" w:ascii="宋体" w:hAnsi="宋体" w:cs="宋体"/>
          <w:b/>
          <w:snapToGrid w:val="0"/>
          <w:color w:val="000000"/>
          <w:sz w:val="28"/>
          <w:szCs w:val="28"/>
          <w:lang w:val="en-US" w:eastAsia="zh-CN" w:bidi="ar-SA"/>
        </w:rPr>
        <w:br w:type="page"/>
      </w:r>
    </w:p>
    <w:p w14:paraId="53B9FFA4">
      <w:pPr>
        <w:keepNext w:val="0"/>
        <w:keepLines w:val="0"/>
        <w:pageBreakBefore w:val="0"/>
        <w:widowControl/>
        <w:kinsoku w:val="0"/>
        <w:wordWrap/>
        <w:overflowPunct/>
        <w:topLinePunct w:val="0"/>
        <w:autoSpaceDE w:val="0"/>
        <w:autoSpaceDN w:val="0"/>
        <w:bidi w:val="0"/>
        <w:adjustRightInd w:val="0"/>
        <w:snapToGrid w:val="0"/>
        <w:spacing w:after="0" w:line="360" w:lineRule="auto"/>
        <w:ind w:left="0"/>
        <w:jc w:val="left"/>
        <w:textAlignment w:val="baseline"/>
        <w:outlineLvl w:val="0"/>
        <w:rPr>
          <w:rFonts w:hint="default" w:ascii="宋体" w:hAnsi="宋体" w:eastAsia="宋体" w:cs="宋体"/>
          <w:b/>
          <w:snapToGrid w:val="0"/>
          <w:color w:val="000000"/>
          <w:sz w:val="28"/>
          <w:szCs w:val="28"/>
          <w:lang w:val="en-US" w:eastAsia="zh-CN" w:bidi="ar-SA"/>
        </w:rPr>
      </w:pPr>
      <w:bookmarkStart w:id="40" w:name="_Toc1449944016"/>
      <w:r>
        <w:rPr>
          <w:rFonts w:hint="eastAsia" w:ascii="宋体" w:hAnsi="宋体" w:cs="宋体"/>
          <w:b/>
          <w:snapToGrid w:val="0"/>
          <w:color w:val="000000"/>
          <w:sz w:val="28"/>
          <w:szCs w:val="28"/>
          <w:lang w:val="en-US" w:eastAsia="zh-CN" w:bidi="ar-SA"/>
        </w:rPr>
        <w:t>四</w:t>
      </w:r>
      <w:r>
        <w:rPr>
          <w:rFonts w:hint="eastAsia" w:ascii="宋体" w:hAnsi="宋体" w:eastAsia="宋体" w:cs="宋体"/>
          <w:b/>
          <w:snapToGrid w:val="0"/>
          <w:color w:val="000000"/>
          <w:sz w:val="28"/>
          <w:szCs w:val="28"/>
          <w:lang w:val="en-US" w:eastAsia="zh-CN" w:bidi="ar-SA"/>
        </w:rPr>
        <w:t>、</w:t>
      </w:r>
      <w:r>
        <w:rPr>
          <w:rFonts w:hint="eastAsia" w:ascii="宋体" w:hAnsi="宋体" w:cs="宋体"/>
          <w:b/>
          <w:snapToGrid w:val="0"/>
          <w:color w:val="000000"/>
          <w:sz w:val="28"/>
          <w:szCs w:val="28"/>
          <w:lang w:val="en-US" w:eastAsia="zh-CN" w:bidi="ar-SA"/>
        </w:rPr>
        <w:t>项目计划与预期成果</w:t>
      </w:r>
      <w:bookmarkEnd w:id="40"/>
    </w:p>
    <w:p w14:paraId="7CD1779A">
      <w:pPr>
        <w:pStyle w:val="2"/>
        <w:rPr>
          <w:rFonts w:hint="eastAsia" w:ascii="宋体" w:hAnsi="宋体" w:cs="宋体"/>
          <w:b/>
          <w:snapToGrid w:val="0"/>
          <w:color w:val="000000"/>
          <w:sz w:val="28"/>
          <w:szCs w:val="28"/>
          <w:lang w:val="en-US" w:eastAsia="zh-CN" w:bidi="ar-SA"/>
        </w:rPr>
      </w:pPr>
      <w:bookmarkStart w:id="41" w:name="_Toc1712134403"/>
      <w:r>
        <w:rPr>
          <w:rFonts w:hint="eastAsia" w:ascii="宋体" w:hAnsi="宋体" w:cs="宋体"/>
          <w:b/>
          <w:snapToGrid w:val="0"/>
          <w:color w:val="000000"/>
          <w:sz w:val="28"/>
          <w:szCs w:val="28"/>
          <w:lang w:val="en-US" w:eastAsia="zh-CN" w:bidi="ar-SA"/>
        </w:rPr>
        <w:t>4.1 工作安排</w:t>
      </w:r>
      <w:bookmarkEnd w:id="41"/>
    </w:p>
    <w:p w14:paraId="20DBDB7A">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default" w:ascii="宋体" w:hAnsi="宋体" w:eastAsia="宋体" w:cs="宋体"/>
          <w:snapToGrid w:val="0"/>
          <w:color w:val="000000"/>
          <w:sz w:val="24"/>
          <w:szCs w:val="24"/>
          <w:lang w:val="en-US" w:eastAsia="zh-CN" w:bidi="ar-SA"/>
        </w:rPr>
      </w:pPr>
      <w:r>
        <w:rPr>
          <w:rFonts w:hint="default" w:ascii="宋体" w:hAnsi="宋体" w:eastAsia="宋体" w:cs="宋体"/>
          <w:snapToGrid w:val="0"/>
          <w:color w:val="000000"/>
          <w:sz w:val="24"/>
          <w:szCs w:val="24"/>
          <w:lang w:val="en-US" w:eastAsia="zh-CN" w:bidi="ar-SA"/>
        </w:rPr>
        <w:t>本项目初步建设周期为24周，按照“范围确认—方案设计—并行建设—集成测试—试运行—验收</w:t>
      </w:r>
      <w:r>
        <w:rPr>
          <w:rFonts w:hint="default" w:ascii="宋体" w:hAnsi="宋体" w:eastAsia="宋体" w:cs="宋体"/>
          <w:snapToGrid w:val="0"/>
          <w:color w:val="000000"/>
          <w:sz w:val="24"/>
          <w:szCs w:val="24"/>
          <w:lang w:val="en-US" w:eastAsia="zh-CN" w:bidi="ar-SA"/>
        </w:rPr>
        <w:t>移交”六个阶段推进。各阶段具体日期、设备接入批次和报告类型实施次序，将在项目启动后结合现场条件及双方配合情况进一步细化。</w:t>
      </w:r>
    </w:p>
    <w:tbl>
      <w:tblPr>
        <w:tblStyle w:val="13"/>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1168"/>
        <w:gridCol w:w="950"/>
        <w:gridCol w:w="4293"/>
        <w:gridCol w:w="2134"/>
      </w:tblGrid>
      <w:tr w14:paraId="62E6F276">
        <w:trPr>
          <w:cantSplit/>
          <w:tblHeader/>
          <w:jc w:val="center"/>
        </w:trPr>
        <w:tc>
          <w:tcPr>
            <w:tcW w:w="0" w:type="auto"/>
            <w:shd w:val="clear" w:color="auto" w:fill="17365D"/>
            <w:tcMar>
              <w:top w:w="100" w:type="dxa"/>
              <w:left w:w="120" w:type="dxa"/>
              <w:bottom w:w="100" w:type="dxa"/>
              <w:right w:w="120" w:type="dxa"/>
            </w:tcMar>
            <w:vAlign w:val="center"/>
          </w:tcPr>
          <w:p w14:paraId="753CD434">
            <w:pPr>
              <w:spacing w:before="0" w:after="0" w:line="269" w:lineRule="auto"/>
              <w:jc w:val="center"/>
              <w:rPr>
                <w:rFonts w:hint="default" w:ascii="宋体" w:hAnsi="宋体" w:eastAsia="宋体" w:cs="宋体"/>
                <w:lang w:val="en-US" w:eastAsia="zh-CN"/>
              </w:rPr>
            </w:pPr>
            <w:r>
              <w:rPr>
                <w:rFonts w:hint="eastAsia" w:ascii="宋体" w:hAnsi="宋体" w:cs="宋体"/>
                <w:b/>
                <w:color w:val="FFFFFF"/>
                <w:sz w:val="18"/>
                <w:lang w:val="en-US" w:eastAsia="zh-CN"/>
              </w:rPr>
              <w:t>阶段</w:t>
            </w:r>
          </w:p>
        </w:tc>
        <w:tc>
          <w:tcPr>
            <w:tcW w:w="0" w:type="auto"/>
            <w:shd w:val="clear" w:color="auto" w:fill="17365D"/>
            <w:tcMar>
              <w:top w:w="100" w:type="dxa"/>
              <w:left w:w="120" w:type="dxa"/>
              <w:bottom w:w="100" w:type="dxa"/>
              <w:right w:w="120" w:type="dxa"/>
            </w:tcMar>
            <w:vAlign w:val="center"/>
          </w:tcPr>
          <w:p w14:paraId="54F0238B">
            <w:pPr>
              <w:spacing w:before="0" w:after="0" w:line="269" w:lineRule="auto"/>
              <w:jc w:val="center"/>
              <w:rPr>
                <w:rFonts w:hint="default" w:ascii="宋体" w:hAnsi="宋体" w:eastAsia="宋体" w:cs="宋体"/>
                <w:lang w:val="en-US" w:eastAsia="zh-CN"/>
              </w:rPr>
            </w:pPr>
            <w:r>
              <w:rPr>
                <w:rFonts w:hint="eastAsia" w:ascii="宋体" w:hAnsi="宋体" w:cs="宋体"/>
                <w:lang w:val="en-US" w:eastAsia="zh-CN"/>
              </w:rPr>
              <w:t>周期</w:t>
            </w:r>
          </w:p>
        </w:tc>
        <w:tc>
          <w:tcPr>
            <w:tcW w:w="0" w:type="auto"/>
            <w:shd w:val="clear" w:color="auto" w:fill="17365D"/>
            <w:tcMar>
              <w:top w:w="100" w:type="dxa"/>
              <w:left w:w="120" w:type="dxa"/>
              <w:bottom w:w="100" w:type="dxa"/>
              <w:right w:w="120" w:type="dxa"/>
            </w:tcMar>
            <w:vAlign w:val="center"/>
          </w:tcPr>
          <w:p w14:paraId="2CD93FE0">
            <w:pPr>
              <w:spacing w:before="0" w:after="0" w:line="269" w:lineRule="auto"/>
              <w:jc w:val="center"/>
              <w:rPr>
                <w:rFonts w:hint="default" w:ascii="宋体" w:hAnsi="宋体" w:eastAsia="宋体" w:cs="宋体"/>
                <w:lang w:val="en-US" w:eastAsia="zh-CN"/>
              </w:rPr>
            </w:pPr>
            <w:r>
              <w:rPr>
                <w:rFonts w:hint="eastAsia" w:ascii="宋体" w:hAnsi="宋体" w:cs="宋体"/>
                <w:b/>
                <w:color w:val="FFFFFF"/>
                <w:sz w:val="18"/>
                <w:lang w:val="en-US" w:eastAsia="zh-CN"/>
              </w:rPr>
              <w:t>主要工作</w:t>
            </w:r>
          </w:p>
        </w:tc>
        <w:tc>
          <w:tcPr>
            <w:tcW w:w="0" w:type="auto"/>
            <w:shd w:val="clear" w:color="auto" w:fill="17365D"/>
            <w:tcMar>
              <w:top w:w="100" w:type="dxa"/>
              <w:left w:w="120" w:type="dxa"/>
              <w:bottom w:w="100" w:type="dxa"/>
              <w:right w:w="120" w:type="dxa"/>
            </w:tcMar>
            <w:vAlign w:val="center"/>
          </w:tcPr>
          <w:p w14:paraId="3D80A95E">
            <w:pPr>
              <w:spacing w:before="0" w:after="0" w:line="269" w:lineRule="auto"/>
              <w:jc w:val="center"/>
              <w:rPr>
                <w:rFonts w:hint="default" w:ascii="宋体" w:hAnsi="宋体" w:cs="宋体"/>
                <w:b/>
                <w:color w:val="FFFFFF"/>
                <w:sz w:val="18"/>
                <w:lang w:val="en-US" w:eastAsia="zh-CN"/>
              </w:rPr>
            </w:pPr>
            <w:r>
              <w:rPr>
                <w:rFonts w:hint="eastAsia" w:ascii="宋体" w:hAnsi="宋体" w:cs="宋体"/>
                <w:b/>
                <w:color w:val="FFFFFF"/>
                <w:sz w:val="18"/>
                <w:lang w:val="en-US" w:eastAsia="zh-CN"/>
              </w:rPr>
              <w:t>阶段成果</w:t>
            </w:r>
          </w:p>
        </w:tc>
      </w:tr>
      <w:tr w14:paraId="3114930A">
        <w:trPr>
          <w:cantSplit/>
          <w:jc w:val="center"/>
        </w:trPr>
        <w:tc>
          <w:tcPr>
            <w:tcW w:w="0" w:type="auto"/>
            <w:tcMar>
              <w:top w:w="100" w:type="dxa"/>
              <w:left w:w="120" w:type="dxa"/>
              <w:bottom w:w="100" w:type="dxa"/>
              <w:right w:w="120" w:type="dxa"/>
            </w:tcMar>
            <w:vAlign w:val="center"/>
          </w:tcPr>
          <w:p w14:paraId="675850B1">
            <w:pPr>
              <w:spacing w:before="0" w:after="0" w:line="269" w:lineRule="auto"/>
              <w:jc w:val="left"/>
              <w:rPr>
                <w:rFonts w:hint="default" w:ascii="宋体" w:hAnsi="宋体" w:eastAsia="宋体" w:cs="宋体"/>
                <w:color w:val="000000"/>
                <w:sz w:val="18"/>
                <w:lang w:val="en-US" w:eastAsia="zh-CN"/>
              </w:rPr>
            </w:pPr>
            <w:r>
              <w:rPr>
                <w:rFonts w:hint="eastAsia" w:ascii="宋体" w:hAnsi="宋体" w:eastAsia="宋体" w:cs="宋体"/>
                <w:color w:val="000000"/>
                <w:sz w:val="18"/>
              </w:rPr>
              <w:t>第一阶段：启动与范围确认</w:t>
            </w:r>
          </w:p>
        </w:tc>
        <w:tc>
          <w:tcPr>
            <w:tcW w:w="0" w:type="auto"/>
            <w:tcMar>
              <w:top w:w="100" w:type="dxa"/>
              <w:left w:w="120" w:type="dxa"/>
              <w:bottom w:w="100" w:type="dxa"/>
              <w:right w:w="120" w:type="dxa"/>
            </w:tcMar>
            <w:vAlign w:val="center"/>
          </w:tcPr>
          <w:p w14:paraId="77670E2A">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第1—2周</w:t>
            </w:r>
          </w:p>
        </w:tc>
        <w:tc>
          <w:tcPr>
            <w:tcW w:w="0" w:type="auto"/>
            <w:tcMar>
              <w:top w:w="100" w:type="dxa"/>
              <w:left w:w="120" w:type="dxa"/>
              <w:bottom w:w="100" w:type="dxa"/>
              <w:right w:w="120" w:type="dxa"/>
            </w:tcMar>
            <w:vAlign w:val="center"/>
          </w:tcPr>
          <w:p w14:paraId="764E438B">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完成项目启动和业务调研；确认二期边界、委托小程序需求、首批设备、首批报告、桥梁检测数据范围、接口和部署条件</w:t>
            </w:r>
          </w:p>
        </w:tc>
        <w:tc>
          <w:tcPr>
            <w:tcW w:w="0" w:type="auto"/>
            <w:tcMar>
              <w:top w:w="100" w:type="dxa"/>
              <w:left w:w="120" w:type="dxa"/>
              <w:bottom w:w="100" w:type="dxa"/>
              <w:right w:w="120" w:type="dxa"/>
            </w:tcMar>
            <w:vAlign w:val="center"/>
          </w:tcPr>
          <w:p w14:paraId="2B8D57D8">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项目计划、范围清单、真实样例、接口清单和验收基线</w:t>
            </w:r>
          </w:p>
        </w:tc>
      </w:tr>
      <w:tr w14:paraId="42A515F7">
        <w:trPr>
          <w:cantSplit/>
          <w:jc w:val="center"/>
        </w:trPr>
        <w:tc>
          <w:tcPr>
            <w:tcW w:w="0" w:type="auto"/>
            <w:shd w:val="clear" w:color="auto" w:fill="F5F9FC"/>
            <w:tcMar>
              <w:top w:w="100" w:type="dxa"/>
              <w:left w:w="120" w:type="dxa"/>
              <w:bottom w:w="100" w:type="dxa"/>
              <w:right w:w="120" w:type="dxa"/>
            </w:tcMar>
            <w:vAlign w:val="center"/>
          </w:tcPr>
          <w:p w14:paraId="57F0F803">
            <w:pPr>
              <w:spacing w:before="0" w:after="0" w:line="269" w:lineRule="auto"/>
              <w:jc w:val="left"/>
              <w:rPr>
                <w:rFonts w:hint="eastAsia" w:ascii="宋体" w:hAnsi="宋体" w:eastAsia="宋体" w:cs="宋体"/>
                <w:color w:val="000000"/>
                <w:sz w:val="18"/>
                <w:lang w:val="en-US" w:eastAsia="zh-CN"/>
              </w:rPr>
            </w:pPr>
            <w:r>
              <w:rPr>
                <w:rFonts w:hint="eastAsia" w:ascii="宋体" w:hAnsi="宋体" w:eastAsia="宋体" w:cs="宋体"/>
                <w:color w:val="000000"/>
                <w:sz w:val="18"/>
              </w:rPr>
              <w:t>第二阶段：方案与原型确认</w:t>
            </w:r>
          </w:p>
        </w:tc>
        <w:tc>
          <w:tcPr>
            <w:tcW w:w="0" w:type="auto"/>
            <w:shd w:val="clear" w:color="auto" w:fill="F5F9FC"/>
            <w:tcMar>
              <w:top w:w="100" w:type="dxa"/>
              <w:left w:w="120" w:type="dxa"/>
              <w:bottom w:w="100" w:type="dxa"/>
              <w:right w:w="120" w:type="dxa"/>
            </w:tcMar>
            <w:vAlign w:val="center"/>
          </w:tcPr>
          <w:p w14:paraId="43E21A45">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第3—5周</w:t>
            </w:r>
          </w:p>
        </w:tc>
        <w:tc>
          <w:tcPr>
            <w:tcW w:w="0" w:type="auto"/>
            <w:shd w:val="clear" w:color="auto" w:fill="F5F9FC"/>
            <w:tcMar>
              <w:top w:w="100" w:type="dxa"/>
              <w:left w:w="120" w:type="dxa"/>
              <w:bottom w:w="100" w:type="dxa"/>
              <w:right w:w="120" w:type="dxa"/>
            </w:tcMar>
            <w:vAlign w:val="center"/>
          </w:tcPr>
          <w:p w14:paraId="5F0B12B8">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完成总体架构、业务流程、数据关系、接口方案和页面原型；确认小程序受理流程、设备映射、报告样稿及桥梁检测数据结构</w:t>
            </w:r>
          </w:p>
        </w:tc>
        <w:tc>
          <w:tcPr>
            <w:tcW w:w="0" w:type="auto"/>
            <w:shd w:val="clear" w:color="auto" w:fill="F5F9FC"/>
            <w:tcMar>
              <w:top w:w="100" w:type="dxa"/>
              <w:left w:w="120" w:type="dxa"/>
              <w:bottom w:w="100" w:type="dxa"/>
              <w:right w:w="120" w:type="dxa"/>
            </w:tcMar>
            <w:vAlign w:val="center"/>
          </w:tcPr>
          <w:p w14:paraId="2D357862">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经评审的总体方案、原型、数据标准、报告样稿和接口方案</w:t>
            </w:r>
          </w:p>
        </w:tc>
      </w:tr>
      <w:tr w14:paraId="26E71297">
        <w:trPr>
          <w:cantSplit/>
          <w:jc w:val="center"/>
        </w:trPr>
        <w:tc>
          <w:tcPr>
            <w:tcW w:w="0" w:type="auto"/>
            <w:shd w:val="clear" w:color="auto" w:fill="F5F9FC"/>
            <w:tcMar>
              <w:top w:w="100" w:type="dxa"/>
              <w:left w:w="120" w:type="dxa"/>
              <w:bottom w:w="100" w:type="dxa"/>
              <w:right w:w="120" w:type="dxa"/>
            </w:tcMar>
            <w:vAlign w:val="center"/>
          </w:tcPr>
          <w:p w14:paraId="0DD9985E">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第三阶段：核心能力建设</w:t>
            </w:r>
          </w:p>
        </w:tc>
        <w:tc>
          <w:tcPr>
            <w:tcW w:w="0" w:type="auto"/>
            <w:shd w:val="clear" w:color="auto" w:fill="F5F9FC"/>
            <w:tcMar>
              <w:top w:w="100" w:type="dxa"/>
              <w:left w:w="120" w:type="dxa"/>
              <w:bottom w:w="100" w:type="dxa"/>
              <w:right w:w="120" w:type="dxa"/>
            </w:tcMar>
            <w:vAlign w:val="center"/>
          </w:tcPr>
          <w:p w14:paraId="19A1DF18">
            <w:pPr>
              <w:spacing w:before="0" w:after="0" w:line="269" w:lineRule="auto"/>
              <w:jc w:val="left"/>
              <w:rPr>
                <w:rFonts w:hint="default" w:ascii="宋体" w:hAnsi="宋体" w:eastAsia="宋体" w:cs="宋体"/>
                <w:color w:val="000000"/>
                <w:sz w:val="18"/>
                <w:lang w:val="en-US" w:eastAsia="zh-CN"/>
              </w:rPr>
            </w:pPr>
            <w:r>
              <w:rPr>
                <w:rFonts w:hint="eastAsia" w:ascii="宋体" w:hAnsi="宋体" w:eastAsia="宋体" w:cs="宋体"/>
                <w:color w:val="000000"/>
                <w:sz w:val="18"/>
              </w:rPr>
              <w:t>第6—14周</w:t>
            </w:r>
          </w:p>
        </w:tc>
        <w:tc>
          <w:tcPr>
            <w:tcW w:w="0" w:type="auto"/>
            <w:shd w:val="clear" w:color="auto" w:fill="F5F9FC"/>
            <w:tcMar>
              <w:top w:w="100" w:type="dxa"/>
              <w:left w:w="120" w:type="dxa"/>
              <w:bottom w:w="100" w:type="dxa"/>
              <w:right w:w="120" w:type="dxa"/>
            </w:tcMar>
            <w:vAlign w:val="center"/>
          </w:tcPr>
          <w:p w14:paraId="6AEADAE0">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并行建设委托登记小程序、设备采集与回填服务、报告智能体和桥梁检测数据管理系统，并同步建设权限控制、知识库、规则配置和日志审计等共性能力</w:t>
            </w:r>
          </w:p>
        </w:tc>
        <w:tc>
          <w:tcPr>
            <w:tcW w:w="0" w:type="auto"/>
            <w:shd w:val="clear" w:color="auto" w:fill="F5F9FC"/>
            <w:tcMar>
              <w:top w:w="100" w:type="dxa"/>
              <w:left w:w="120" w:type="dxa"/>
              <w:bottom w:w="100" w:type="dxa"/>
              <w:right w:w="120" w:type="dxa"/>
            </w:tcMar>
            <w:vAlign w:val="center"/>
          </w:tcPr>
          <w:p w14:paraId="21D27EA9">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四项主要应用均形成可开展联合测试的系统版本</w:t>
            </w:r>
          </w:p>
        </w:tc>
      </w:tr>
      <w:tr w14:paraId="5B1BA437">
        <w:trPr>
          <w:cantSplit/>
          <w:jc w:val="center"/>
        </w:trPr>
        <w:tc>
          <w:tcPr>
            <w:tcW w:w="0" w:type="auto"/>
            <w:shd w:val="clear" w:color="auto" w:fill="F5F9FC"/>
            <w:tcMar>
              <w:top w:w="100" w:type="dxa"/>
              <w:left w:w="120" w:type="dxa"/>
              <w:bottom w:w="100" w:type="dxa"/>
              <w:right w:w="120" w:type="dxa"/>
            </w:tcMar>
            <w:vAlign w:val="center"/>
          </w:tcPr>
          <w:p w14:paraId="71A4E4BC">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第四阶段：集成联调与测试</w:t>
            </w:r>
          </w:p>
        </w:tc>
        <w:tc>
          <w:tcPr>
            <w:tcW w:w="0" w:type="auto"/>
            <w:shd w:val="clear" w:color="auto" w:fill="F5F9FC"/>
            <w:tcMar>
              <w:top w:w="100" w:type="dxa"/>
              <w:left w:w="120" w:type="dxa"/>
              <w:bottom w:w="100" w:type="dxa"/>
              <w:right w:w="120" w:type="dxa"/>
            </w:tcMar>
            <w:vAlign w:val="center"/>
          </w:tcPr>
          <w:p w14:paraId="713F6ACC">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第15—18周</w:t>
            </w:r>
          </w:p>
        </w:tc>
        <w:tc>
          <w:tcPr>
            <w:tcW w:w="0" w:type="auto"/>
            <w:shd w:val="clear" w:color="auto" w:fill="F5F9FC"/>
            <w:tcMar>
              <w:top w:w="100" w:type="dxa"/>
              <w:left w:w="120" w:type="dxa"/>
              <w:bottom w:w="100" w:type="dxa"/>
              <w:right w:w="120" w:type="dxa"/>
            </w:tcMar>
            <w:vAlign w:val="center"/>
          </w:tcPr>
          <w:p w14:paraId="2A470BD3">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与二期系统开展联调；使用真实样例验证委托受理、设备回填、报告生成、桥梁检测计算、权限控制</w:t>
            </w:r>
          </w:p>
        </w:tc>
        <w:tc>
          <w:tcPr>
            <w:tcW w:w="0" w:type="auto"/>
            <w:shd w:val="clear" w:color="auto" w:fill="F5F9FC"/>
            <w:tcMar>
              <w:top w:w="100" w:type="dxa"/>
              <w:left w:w="120" w:type="dxa"/>
              <w:bottom w:w="100" w:type="dxa"/>
              <w:right w:w="120" w:type="dxa"/>
            </w:tcMar>
            <w:vAlign w:val="center"/>
          </w:tcPr>
          <w:p w14:paraId="49DBF1E8">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核心流程实现端到端贯通，主要问题完成整改</w:t>
            </w:r>
          </w:p>
        </w:tc>
      </w:tr>
      <w:tr w14:paraId="7AEEC195">
        <w:trPr>
          <w:cantSplit/>
          <w:jc w:val="center"/>
        </w:trPr>
        <w:tc>
          <w:tcPr>
            <w:tcW w:w="0" w:type="auto"/>
            <w:shd w:val="clear" w:color="auto" w:fill="F5F9FC"/>
            <w:tcMar>
              <w:top w:w="100" w:type="dxa"/>
              <w:left w:w="120" w:type="dxa"/>
              <w:bottom w:w="100" w:type="dxa"/>
              <w:right w:w="120" w:type="dxa"/>
            </w:tcMar>
            <w:vAlign w:val="center"/>
          </w:tcPr>
          <w:p w14:paraId="0FA88554">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第五阶段：真实业务试运行</w:t>
            </w:r>
          </w:p>
        </w:tc>
        <w:tc>
          <w:tcPr>
            <w:tcW w:w="0" w:type="auto"/>
            <w:shd w:val="clear" w:color="auto" w:fill="F5F9FC"/>
            <w:tcMar>
              <w:top w:w="100" w:type="dxa"/>
              <w:left w:w="120" w:type="dxa"/>
              <w:bottom w:w="100" w:type="dxa"/>
              <w:right w:w="120" w:type="dxa"/>
            </w:tcMar>
            <w:vAlign w:val="center"/>
          </w:tcPr>
          <w:p w14:paraId="6639079D">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第19—22周</w:t>
            </w:r>
          </w:p>
        </w:tc>
        <w:tc>
          <w:tcPr>
            <w:tcW w:w="0" w:type="auto"/>
            <w:shd w:val="clear" w:color="auto" w:fill="F5F9FC"/>
            <w:tcMar>
              <w:top w:w="100" w:type="dxa"/>
              <w:left w:w="120" w:type="dxa"/>
              <w:bottom w:w="100" w:type="dxa"/>
              <w:right w:w="120" w:type="dxa"/>
            </w:tcMar>
            <w:vAlign w:val="center"/>
          </w:tcPr>
          <w:p w14:paraId="7E8A4449">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选取真实委托、设备、报告和桥梁检测项目开展试运行；完成用户培训、问题修复和应用优化</w:t>
            </w:r>
          </w:p>
        </w:tc>
        <w:tc>
          <w:tcPr>
            <w:tcW w:w="0" w:type="auto"/>
            <w:shd w:val="clear" w:color="auto" w:fill="F5F9FC"/>
            <w:tcMar>
              <w:top w:w="100" w:type="dxa"/>
              <w:left w:w="120" w:type="dxa"/>
              <w:bottom w:w="100" w:type="dxa"/>
              <w:right w:w="120" w:type="dxa"/>
            </w:tcMar>
            <w:vAlign w:val="center"/>
          </w:tcPr>
          <w:p w14:paraId="2E0AE9AB">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形成试运行记录、用户反馈、问题闭环记录和上线评估结论</w:t>
            </w:r>
          </w:p>
        </w:tc>
      </w:tr>
      <w:tr w14:paraId="5F226832">
        <w:trPr>
          <w:cantSplit/>
          <w:jc w:val="center"/>
        </w:trPr>
        <w:tc>
          <w:tcPr>
            <w:tcW w:w="0" w:type="auto"/>
            <w:shd w:val="clear" w:color="auto" w:fill="F5F9FC"/>
            <w:tcMar>
              <w:top w:w="100" w:type="dxa"/>
              <w:left w:w="120" w:type="dxa"/>
              <w:bottom w:w="100" w:type="dxa"/>
              <w:right w:w="120" w:type="dxa"/>
            </w:tcMar>
            <w:vAlign w:val="center"/>
          </w:tcPr>
          <w:p w14:paraId="127D0F32">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第六阶段：验收与移交</w:t>
            </w:r>
          </w:p>
        </w:tc>
        <w:tc>
          <w:tcPr>
            <w:tcW w:w="0" w:type="auto"/>
            <w:shd w:val="clear" w:color="auto" w:fill="F5F9FC"/>
            <w:tcMar>
              <w:top w:w="100" w:type="dxa"/>
              <w:left w:w="120" w:type="dxa"/>
              <w:bottom w:w="100" w:type="dxa"/>
              <w:right w:w="120" w:type="dxa"/>
            </w:tcMar>
            <w:vAlign w:val="center"/>
          </w:tcPr>
          <w:p w14:paraId="55E9C7D1">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第23—24周</w:t>
            </w:r>
          </w:p>
        </w:tc>
        <w:tc>
          <w:tcPr>
            <w:tcW w:w="0" w:type="auto"/>
            <w:shd w:val="clear" w:color="auto" w:fill="F5F9FC"/>
            <w:tcMar>
              <w:top w:w="100" w:type="dxa"/>
              <w:left w:w="120" w:type="dxa"/>
              <w:bottom w:w="100" w:type="dxa"/>
              <w:right w:w="120" w:type="dxa"/>
            </w:tcMar>
            <w:vAlign w:val="center"/>
          </w:tcPr>
          <w:p w14:paraId="7E8B7850">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完成正式版本部署、成果清点、交付文档编制、人员培训、验收测试、配置移交和运维交接</w:t>
            </w:r>
          </w:p>
        </w:tc>
        <w:tc>
          <w:tcPr>
            <w:tcW w:w="0" w:type="auto"/>
            <w:shd w:val="clear" w:color="auto" w:fill="F5F9FC"/>
            <w:tcMar>
              <w:top w:w="100" w:type="dxa"/>
              <w:left w:w="120" w:type="dxa"/>
              <w:bottom w:w="100" w:type="dxa"/>
              <w:right w:w="120" w:type="dxa"/>
            </w:tcMar>
            <w:vAlign w:val="center"/>
          </w:tcPr>
          <w:p w14:paraId="2F386411">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交付成果完成确认，浦江具备日常使用、系统管理和问题追溯能力</w:t>
            </w:r>
          </w:p>
        </w:tc>
      </w:tr>
    </w:tbl>
    <w:p w14:paraId="3DE158AF">
      <w:pPr>
        <w:bidi w:val="0"/>
        <w:rPr>
          <w:rFonts w:hint="default"/>
          <w:lang w:val="en-US" w:eastAsia="zh-CN"/>
        </w:rPr>
      </w:pPr>
    </w:p>
    <w:p w14:paraId="26BDE80D">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left"/>
        <w:textAlignment w:val="auto"/>
        <w:rPr>
          <w:rFonts w:hint="default" w:ascii="宋体" w:hAnsi="宋体" w:eastAsia="宋体" w:cs="宋体"/>
          <w:snapToGrid w:val="0"/>
          <w:color w:val="000000"/>
          <w:sz w:val="24"/>
          <w:szCs w:val="24"/>
          <w:lang w:val="en-US" w:eastAsia="zh-CN" w:bidi="ar-SA"/>
        </w:rPr>
      </w:pPr>
      <w:r>
        <w:rPr>
          <w:rFonts w:hint="default" w:ascii="宋体" w:hAnsi="宋体" w:eastAsia="宋体" w:cs="宋体"/>
          <w:snapToGrid w:val="0"/>
          <w:color w:val="000000"/>
          <w:sz w:val="24"/>
          <w:szCs w:val="24"/>
          <w:lang w:val="en-US" w:eastAsia="zh-CN" w:bidi="ar-SA"/>
        </w:rPr>
        <w:t>项目推进过程中，浦江需配合提供真实业务样例、二期接口及测试环境、设备台账及原厂技术资料、报告模板与适用规范、桥梁检测样例数据，并安排委托登记、试验检测、报告编审、桥梁检测和信息化人员参与业务确认与系统试用。设备厂家或第三方系统提供的接口、协议和授权条件将直接影响相关设备或系统的接入批次。</w:t>
      </w:r>
    </w:p>
    <w:p w14:paraId="620A6D7B">
      <w:pPr>
        <w:bidi w:val="0"/>
        <w:rPr>
          <w:rFonts w:hint="default"/>
          <w:lang w:val="en-US" w:eastAsia="zh-CN"/>
        </w:rPr>
      </w:pPr>
    </w:p>
    <w:p w14:paraId="150AE2C0">
      <w:pPr>
        <w:bidi w:val="0"/>
        <w:rPr>
          <w:rFonts w:hint="default"/>
          <w:lang w:val="en-US" w:eastAsia="zh-CN"/>
        </w:rPr>
      </w:pPr>
    </w:p>
    <w:p w14:paraId="57E0855F">
      <w:pPr>
        <w:bidi w:val="0"/>
        <w:rPr>
          <w:rFonts w:hint="default"/>
          <w:lang w:val="en-US" w:eastAsia="zh-CN"/>
        </w:rPr>
      </w:pPr>
    </w:p>
    <w:p w14:paraId="0B74FBD3">
      <w:pPr>
        <w:bidi w:val="0"/>
        <w:rPr>
          <w:rFonts w:hint="default"/>
          <w:lang w:val="en-US" w:eastAsia="zh-CN"/>
        </w:rPr>
      </w:pPr>
    </w:p>
    <w:p w14:paraId="2A90F9A7">
      <w:pPr>
        <w:bidi w:val="0"/>
        <w:rPr>
          <w:rFonts w:hint="default"/>
          <w:lang w:val="en-US" w:eastAsia="zh-CN"/>
        </w:rPr>
      </w:pPr>
    </w:p>
    <w:p w14:paraId="3D8FDAF2">
      <w:pPr>
        <w:bidi w:val="0"/>
        <w:rPr>
          <w:rFonts w:hint="eastAsia"/>
          <w:lang w:val="en-US" w:eastAsia="zh-CN"/>
        </w:rPr>
      </w:pPr>
    </w:p>
    <w:p w14:paraId="04C735E2">
      <w:pPr>
        <w:pStyle w:val="2"/>
        <w:rPr>
          <w:rFonts w:hint="eastAsia" w:ascii="宋体" w:hAnsi="宋体" w:cs="宋体"/>
          <w:b/>
          <w:snapToGrid w:val="0"/>
          <w:color w:val="000000"/>
          <w:sz w:val="28"/>
          <w:szCs w:val="28"/>
          <w:lang w:val="en-US" w:eastAsia="zh-CN" w:bidi="ar-SA"/>
        </w:rPr>
      </w:pPr>
      <w:bookmarkStart w:id="42" w:name="_Toc1709525068"/>
      <w:r>
        <w:rPr>
          <w:rFonts w:hint="eastAsia" w:ascii="宋体" w:hAnsi="宋体" w:cs="宋体"/>
          <w:b/>
          <w:snapToGrid w:val="0"/>
          <w:color w:val="000000"/>
          <w:sz w:val="28"/>
          <w:szCs w:val="28"/>
          <w:lang w:val="en-US" w:eastAsia="zh-CN" w:bidi="ar-SA"/>
        </w:rPr>
        <w:t>4.2 预期成果</w:t>
      </w:r>
      <w:bookmarkEnd w:id="42"/>
    </w:p>
    <w:tbl>
      <w:tblPr>
        <w:tblStyle w:val="13"/>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749"/>
        <w:gridCol w:w="1370"/>
        <w:gridCol w:w="6426"/>
      </w:tblGrid>
      <w:tr w14:paraId="529857F5">
        <w:trPr>
          <w:cantSplit/>
          <w:tblHeader/>
          <w:jc w:val="center"/>
        </w:trPr>
        <w:tc>
          <w:tcPr>
            <w:tcW w:w="0" w:type="auto"/>
            <w:shd w:val="clear" w:color="auto" w:fill="17365D"/>
            <w:tcMar>
              <w:top w:w="100" w:type="dxa"/>
              <w:left w:w="120" w:type="dxa"/>
              <w:bottom w:w="100" w:type="dxa"/>
              <w:right w:w="120" w:type="dxa"/>
            </w:tcMar>
            <w:vAlign w:val="center"/>
          </w:tcPr>
          <w:p w14:paraId="6A0376EE">
            <w:pPr>
              <w:spacing w:before="0" w:after="0" w:line="269" w:lineRule="auto"/>
              <w:jc w:val="center"/>
              <w:rPr>
                <w:rFonts w:hint="default" w:ascii="宋体" w:hAnsi="宋体" w:eastAsia="宋体" w:cs="宋体"/>
                <w:lang w:val="en-US" w:eastAsia="zh-CN"/>
              </w:rPr>
            </w:pPr>
            <w:r>
              <w:rPr>
                <w:rFonts w:hint="eastAsia" w:ascii="宋体" w:hAnsi="宋体" w:cs="宋体"/>
                <w:lang w:val="en-US" w:eastAsia="zh-CN"/>
              </w:rPr>
              <w:t>成果类别</w:t>
            </w:r>
          </w:p>
        </w:tc>
        <w:tc>
          <w:tcPr>
            <w:tcW w:w="0" w:type="auto"/>
            <w:shd w:val="clear" w:color="auto" w:fill="17365D"/>
            <w:tcMar>
              <w:top w:w="100" w:type="dxa"/>
              <w:left w:w="120" w:type="dxa"/>
              <w:bottom w:w="100" w:type="dxa"/>
              <w:right w:w="120" w:type="dxa"/>
            </w:tcMar>
            <w:vAlign w:val="center"/>
          </w:tcPr>
          <w:p w14:paraId="137CD780">
            <w:pPr>
              <w:spacing w:before="0" w:after="0" w:line="269" w:lineRule="auto"/>
              <w:jc w:val="center"/>
              <w:rPr>
                <w:rFonts w:hint="default" w:ascii="宋体" w:hAnsi="宋体" w:eastAsia="宋体" w:cs="宋体"/>
                <w:lang w:val="en-US" w:eastAsia="zh-CN"/>
              </w:rPr>
            </w:pPr>
            <w:r>
              <w:rPr>
                <w:rFonts w:hint="eastAsia" w:ascii="宋体" w:hAnsi="宋体" w:cs="宋体"/>
                <w:lang w:val="en-US" w:eastAsia="zh-CN"/>
              </w:rPr>
              <w:t>交付成果</w:t>
            </w:r>
          </w:p>
        </w:tc>
        <w:tc>
          <w:tcPr>
            <w:tcW w:w="0" w:type="auto"/>
            <w:shd w:val="clear" w:color="auto" w:fill="17365D"/>
            <w:tcMar>
              <w:top w:w="100" w:type="dxa"/>
              <w:left w:w="120" w:type="dxa"/>
              <w:bottom w:w="100" w:type="dxa"/>
              <w:right w:w="120" w:type="dxa"/>
            </w:tcMar>
            <w:vAlign w:val="center"/>
          </w:tcPr>
          <w:p w14:paraId="6F3CFE20">
            <w:pPr>
              <w:spacing w:before="0" w:after="0" w:line="269" w:lineRule="auto"/>
              <w:jc w:val="center"/>
              <w:rPr>
                <w:rFonts w:hint="default" w:ascii="宋体" w:hAnsi="宋体" w:eastAsia="宋体" w:cs="宋体"/>
                <w:lang w:val="en-US" w:eastAsia="zh-CN"/>
              </w:rPr>
            </w:pPr>
            <w:r>
              <w:rPr>
                <w:rFonts w:hint="eastAsia" w:ascii="宋体" w:hAnsi="宋体" w:cs="宋体"/>
                <w:lang w:val="en-US" w:eastAsia="zh-CN"/>
              </w:rPr>
              <w:t>主要内容</w:t>
            </w:r>
          </w:p>
        </w:tc>
      </w:tr>
      <w:tr w14:paraId="14F5C7BC">
        <w:trPr>
          <w:cantSplit/>
          <w:jc w:val="center"/>
        </w:trPr>
        <w:tc>
          <w:tcPr>
            <w:tcW w:w="0" w:type="auto"/>
            <w:tcMar>
              <w:top w:w="100" w:type="dxa"/>
              <w:left w:w="120" w:type="dxa"/>
              <w:bottom w:w="100" w:type="dxa"/>
              <w:right w:w="120" w:type="dxa"/>
            </w:tcMar>
            <w:vAlign w:val="center"/>
          </w:tcPr>
          <w:p w14:paraId="2C377EEA">
            <w:pPr>
              <w:spacing w:before="0" w:after="0" w:line="269" w:lineRule="auto"/>
              <w:jc w:val="left"/>
              <w:rPr>
                <w:rFonts w:hint="default" w:ascii="宋体" w:hAnsi="宋体" w:eastAsia="宋体" w:cs="宋体"/>
                <w:color w:val="000000"/>
                <w:sz w:val="18"/>
                <w:lang w:val="en-US" w:eastAsia="zh-CN"/>
              </w:rPr>
            </w:pPr>
            <w:r>
              <w:rPr>
                <w:rFonts w:hint="eastAsia" w:ascii="宋体" w:hAnsi="宋体" w:eastAsia="宋体" w:cs="宋体"/>
                <w:color w:val="000000"/>
                <w:sz w:val="18"/>
              </w:rPr>
              <w:t>核心软件成果</w:t>
            </w:r>
          </w:p>
        </w:tc>
        <w:tc>
          <w:tcPr>
            <w:tcW w:w="0" w:type="auto"/>
            <w:tcMar>
              <w:top w:w="100" w:type="dxa"/>
              <w:left w:w="120" w:type="dxa"/>
              <w:bottom w:w="100" w:type="dxa"/>
              <w:right w:w="120" w:type="dxa"/>
            </w:tcMar>
            <w:vAlign w:val="center"/>
          </w:tcPr>
          <w:p w14:paraId="0DB1427D">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委托登记小程序</w:t>
            </w:r>
          </w:p>
        </w:tc>
        <w:tc>
          <w:tcPr>
            <w:tcW w:w="0" w:type="auto"/>
            <w:tcMar>
              <w:top w:w="100" w:type="dxa"/>
              <w:left w:w="120" w:type="dxa"/>
              <w:bottom w:w="100" w:type="dxa"/>
              <w:right w:w="120" w:type="dxa"/>
            </w:tcMar>
            <w:vAlign w:val="center"/>
          </w:tcPr>
          <w:p w14:paraId="567D2E0B">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面向委托单位和委托人提供远程申请、资料提交、信息补充、受理反馈和申请记录查询，并与二期委托任务系统联通</w:t>
            </w:r>
          </w:p>
        </w:tc>
      </w:tr>
      <w:tr w14:paraId="6D2DCC91">
        <w:trPr>
          <w:cantSplit/>
          <w:jc w:val="center"/>
        </w:trPr>
        <w:tc>
          <w:tcPr>
            <w:tcW w:w="0" w:type="auto"/>
            <w:shd w:val="clear" w:color="auto" w:fill="F5F9FC"/>
            <w:tcMar>
              <w:top w:w="100" w:type="dxa"/>
              <w:left w:w="120" w:type="dxa"/>
              <w:bottom w:w="100" w:type="dxa"/>
              <w:right w:w="120" w:type="dxa"/>
            </w:tcMar>
            <w:vAlign w:val="center"/>
          </w:tcPr>
          <w:p w14:paraId="72000AC1">
            <w:pPr>
              <w:spacing w:before="0" w:after="0" w:line="269" w:lineRule="auto"/>
              <w:jc w:val="left"/>
              <w:rPr>
                <w:rFonts w:hint="eastAsia" w:ascii="宋体" w:hAnsi="宋体" w:eastAsia="宋体" w:cs="宋体"/>
                <w:color w:val="000000"/>
                <w:sz w:val="18"/>
                <w:lang w:val="en-US" w:eastAsia="zh-CN"/>
              </w:rPr>
            </w:pPr>
            <w:r>
              <w:rPr>
                <w:rFonts w:hint="eastAsia" w:ascii="宋体" w:hAnsi="宋体" w:eastAsia="宋体" w:cs="宋体"/>
                <w:color w:val="000000"/>
                <w:sz w:val="18"/>
              </w:rPr>
              <w:t>核心软件成果</w:t>
            </w:r>
          </w:p>
        </w:tc>
        <w:tc>
          <w:tcPr>
            <w:tcW w:w="0" w:type="auto"/>
            <w:shd w:val="clear" w:color="auto" w:fill="F5F9FC"/>
            <w:tcMar>
              <w:top w:w="100" w:type="dxa"/>
              <w:left w:w="120" w:type="dxa"/>
              <w:bottom w:w="100" w:type="dxa"/>
              <w:right w:w="120" w:type="dxa"/>
            </w:tcMar>
            <w:vAlign w:val="center"/>
          </w:tcPr>
          <w:p w14:paraId="721DA480">
            <w:pPr>
              <w:spacing w:before="0" w:after="0" w:line="269" w:lineRule="auto"/>
              <w:jc w:val="left"/>
              <w:rPr>
                <w:rFonts w:hint="default" w:ascii="宋体" w:hAnsi="宋体" w:eastAsia="宋体" w:cs="宋体"/>
                <w:color w:val="000000"/>
                <w:sz w:val="18"/>
                <w:lang w:val="en-US" w:eastAsia="zh-CN"/>
              </w:rPr>
            </w:pPr>
            <w:r>
              <w:rPr>
                <w:rFonts w:hint="eastAsia" w:ascii="宋体" w:hAnsi="宋体" w:eastAsia="宋体" w:cs="宋体"/>
                <w:color w:val="000000"/>
                <w:sz w:val="18"/>
              </w:rPr>
              <w:t>试验设备数据采集与录入</w:t>
            </w:r>
            <w:r>
              <w:rPr>
                <w:rFonts w:hint="eastAsia" w:ascii="宋体" w:hAnsi="宋体" w:cs="宋体"/>
                <w:color w:val="000000"/>
                <w:sz w:val="18"/>
                <w:lang w:eastAsia="zh-CN"/>
              </w:rPr>
              <w:t>（</w:t>
            </w:r>
            <w:r>
              <w:rPr>
                <w:rFonts w:hint="eastAsia" w:ascii="宋体" w:hAnsi="宋体" w:cs="宋体"/>
                <w:color w:val="000000"/>
                <w:sz w:val="18"/>
                <w:lang w:val="en-US" w:eastAsia="zh-CN"/>
              </w:rPr>
              <w:t>功能新增）</w:t>
            </w:r>
          </w:p>
        </w:tc>
        <w:tc>
          <w:tcPr>
            <w:tcW w:w="0" w:type="auto"/>
            <w:shd w:val="clear" w:color="auto" w:fill="F5F9FC"/>
            <w:tcMar>
              <w:top w:w="100" w:type="dxa"/>
              <w:left w:w="120" w:type="dxa"/>
              <w:bottom w:w="100" w:type="dxa"/>
              <w:right w:w="120" w:type="dxa"/>
            </w:tcMar>
            <w:vAlign w:val="center"/>
          </w:tcPr>
          <w:p w14:paraId="6787E82F">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在二期系统平台基础上新增试验设备数据采集与录入功能，面向首批纳入范围的设备实现试验数据采集、任务与样品关联、数据检查、自动回填和运行状态查看</w:t>
            </w:r>
          </w:p>
        </w:tc>
      </w:tr>
      <w:tr w14:paraId="10A3E172">
        <w:trPr>
          <w:cantSplit/>
          <w:jc w:val="center"/>
        </w:trPr>
        <w:tc>
          <w:tcPr>
            <w:tcW w:w="0" w:type="auto"/>
            <w:shd w:val="clear" w:color="auto" w:fill="F5F9FC"/>
            <w:tcMar>
              <w:top w:w="100" w:type="dxa"/>
              <w:left w:w="120" w:type="dxa"/>
              <w:bottom w:w="100" w:type="dxa"/>
              <w:right w:w="120" w:type="dxa"/>
            </w:tcMar>
            <w:vAlign w:val="center"/>
          </w:tcPr>
          <w:p w14:paraId="066524D0">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核心软件成果</w:t>
            </w:r>
          </w:p>
        </w:tc>
        <w:tc>
          <w:tcPr>
            <w:tcW w:w="0" w:type="auto"/>
            <w:shd w:val="clear" w:color="auto" w:fill="F5F9FC"/>
            <w:tcMar>
              <w:top w:w="100" w:type="dxa"/>
              <w:left w:w="120" w:type="dxa"/>
              <w:bottom w:w="100" w:type="dxa"/>
              <w:right w:w="120" w:type="dxa"/>
            </w:tcMar>
            <w:vAlign w:val="center"/>
          </w:tcPr>
          <w:p w14:paraId="53A812A0">
            <w:pPr>
              <w:spacing w:before="0" w:after="0" w:line="269" w:lineRule="auto"/>
              <w:jc w:val="left"/>
              <w:rPr>
                <w:rFonts w:hint="default" w:ascii="宋体" w:hAnsi="宋体" w:eastAsia="宋体" w:cs="宋体"/>
                <w:color w:val="000000"/>
                <w:sz w:val="18"/>
                <w:lang w:val="en-US" w:eastAsia="zh-CN"/>
              </w:rPr>
            </w:pPr>
            <w:r>
              <w:rPr>
                <w:rFonts w:hint="eastAsia" w:ascii="宋体" w:hAnsi="宋体" w:eastAsia="宋体" w:cs="宋体"/>
                <w:color w:val="000000"/>
                <w:sz w:val="18"/>
              </w:rPr>
              <w:t>报告生成与分析智能体</w:t>
            </w:r>
          </w:p>
        </w:tc>
        <w:tc>
          <w:tcPr>
            <w:tcW w:w="0" w:type="auto"/>
            <w:shd w:val="clear" w:color="auto" w:fill="F5F9FC"/>
            <w:tcMar>
              <w:top w:w="100" w:type="dxa"/>
              <w:left w:w="120" w:type="dxa"/>
              <w:bottom w:w="100" w:type="dxa"/>
              <w:right w:w="120" w:type="dxa"/>
            </w:tcMar>
            <w:vAlign w:val="center"/>
          </w:tcPr>
          <w:p w14:paraId="13B4FE4C">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支持经确认的首批委托检测报告书和专项检测报告的数据接入、模板填充、内容生成、对话式修改、报告校验、编辑导出、审核辅助和报告后分析</w:t>
            </w:r>
          </w:p>
        </w:tc>
      </w:tr>
      <w:tr w14:paraId="5245361E">
        <w:trPr>
          <w:cantSplit/>
          <w:jc w:val="center"/>
        </w:trPr>
        <w:tc>
          <w:tcPr>
            <w:tcW w:w="0" w:type="auto"/>
            <w:shd w:val="clear" w:color="auto" w:fill="F5F9FC"/>
            <w:tcMar>
              <w:top w:w="100" w:type="dxa"/>
              <w:left w:w="120" w:type="dxa"/>
              <w:bottom w:w="100" w:type="dxa"/>
              <w:right w:w="120" w:type="dxa"/>
            </w:tcMar>
            <w:vAlign w:val="center"/>
          </w:tcPr>
          <w:p w14:paraId="5D751A55">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核心软件成果</w:t>
            </w:r>
          </w:p>
        </w:tc>
        <w:tc>
          <w:tcPr>
            <w:tcW w:w="0" w:type="auto"/>
            <w:shd w:val="clear" w:color="auto" w:fill="F5F9FC"/>
            <w:tcMar>
              <w:top w:w="100" w:type="dxa"/>
              <w:left w:w="120" w:type="dxa"/>
              <w:bottom w:w="100" w:type="dxa"/>
              <w:right w:w="120" w:type="dxa"/>
            </w:tcMar>
            <w:vAlign w:val="center"/>
          </w:tcPr>
          <w:p w14:paraId="76BCA44D">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桥梁检测数据管理系统</w:t>
            </w:r>
          </w:p>
        </w:tc>
        <w:tc>
          <w:tcPr>
            <w:tcW w:w="0" w:type="auto"/>
            <w:shd w:val="clear" w:color="auto" w:fill="F5F9FC"/>
            <w:tcMar>
              <w:top w:w="100" w:type="dxa"/>
              <w:left w:w="120" w:type="dxa"/>
              <w:bottom w:w="100" w:type="dxa"/>
              <w:right w:w="120" w:type="dxa"/>
            </w:tcMar>
            <w:vAlign w:val="center"/>
          </w:tcPr>
          <w:p w14:paraId="34C238D0">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支持受检桥梁信息、检测项目信息、构件信息、病害记录、检测数据、专业计算、影像资料、历次成果及桥梁专项检测报告衔接</w:t>
            </w:r>
          </w:p>
        </w:tc>
      </w:tr>
      <w:tr w14:paraId="16B59103">
        <w:trPr>
          <w:cantSplit/>
          <w:jc w:val="center"/>
        </w:trPr>
        <w:tc>
          <w:tcPr>
            <w:tcW w:w="0" w:type="auto"/>
            <w:shd w:val="clear" w:color="auto" w:fill="F5F9FC"/>
            <w:tcMar>
              <w:top w:w="100" w:type="dxa"/>
              <w:left w:w="120" w:type="dxa"/>
              <w:bottom w:w="100" w:type="dxa"/>
              <w:right w:w="120" w:type="dxa"/>
            </w:tcMar>
            <w:vAlign w:val="center"/>
          </w:tcPr>
          <w:p w14:paraId="6360DDF6">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知识产权成果</w:t>
            </w:r>
          </w:p>
        </w:tc>
        <w:tc>
          <w:tcPr>
            <w:tcW w:w="0" w:type="auto"/>
            <w:shd w:val="clear" w:color="auto" w:fill="F5F9FC"/>
            <w:tcMar>
              <w:top w:w="100" w:type="dxa"/>
              <w:left w:w="120" w:type="dxa"/>
              <w:bottom w:w="100" w:type="dxa"/>
              <w:right w:w="120" w:type="dxa"/>
            </w:tcMar>
            <w:vAlign w:val="center"/>
          </w:tcPr>
          <w:p w14:paraId="58B6B7D7">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软件著作权申报成果</w:t>
            </w:r>
          </w:p>
        </w:tc>
        <w:tc>
          <w:tcPr>
            <w:tcW w:w="0" w:type="auto"/>
            <w:shd w:val="clear" w:color="auto" w:fill="F5F9FC"/>
            <w:tcMar>
              <w:top w:w="100" w:type="dxa"/>
              <w:left w:w="120" w:type="dxa"/>
              <w:bottom w:w="100" w:type="dxa"/>
              <w:right w:w="120" w:type="dxa"/>
            </w:tcMar>
            <w:vAlign w:val="center"/>
          </w:tcPr>
          <w:p w14:paraId="30297209">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根据本项目自主开发成果及权属约定，梳理可独立申报的软件名称、版本、功能说明、源程序和操作文档等申报材料</w:t>
            </w:r>
          </w:p>
        </w:tc>
      </w:tr>
      <w:tr w14:paraId="0E261D4A">
        <w:trPr>
          <w:cantSplit/>
          <w:jc w:val="center"/>
        </w:trPr>
        <w:tc>
          <w:tcPr>
            <w:tcW w:w="0" w:type="auto"/>
            <w:shd w:val="clear" w:color="auto" w:fill="F5F9FC"/>
            <w:tcMar>
              <w:top w:w="100" w:type="dxa"/>
              <w:left w:w="120" w:type="dxa"/>
              <w:bottom w:w="100" w:type="dxa"/>
              <w:right w:w="120" w:type="dxa"/>
            </w:tcMar>
            <w:vAlign w:val="center"/>
          </w:tcPr>
          <w:p w14:paraId="7FD79DA0">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数据库成果</w:t>
            </w:r>
          </w:p>
        </w:tc>
        <w:tc>
          <w:tcPr>
            <w:tcW w:w="0" w:type="auto"/>
            <w:shd w:val="clear" w:color="auto" w:fill="F5F9FC"/>
            <w:tcMar>
              <w:top w:w="100" w:type="dxa"/>
              <w:left w:w="120" w:type="dxa"/>
              <w:bottom w:w="100" w:type="dxa"/>
              <w:right w:w="120" w:type="dxa"/>
            </w:tcMar>
            <w:vAlign w:val="center"/>
          </w:tcPr>
          <w:p w14:paraId="1AE61966">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试验设备数据库</w:t>
            </w:r>
          </w:p>
        </w:tc>
        <w:tc>
          <w:tcPr>
            <w:tcW w:w="0" w:type="auto"/>
            <w:shd w:val="clear" w:color="auto" w:fill="F5F9FC"/>
            <w:tcMar>
              <w:top w:w="100" w:type="dxa"/>
              <w:left w:w="120" w:type="dxa"/>
              <w:bottom w:w="100" w:type="dxa"/>
              <w:right w:w="120" w:type="dxa"/>
            </w:tcMar>
            <w:vAlign w:val="center"/>
          </w:tcPr>
          <w:p w14:paraId="0838A1A4">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在二期系统平台中建立试验设备数据库，统一保存设备采集结果、试验曲线、原始文件、采集时间、采集状态，以及设备数据与委托、样品、任务、检测项目、操作人员和设备之间的对应关系</w:t>
            </w:r>
          </w:p>
        </w:tc>
      </w:tr>
      <w:tr w14:paraId="0B0B8E8A">
        <w:trPr>
          <w:cantSplit/>
          <w:jc w:val="center"/>
        </w:trPr>
        <w:tc>
          <w:tcPr>
            <w:tcW w:w="0" w:type="auto"/>
            <w:shd w:val="clear" w:color="auto" w:fill="F5F9FC"/>
            <w:tcMar>
              <w:top w:w="100" w:type="dxa"/>
              <w:left w:w="120" w:type="dxa"/>
              <w:bottom w:w="100" w:type="dxa"/>
              <w:right w:w="120" w:type="dxa"/>
            </w:tcMar>
            <w:vAlign w:val="center"/>
          </w:tcPr>
          <w:p w14:paraId="47FF5447">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智能体应用成果</w:t>
            </w:r>
          </w:p>
        </w:tc>
        <w:tc>
          <w:tcPr>
            <w:tcW w:w="0" w:type="auto"/>
            <w:shd w:val="clear" w:color="auto" w:fill="F5F9FC"/>
            <w:tcMar>
              <w:top w:w="100" w:type="dxa"/>
              <w:left w:w="120" w:type="dxa"/>
              <w:bottom w:w="100" w:type="dxa"/>
              <w:right w:w="120" w:type="dxa"/>
            </w:tcMar>
            <w:vAlign w:val="center"/>
          </w:tcPr>
          <w:p w14:paraId="48E9967A">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智能体页面应用</w:t>
            </w:r>
          </w:p>
        </w:tc>
        <w:tc>
          <w:tcPr>
            <w:tcW w:w="0" w:type="auto"/>
            <w:shd w:val="clear" w:color="auto" w:fill="F5F9FC"/>
            <w:tcMar>
              <w:top w:w="100" w:type="dxa"/>
              <w:left w:w="120" w:type="dxa"/>
              <w:bottom w:w="100" w:type="dxa"/>
              <w:right w:w="120" w:type="dxa"/>
            </w:tcMar>
            <w:vAlign w:val="center"/>
          </w:tcPr>
          <w:p w14:paraId="74D6D6AD">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提供面向报告编制和审核人员的自然语言对话入口与Artifact成果工作区；左侧用于提出资料查询、内容生成、修改、核对和调整要求，右侧通过报告编辑器、数据表格、图表、图片、附件、问题清单和版本对比等组件展示及编辑成果</w:t>
            </w:r>
          </w:p>
        </w:tc>
      </w:tr>
      <w:tr w14:paraId="312AC277">
        <w:trPr>
          <w:cantSplit/>
          <w:jc w:val="center"/>
        </w:trPr>
        <w:tc>
          <w:tcPr>
            <w:tcW w:w="0" w:type="auto"/>
            <w:shd w:val="clear" w:color="auto" w:fill="F5F9FC"/>
            <w:tcMar>
              <w:top w:w="100" w:type="dxa"/>
              <w:left w:w="120" w:type="dxa"/>
              <w:bottom w:w="100" w:type="dxa"/>
              <w:right w:w="120" w:type="dxa"/>
            </w:tcMar>
            <w:vAlign w:val="center"/>
          </w:tcPr>
          <w:p w14:paraId="6B382B5A">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知识库成果</w:t>
            </w:r>
          </w:p>
        </w:tc>
        <w:tc>
          <w:tcPr>
            <w:tcW w:w="0" w:type="auto"/>
            <w:shd w:val="clear" w:color="auto" w:fill="F5F9FC"/>
            <w:tcMar>
              <w:top w:w="100" w:type="dxa"/>
              <w:left w:w="120" w:type="dxa"/>
              <w:bottom w:w="100" w:type="dxa"/>
              <w:right w:w="120" w:type="dxa"/>
            </w:tcMar>
            <w:vAlign w:val="center"/>
          </w:tcPr>
          <w:p w14:paraId="7CF66C9E">
            <w:pPr>
              <w:spacing w:before="0" w:after="0" w:line="269" w:lineRule="auto"/>
              <w:jc w:val="left"/>
              <w:rPr>
                <w:rFonts w:hint="eastAsia" w:ascii="宋体" w:hAnsi="宋体" w:eastAsia="宋体" w:cs="宋体"/>
                <w:color w:val="000000"/>
                <w:sz w:val="18"/>
                <w:lang w:val="en-US" w:eastAsia="zh-CN"/>
              </w:rPr>
            </w:pPr>
            <w:r>
              <w:rPr>
                <w:rFonts w:hint="eastAsia" w:ascii="宋体" w:hAnsi="宋体" w:eastAsia="宋体" w:cs="宋体"/>
                <w:color w:val="000000"/>
                <w:sz w:val="18"/>
              </w:rPr>
              <w:t>专项检测知识库</w:t>
            </w:r>
            <w:r>
              <w:rPr>
                <w:rFonts w:hint="eastAsia" w:ascii="宋体" w:hAnsi="宋体" w:cs="宋体"/>
                <w:color w:val="000000"/>
                <w:sz w:val="18"/>
                <w:lang w:eastAsia="zh-CN"/>
              </w:rPr>
              <w:t>（</w:t>
            </w:r>
            <w:r>
              <w:rPr>
                <w:rFonts w:hint="eastAsia" w:ascii="宋体" w:hAnsi="宋体" w:cs="宋体"/>
                <w:color w:val="000000"/>
                <w:sz w:val="18"/>
                <w:lang w:val="en-US" w:eastAsia="zh-CN"/>
              </w:rPr>
              <w:t>扩建</w:t>
            </w:r>
            <w:r>
              <w:rPr>
                <w:rFonts w:hint="eastAsia" w:ascii="宋体" w:hAnsi="宋体" w:cs="宋体"/>
                <w:color w:val="000000"/>
                <w:sz w:val="18"/>
                <w:lang w:eastAsia="zh-CN"/>
              </w:rPr>
              <w:t>）</w:t>
            </w:r>
          </w:p>
        </w:tc>
        <w:tc>
          <w:tcPr>
            <w:tcW w:w="0" w:type="auto"/>
            <w:shd w:val="clear" w:color="auto" w:fill="F5F9FC"/>
            <w:tcMar>
              <w:top w:w="100" w:type="dxa"/>
              <w:left w:w="120" w:type="dxa"/>
              <w:bottom w:w="100" w:type="dxa"/>
              <w:right w:w="120" w:type="dxa"/>
            </w:tcMar>
            <w:vAlign w:val="center"/>
          </w:tcPr>
          <w:p w14:paraId="041DD53F">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在二期已建知识库的基础上进行扩建和内容补充，不重新建设独立知识库。以桥梁专项检测为重点，将经浦江确认的规范文档、报告模板、专业术语、病害与评定知识、历史报告、典型案例和审核要求补充至既有知识库，并按照版本及适用范围进行分类管理</w:t>
            </w:r>
          </w:p>
        </w:tc>
      </w:tr>
      <w:tr w14:paraId="32F1B9A1">
        <w:trPr>
          <w:cantSplit/>
          <w:jc w:val="center"/>
        </w:trPr>
        <w:tc>
          <w:tcPr>
            <w:tcW w:w="0" w:type="auto"/>
            <w:shd w:val="clear" w:color="auto" w:fill="F5F9FC"/>
            <w:tcMar>
              <w:top w:w="100" w:type="dxa"/>
              <w:left w:w="120" w:type="dxa"/>
              <w:bottom w:w="100" w:type="dxa"/>
              <w:right w:w="120" w:type="dxa"/>
            </w:tcMar>
            <w:vAlign w:val="center"/>
          </w:tcPr>
          <w:p w14:paraId="67AB5DC9">
            <w:pPr>
              <w:spacing w:before="0" w:after="0" w:line="269" w:lineRule="auto"/>
              <w:jc w:val="left"/>
              <w:rPr>
                <w:rFonts w:hint="default" w:ascii="宋体" w:hAnsi="宋体" w:eastAsia="宋体" w:cs="宋体"/>
                <w:color w:val="000000"/>
                <w:sz w:val="18"/>
                <w:lang w:val="en-US" w:eastAsia="zh-CN"/>
              </w:rPr>
            </w:pPr>
            <w:r>
              <w:rPr>
                <w:rFonts w:hint="eastAsia" w:ascii="宋体" w:hAnsi="宋体" w:eastAsia="宋体" w:cs="宋体"/>
                <w:color w:val="000000"/>
                <w:sz w:val="18"/>
              </w:rPr>
              <w:t>智能体</w:t>
            </w:r>
            <w:r>
              <w:rPr>
                <w:rFonts w:hint="eastAsia" w:ascii="宋体" w:hAnsi="宋体" w:cs="宋体"/>
                <w:color w:val="000000"/>
                <w:sz w:val="18"/>
                <w:lang w:val="en-US" w:eastAsia="zh-CN"/>
              </w:rPr>
              <w:t>工具成果</w:t>
            </w:r>
          </w:p>
        </w:tc>
        <w:tc>
          <w:tcPr>
            <w:tcW w:w="0" w:type="auto"/>
            <w:shd w:val="clear" w:color="auto" w:fill="F5F9FC"/>
            <w:tcMar>
              <w:top w:w="100" w:type="dxa"/>
              <w:left w:w="120" w:type="dxa"/>
              <w:bottom w:w="100" w:type="dxa"/>
              <w:right w:w="120" w:type="dxa"/>
            </w:tcMar>
            <w:vAlign w:val="center"/>
          </w:tcPr>
          <w:p w14:paraId="7E073429">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报告生成与分析智能体注册工具</w:t>
            </w:r>
          </w:p>
        </w:tc>
        <w:tc>
          <w:tcPr>
            <w:tcW w:w="0" w:type="auto"/>
            <w:shd w:val="clear" w:color="auto" w:fill="F5F9FC"/>
            <w:tcMar>
              <w:top w:w="100" w:type="dxa"/>
              <w:left w:w="120" w:type="dxa"/>
              <w:bottom w:w="100" w:type="dxa"/>
              <w:right w:w="120" w:type="dxa"/>
            </w:tcMar>
            <w:vAlign w:val="center"/>
          </w:tcPr>
          <w:p w14:paraId="594E0759">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将报告智能体所需的数据查询、RAG检索、文件解析与处理、模板调用、规则计算、图表生成、文档生成和成果导出等能力注册为可调用工具，并明确每项工具的数据范围、使用权限和调用条件</w:t>
            </w:r>
          </w:p>
        </w:tc>
      </w:tr>
      <w:tr w14:paraId="4C6CFA91">
        <w:trPr>
          <w:cantSplit/>
          <w:jc w:val="center"/>
        </w:trPr>
        <w:tc>
          <w:tcPr>
            <w:tcW w:w="0" w:type="auto"/>
            <w:shd w:val="clear" w:color="auto" w:fill="F5F9FC"/>
            <w:tcMar>
              <w:top w:w="100" w:type="dxa"/>
              <w:left w:w="120" w:type="dxa"/>
              <w:bottom w:w="100" w:type="dxa"/>
              <w:right w:w="120" w:type="dxa"/>
            </w:tcMar>
            <w:vAlign w:val="center"/>
          </w:tcPr>
          <w:p w14:paraId="1FD64334">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文档与服务成果</w:t>
            </w:r>
          </w:p>
        </w:tc>
        <w:tc>
          <w:tcPr>
            <w:tcW w:w="0" w:type="auto"/>
            <w:shd w:val="clear" w:color="auto" w:fill="F5F9FC"/>
            <w:tcMar>
              <w:top w:w="100" w:type="dxa"/>
              <w:left w:w="120" w:type="dxa"/>
              <w:bottom w:w="100" w:type="dxa"/>
              <w:right w:w="120" w:type="dxa"/>
            </w:tcMar>
            <w:vAlign w:val="center"/>
          </w:tcPr>
          <w:p w14:paraId="41BD77E3">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项目交付与运行支撑成果</w:t>
            </w:r>
          </w:p>
        </w:tc>
        <w:tc>
          <w:tcPr>
            <w:tcW w:w="0" w:type="auto"/>
            <w:shd w:val="clear" w:color="auto" w:fill="F5F9FC"/>
            <w:tcMar>
              <w:top w:w="100" w:type="dxa"/>
              <w:left w:w="120" w:type="dxa"/>
              <w:bottom w:w="100" w:type="dxa"/>
              <w:right w:w="120" w:type="dxa"/>
            </w:tcMar>
            <w:vAlign w:val="center"/>
          </w:tcPr>
          <w:p w14:paraId="20CC4CB8">
            <w:pPr>
              <w:spacing w:before="0" w:after="0" w:line="269" w:lineRule="auto"/>
              <w:jc w:val="left"/>
              <w:rPr>
                <w:rFonts w:hint="eastAsia" w:ascii="宋体" w:hAnsi="宋体" w:eastAsia="宋体" w:cs="宋体"/>
                <w:color w:val="000000"/>
                <w:sz w:val="18"/>
              </w:rPr>
            </w:pPr>
            <w:r>
              <w:rPr>
                <w:rFonts w:hint="eastAsia" w:ascii="宋体" w:hAnsi="宋体" w:eastAsia="宋体" w:cs="宋体"/>
                <w:color w:val="000000"/>
                <w:sz w:val="18"/>
              </w:rPr>
              <w:t>包括需求与设计说明、接口及数据字典、测试和试运行记录、部署运维手册、用户操作说明、培训资料和验收材料</w:t>
            </w:r>
          </w:p>
        </w:tc>
      </w:tr>
    </w:tbl>
    <w:p w14:paraId="7F8134E7">
      <w:pPr>
        <w:bidi w:val="0"/>
        <w:rPr>
          <w:rFonts w:hint="default"/>
          <w:lang w:val="en-US" w:eastAsia="zh-CN"/>
        </w:rPr>
      </w:pPr>
    </w:p>
    <w:sectPr>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0"/>
    <w:family w:val="auto"/>
    <w:pitch w:val="default"/>
    <w:sig w:usb0="E0000AFF" w:usb1="00007843" w:usb2="00000001" w:usb3="00000000" w:csb0="400001BF" w:csb1="DFF7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Arial Unicode MS">
    <w:panose1 w:val="020B0604020202020204"/>
    <w:charset w:val="86"/>
    <w:family w:val="auto"/>
    <w:pitch w:val="default"/>
    <w:sig w:usb0="FFFFFFFF" w:usb1="E9FFFFFF" w:usb2="0000003F" w:usb3="00000000" w:csb0="603F01FF" w:csb1="FFFF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仿宋">
    <w:altName w:val="仿宋-简"/>
    <w:panose1 w:val="02010609060101010101"/>
    <w:charset w:val="86"/>
    <w:family w:val="modern"/>
    <w:pitch w:val="default"/>
    <w:sig w:usb0="00000000" w:usb1="00000000" w:usb2="00000016" w:usb3="00000000" w:csb0="00040001" w:csb1="00000000"/>
  </w:font>
  <w:font w:name="仿宋-简">
    <w:panose1 w:val="02010609060101010101"/>
    <w:charset w:val="86"/>
    <w:family w:val="auto"/>
    <w:pitch w:val="default"/>
    <w:sig w:usb0="A00002BF" w:usb1="3A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alibri Light">
    <w:altName w:val="Helvetica Neue"/>
    <w:panose1 w:val="020F0302020204030204"/>
    <w:charset w:val="00"/>
    <w:family w:val="swiss"/>
    <w:pitch w:val="default"/>
    <w:sig w:usb0="00000000" w:usb1="00000000" w:usb2="00000009" w:usb3="00000000" w:csb0="200001FF"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黑体">
    <w:altName w:val="汉仪中黑KW"/>
    <w:panose1 w:val="00000000000000000000"/>
    <w:charset w:val="00"/>
    <w:family w:val="auto"/>
    <w:pitch w:val="default"/>
    <w:sig w:usb0="00000000" w:usb1="00000000" w:usb2="00000000" w:usb3="00000000" w:csb0="00000000" w:csb1="00000000"/>
  </w:font>
  <w:font w:name="sans-serif">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AB2D94">
    <w:pPr>
      <w:pStyle w:val="9"/>
      <w:pBdr>
        <w:bottom w:val="single" w:color="auto" w:sz="4" w:space="1"/>
      </w:pBdr>
      <w:jc w:val="left"/>
    </w:pPr>
    <w:r>
      <w:drawing>
        <wp:inline distT="0" distB="0" distL="114300" distR="114300">
          <wp:extent cx="1403350" cy="313055"/>
          <wp:effectExtent l="0" t="0" r="19050" b="17145"/>
          <wp:docPr id="7" name="图片 7"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A picture containing text&#10;&#10;Description automatically generated"/>
                  <pic:cNvPicPr>
                    <a:picLocks noChangeAspect="1"/>
                  </pic:cNvPicPr>
                </pic:nvPicPr>
                <pic:blipFill>
                  <a:blip r:embed="rId1"/>
                  <a:stretch>
                    <a:fillRect/>
                  </a:stretch>
                </pic:blipFill>
                <pic:spPr>
                  <a:xfrm>
                    <a:off x="0" y="0"/>
                    <a:ext cx="1403350" cy="313055"/>
                  </a:xfrm>
                  <a:prstGeom prst="rect">
                    <a:avLst/>
                  </a:prstGeom>
                  <a:noFill/>
                  <a:ln>
                    <a:noFill/>
                  </a:ln>
                </pic:spPr>
              </pic:pic>
            </a:graphicData>
          </a:graphic>
        </wp:inline>
      </w:drawing>
    </w:r>
    <w:r>
      <w:rPr>
        <w:rFonts w:hint="eastAsia"/>
        <w:lang w:val="en-US" w:eastAsia="zh-CN"/>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5E34CE">
    <w:pPr>
      <w:keepNext w:val="0"/>
      <w:keepLines w:val="0"/>
      <w:widowControl/>
      <w:suppressLineNumbers w:val="0"/>
      <w:jc w:val="left"/>
      <w:rPr>
        <w:rFonts w:hint="eastAsia" w:ascii="Arial" w:hAnsi="Arial" w:eastAsia="Arial" w:cs="Arial"/>
        <w:snapToGrid w:val="0"/>
        <w:color w:val="000000"/>
        <w:sz w:val="18"/>
        <w:szCs w:val="21"/>
        <w:lang w:val="en-US" w:eastAsia="en-US" w:bidi="ar-SA"/>
      </w:rPr>
    </w:pPr>
    <w:r>
      <w:drawing>
        <wp:inline distT="0" distB="0" distL="114300" distR="114300">
          <wp:extent cx="1403350" cy="313055"/>
          <wp:effectExtent l="0" t="0" r="19050" b="17145"/>
          <wp:docPr id="6" name="图片 6"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A picture containing text&#10;&#10;Description automatically generated"/>
                  <pic:cNvPicPr>
                    <a:picLocks noChangeAspect="1"/>
                  </pic:cNvPicPr>
                </pic:nvPicPr>
                <pic:blipFill>
                  <a:blip r:embed="rId1"/>
                  <a:stretch>
                    <a:fillRect/>
                  </a:stretch>
                </pic:blipFill>
                <pic:spPr>
                  <a:xfrm>
                    <a:off x="0" y="0"/>
                    <a:ext cx="1403350" cy="313055"/>
                  </a:xfrm>
                  <a:prstGeom prst="rect">
                    <a:avLst/>
                  </a:prstGeom>
                  <a:noFill/>
                  <a:ln>
                    <a:noFill/>
                  </a:ln>
                </pic:spPr>
              </pic:pic>
            </a:graphicData>
          </a:graphic>
        </wp:inline>
      </w:drawing>
    </w:r>
    <w:r>
      <w:rPr>
        <w:rFonts w:hint="eastAsia"/>
        <w:lang w:val="en-US" w:eastAsia="zh-CN"/>
      </w:rPr>
      <w:t xml:space="preserve">                                            </w:t>
    </w:r>
  </w:p>
  <w:p w14:paraId="38C6142A">
    <w:pPr>
      <w:pStyle w:val="9"/>
      <w:pBdr>
        <w:bottom w:val="single" w:color="auto" w:sz="4" w:space="1"/>
      </w:pBdr>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2696F"/>
    <w:multiLevelType w:val="singleLevel"/>
    <w:tmpl w:val="FFF2696F"/>
    <w:lvl w:ilvl="0" w:tentative="0">
      <w:start w:val="1"/>
      <w:numFmt w:val="bullet"/>
      <w:pStyle w:val="4"/>
      <w:lvlText w:val=""/>
      <w:lvlJc w:val="left"/>
      <w:pPr>
        <w:tabs>
          <w:tab w:val="left" w:pos="360"/>
        </w:tabs>
        <w:ind w:left="36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0"/>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B630333"/>
    <w:rsid w:val="1EDF220B"/>
    <w:rsid w:val="1F33375E"/>
    <w:rsid w:val="327DCF2F"/>
    <w:rsid w:val="33DED774"/>
    <w:rsid w:val="375F5D7E"/>
    <w:rsid w:val="379F861E"/>
    <w:rsid w:val="37FF6126"/>
    <w:rsid w:val="3AFF6272"/>
    <w:rsid w:val="3BB5970A"/>
    <w:rsid w:val="3BD61ED1"/>
    <w:rsid w:val="3BFBB2CE"/>
    <w:rsid w:val="3D1710B2"/>
    <w:rsid w:val="3FEF810B"/>
    <w:rsid w:val="47F2881C"/>
    <w:rsid w:val="4DF67666"/>
    <w:rsid w:val="4FBFE9E7"/>
    <w:rsid w:val="4FF85545"/>
    <w:rsid w:val="537FD392"/>
    <w:rsid w:val="53F7EDA9"/>
    <w:rsid w:val="592C72C2"/>
    <w:rsid w:val="5953B797"/>
    <w:rsid w:val="5BE49703"/>
    <w:rsid w:val="5EDF6142"/>
    <w:rsid w:val="5F7F938E"/>
    <w:rsid w:val="5FF7E1AC"/>
    <w:rsid w:val="673F6C1B"/>
    <w:rsid w:val="67FDE435"/>
    <w:rsid w:val="6AFC7B0E"/>
    <w:rsid w:val="6CF6EB2D"/>
    <w:rsid w:val="6D6E27C5"/>
    <w:rsid w:val="6FEFFA61"/>
    <w:rsid w:val="6FFCD85F"/>
    <w:rsid w:val="739EB0DF"/>
    <w:rsid w:val="76EBE406"/>
    <w:rsid w:val="77F7231C"/>
    <w:rsid w:val="79EF1C98"/>
    <w:rsid w:val="7ABF6117"/>
    <w:rsid w:val="7BBBD9B1"/>
    <w:rsid w:val="7BC89389"/>
    <w:rsid w:val="7D7B1019"/>
    <w:rsid w:val="7DFED04C"/>
    <w:rsid w:val="7EDFB97A"/>
    <w:rsid w:val="7EEF324D"/>
    <w:rsid w:val="7FBBDEB0"/>
    <w:rsid w:val="7FF7FA0B"/>
    <w:rsid w:val="99F3ED61"/>
    <w:rsid w:val="9D3C8507"/>
    <w:rsid w:val="9DE3874C"/>
    <w:rsid w:val="9ECF3FE8"/>
    <w:rsid w:val="A9F7E814"/>
    <w:rsid w:val="AEFAFB90"/>
    <w:rsid w:val="AFFC33DB"/>
    <w:rsid w:val="B4FF3F9E"/>
    <w:rsid w:val="BE3332F9"/>
    <w:rsid w:val="BEB7336A"/>
    <w:rsid w:val="BFDFA24A"/>
    <w:rsid w:val="BFFE4CA0"/>
    <w:rsid w:val="C5BF8391"/>
    <w:rsid w:val="C7F5855D"/>
    <w:rsid w:val="CD95C1D6"/>
    <w:rsid w:val="CFBF7DB0"/>
    <w:rsid w:val="D37DEE6F"/>
    <w:rsid w:val="DAE6369A"/>
    <w:rsid w:val="DCCF63B0"/>
    <w:rsid w:val="DD579D3C"/>
    <w:rsid w:val="DDBFC95B"/>
    <w:rsid w:val="DDF1F4B6"/>
    <w:rsid w:val="DE7F52D7"/>
    <w:rsid w:val="DFF14DC5"/>
    <w:rsid w:val="E217E932"/>
    <w:rsid w:val="EDFB5A0F"/>
    <w:rsid w:val="EDFFC171"/>
    <w:rsid w:val="EEFB6DA3"/>
    <w:rsid w:val="EF7FB75B"/>
    <w:rsid w:val="EFAFE33D"/>
    <w:rsid w:val="F1F7C533"/>
    <w:rsid w:val="F36DA31F"/>
    <w:rsid w:val="F5DDF764"/>
    <w:rsid w:val="F77FBF52"/>
    <w:rsid w:val="F7B2A363"/>
    <w:rsid w:val="F7DF443C"/>
    <w:rsid w:val="F7EDE43A"/>
    <w:rsid w:val="F7F68770"/>
    <w:rsid w:val="F7FF715A"/>
    <w:rsid w:val="F936A98B"/>
    <w:rsid w:val="F93DF0FD"/>
    <w:rsid w:val="F975FD7C"/>
    <w:rsid w:val="F9D34781"/>
    <w:rsid w:val="F9D7C7D1"/>
    <w:rsid w:val="FAA2C575"/>
    <w:rsid w:val="FAFF9877"/>
    <w:rsid w:val="FB737F02"/>
    <w:rsid w:val="FBBB32E2"/>
    <w:rsid w:val="FBE7A758"/>
    <w:rsid w:val="FDE5B633"/>
    <w:rsid w:val="FDEF3D45"/>
    <w:rsid w:val="FDFFA34C"/>
    <w:rsid w:val="FE2D871E"/>
    <w:rsid w:val="FEFD4627"/>
    <w:rsid w:val="FF3D2033"/>
    <w:rsid w:val="FF7FEEE4"/>
    <w:rsid w:val="FFAFDC94"/>
    <w:rsid w:val="FFDF9697"/>
    <w:rsid w:val="FFF76FF4"/>
    <w:rsid w:val="FFFF4CE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iPriority="99"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sz w:val="21"/>
      <w:szCs w:val="22"/>
    </w:rPr>
  </w:style>
  <w:style w:type="paragraph" w:styleId="2">
    <w:name w:val="heading 2"/>
    <w:basedOn w:val="1"/>
    <w:next w:val="1"/>
    <w:qFormat/>
    <w:uiPriority w:val="0"/>
    <w:pPr>
      <w:outlineLvl w:val="1"/>
    </w:pPr>
    <w:rPr>
      <w:sz w:val="32"/>
    </w:rPr>
  </w:style>
  <w:style w:type="paragraph" w:styleId="3">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15">
    <w:name w:val="Default Paragraph Font"/>
    <w:semiHidden/>
    <w:uiPriority w:val="0"/>
  </w:style>
  <w:style w:type="table" w:default="1" w:styleId="13">
    <w:name w:val="Normal Table"/>
    <w:semiHidden/>
    <w:uiPriority w:val="0"/>
    <w:tblPr>
      <w:tblCellMar>
        <w:top w:w="0" w:type="dxa"/>
        <w:left w:w="108" w:type="dxa"/>
        <w:bottom w:w="0" w:type="dxa"/>
        <w:right w:w="108" w:type="dxa"/>
      </w:tblCellMar>
    </w:tblPr>
  </w:style>
  <w:style w:type="paragraph" w:styleId="4">
    <w:name w:val="List Bullet"/>
    <w:basedOn w:val="1"/>
    <w:uiPriority w:val="0"/>
    <w:pPr>
      <w:numPr>
        <w:ilvl w:val="0"/>
        <w:numId w:val="1"/>
      </w:numPr>
    </w:pPr>
  </w:style>
  <w:style w:type="paragraph" w:styleId="5">
    <w:name w:val="Body Text Indent"/>
    <w:basedOn w:val="1"/>
    <w:qFormat/>
    <w:uiPriority w:val="0"/>
    <w:pPr>
      <w:spacing w:line="200" w:lineRule="exact"/>
      <w:ind w:firstLine="301"/>
    </w:pPr>
    <w:rPr>
      <w:rFonts w:ascii="宋体" w:hAnsi="Courier New"/>
      <w:spacing w:val="-4"/>
      <w:sz w:val="18"/>
      <w:szCs w:val="20"/>
    </w:rPr>
  </w:style>
  <w:style w:type="paragraph" w:styleId="6">
    <w:name w:val="toc 3"/>
    <w:basedOn w:val="1"/>
    <w:next w:val="1"/>
    <w:uiPriority w:val="0"/>
    <w:pPr>
      <w:ind w:left="840" w:leftChars="400"/>
    </w:pPr>
  </w:style>
  <w:style w:type="paragraph" w:styleId="7">
    <w:name w:val="Body Text Indent 2"/>
    <w:basedOn w:val="1"/>
    <w:qFormat/>
    <w:uiPriority w:val="0"/>
    <w:pPr>
      <w:spacing w:line="500" w:lineRule="exact"/>
      <w:ind w:firstLine="540" w:firstLineChars="200"/>
    </w:pPr>
    <w:rPr>
      <w:rFonts w:ascii="宋体" w:hAnsi="宋体"/>
      <w:sz w:val="27"/>
      <w:szCs w:val="27"/>
    </w:rPr>
  </w:style>
  <w:style w:type="paragraph" w:styleId="8">
    <w:name w:val="footer"/>
    <w:basedOn w:val="1"/>
    <w:uiPriority w:val="0"/>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oc 1"/>
    <w:basedOn w:val="1"/>
    <w:next w:val="1"/>
    <w:uiPriority w:val="0"/>
  </w:style>
  <w:style w:type="paragraph" w:styleId="11">
    <w:name w:val="toc 2"/>
    <w:basedOn w:val="1"/>
    <w:next w:val="1"/>
    <w:uiPriority w:val="0"/>
    <w:pPr>
      <w:ind w:left="420" w:leftChars="200"/>
    </w:pPr>
  </w:style>
  <w:style w:type="paragraph" w:styleId="12">
    <w:name w:val="Body Text First Indent 2"/>
    <w:basedOn w:val="5"/>
    <w:next w:val="7"/>
    <w:unhideWhenUsed/>
    <w:qFormat/>
    <w:uiPriority w:val="99"/>
    <w:pPr>
      <w:ind w:firstLine="420" w:firstLineChars="200"/>
    </w:pPr>
  </w:style>
  <w:style w:type="table" w:styleId="14">
    <w:name w:val="Table Grid"/>
    <w:basedOn w:val="1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6">
    <w:name w:val="Caption Custom"/>
    <w:uiPriority w:val="0"/>
    <w:pPr>
      <w:spacing w:before="60" w:after="180" w:line="276" w:lineRule="auto"/>
      <w:jc w:val="center"/>
    </w:pPr>
    <w:rPr>
      <w:rFonts w:ascii="Arial Unicode MS" w:hAnsi="Arial Unicode MS" w:eastAsia="等线" w:cstheme="minorBidi"/>
      <w:color w:val="6B7280"/>
      <w:sz w:val="1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21</Pages>
  <Words>12718</Words>
  <Characters>13010</Characters>
  <TotalTime>2</TotalTime>
  <ScaleCrop>false</ScaleCrop>
  <LinksUpToDate>false</LinksUpToDate>
  <CharactersWithSpaces>14090</CharactersWithSpaces>
  <Application>WPS Office_12.1.26055.26055_F1E327BC-269C-435d-A152-05C5408002CA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2026-06-11T11:26:00Z</dcterms:created>
  <dc:creator>Apache POI</dc:creator>
  <cp:lastModifiedBy>W</cp:lastModifiedBy>
  <dcterms:modified xsi:type="dcterms:W3CDTF">2026-09-10T21:18:33Z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2052-12.1.26055.26055</vt:lpwstr>
  </property>
  <property fmtid="{D5CDD505-2E9C-101B-9397-08002B2CF9AE}" pid="3" name="ICV">
    <vt:lpwstr>045BFB69A5C17ADE26D89F6A6AA08618_43</vt:lpwstr>
  </property>
</Properties>
</file>