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BAA64">
      <w:pPr>
        <w:bidi w:val="0"/>
        <w:rPr>
          <w:rFonts w:hint="eastAsia" w:ascii="仿宋" w:hAnsi="仿宋" w:eastAsia="仿宋" w:cs="仿宋"/>
          <w:lang w:eastAsia="zh-CN"/>
        </w:rPr>
      </w:pPr>
      <w:bookmarkStart w:id="0" w:name="_Toc21525"/>
      <w:bookmarkStart w:id="1" w:name="_Toc30744"/>
    </w:p>
    <w:p w14:paraId="12554CCC">
      <w:pPr>
        <w:pStyle w:val="12"/>
        <w:ind w:left="0" w:leftChars="0" w:firstLine="0" w:firstLineChars="0"/>
        <w:rPr>
          <w:rFonts w:hint="eastAsia" w:ascii="仿宋" w:hAnsi="仿宋" w:eastAsia="仿宋" w:cs="仿宋"/>
          <w:lang w:eastAsia="zh-CN"/>
        </w:rPr>
      </w:pPr>
    </w:p>
    <w:p w14:paraId="7DD5E69C">
      <w:pPr>
        <w:pStyle w:val="7"/>
        <w:ind w:left="0" w:leftChars="0" w:firstLine="0" w:firstLineChars="0"/>
        <w:outlineLvl w:val="9"/>
        <w:rPr>
          <w:rFonts w:hint="eastAsia" w:ascii="仿宋" w:hAnsi="仿宋" w:eastAsia="仿宋" w:cs="仿宋"/>
          <w:lang w:eastAsia="zh-CN"/>
        </w:rPr>
      </w:pPr>
    </w:p>
    <w:p w14:paraId="106B7D74">
      <w:pPr>
        <w:pStyle w:val="7"/>
        <w:outlineLvl w:val="9"/>
        <w:rPr>
          <w:rFonts w:hint="eastAsia" w:ascii="仿宋" w:hAnsi="仿宋" w:eastAsia="仿宋" w:cs="仿宋"/>
          <w:lang w:eastAsia="zh-CN"/>
        </w:rPr>
      </w:pPr>
    </w:p>
    <w:p w14:paraId="3450020B">
      <w:pPr>
        <w:pStyle w:val="7"/>
        <w:outlineLvl w:val="9"/>
        <w:rPr>
          <w:rFonts w:hint="eastAsia" w:ascii="仿宋" w:hAnsi="仿宋" w:eastAsia="仿宋" w:cs="仿宋"/>
          <w:lang w:eastAsia="zh-CN"/>
        </w:rPr>
      </w:pPr>
    </w:p>
    <w:p w14:paraId="78B757DC">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浦江网联试验室三期</w:t>
      </w:r>
    </w:p>
    <w:p w14:paraId="03507386">
      <w:pPr>
        <w:spacing w:line="360" w:lineRule="auto"/>
        <w:jc w:val="center"/>
        <w:outlineLvl w:val="9"/>
        <w:rPr>
          <w:rFonts w:hint="default"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委托检测全流程改造深化</w:t>
      </w:r>
    </w:p>
    <w:p w14:paraId="5C54B49B">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建设方案</w:t>
      </w:r>
    </w:p>
    <w:p w14:paraId="5EAA205B">
      <w:pPr>
        <w:bidi w:val="0"/>
        <w:outlineLvl w:val="9"/>
        <w:rPr>
          <w:rFonts w:hint="eastAsia" w:ascii="黑体" w:hAnsi="黑体" w:eastAsia="黑体" w:cs="黑体"/>
          <w:lang w:eastAsia="zh-CN"/>
        </w:rPr>
      </w:pPr>
    </w:p>
    <w:p w14:paraId="7E6A7042">
      <w:pPr>
        <w:bidi w:val="0"/>
        <w:outlineLvl w:val="9"/>
        <w:rPr>
          <w:rFonts w:hint="eastAsia" w:ascii="黑体" w:hAnsi="黑体" w:eastAsia="黑体" w:cs="黑体"/>
          <w:lang w:eastAsia="zh-CN"/>
        </w:rPr>
      </w:pPr>
    </w:p>
    <w:p w14:paraId="51EED85C">
      <w:pPr>
        <w:pStyle w:val="12"/>
        <w:outlineLvl w:val="9"/>
        <w:rPr>
          <w:rFonts w:hint="eastAsia" w:ascii="黑体" w:hAnsi="黑体" w:eastAsia="黑体" w:cs="黑体"/>
          <w:b/>
          <w:sz w:val="52"/>
          <w:szCs w:val="52"/>
          <w:lang w:eastAsia="zh-CN"/>
        </w:rPr>
      </w:pPr>
    </w:p>
    <w:p w14:paraId="173491C3">
      <w:pPr>
        <w:pStyle w:val="7"/>
        <w:outlineLvl w:val="9"/>
        <w:rPr>
          <w:rFonts w:hint="eastAsia" w:ascii="黑体" w:hAnsi="黑体" w:eastAsia="黑体" w:cs="黑体"/>
          <w:b/>
          <w:sz w:val="52"/>
          <w:szCs w:val="52"/>
          <w:lang w:eastAsia="zh-CN"/>
        </w:rPr>
      </w:pPr>
    </w:p>
    <w:p w14:paraId="74159DDF">
      <w:pPr>
        <w:pStyle w:val="7"/>
        <w:outlineLvl w:val="9"/>
        <w:rPr>
          <w:rFonts w:hint="eastAsia" w:ascii="黑体" w:hAnsi="黑体" w:eastAsia="黑体" w:cs="黑体"/>
          <w:b/>
          <w:sz w:val="52"/>
          <w:szCs w:val="52"/>
          <w:lang w:eastAsia="zh-CN"/>
        </w:rPr>
      </w:pPr>
    </w:p>
    <w:p w14:paraId="4D4907AB">
      <w:pPr>
        <w:pStyle w:val="7"/>
        <w:outlineLvl w:val="9"/>
        <w:rPr>
          <w:rFonts w:hint="eastAsia" w:ascii="黑体" w:hAnsi="黑体" w:eastAsia="黑体" w:cs="黑体"/>
          <w:b/>
          <w:sz w:val="52"/>
          <w:szCs w:val="52"/>
          <w:lang w:eastAsia="zh-CN"/>
        </w:rPr>
      </w:pPr>
    </w:p>
    <w:p w14:paraId="45E6AD8C">
      <w:pPr>
        <w:pStyle w:val="7"/>
        <w:outlineLvl w:val="9"/>
        <w:rPr>
          <w:rFonts w:hint="eastAsia" w:ascii="黑体" w:hAnsi="黑体" w:eastAsia="黑体" w:cs="黑体"/>
          <w:b/>
          <w:sz w:val="52"/>
          <w:szCs w:val="52"/>
          <w:lang w:eastAsia="zh-CN"/>
        </w:rPr>
      </w:pPr>
    </w:p>
    <w:p w14:paraId="43873E80">
      <w:pPr>
        <w:pStyle w:val="7"/>
        <w:ind w:left="0" w:leftChars="0" w:firstLine="0" w:firstLineChars="0"/>
        <w:outlineLvl w:val="9"/>
        <w:rPr>
          <w:rFonts w:hint="eastAsia" w:ascii="黑体" w:hAnsi="黑体" w:eastAsia="黑体" w:cs="黑体"/>
          <w:b/>
          <w:sz w:val="52"/>
          <w:szCs w:val="52"/>
          <w:lang w:eastAsia="zh-CN"/>
        </w:rPr>
      </w:pPr>
    </w:p>
    <w:p w14:paraId="6F7FA06C">
      <w:pPr>
        <w:pStyle w:val="7"/>
        <w:outlineLvl w:val="9"/>
        <w:rPr>
          <w:rFonts w:hint="eastAsia" w:ascii="黑体" w:hAnsi="黑体" w:eastAsia="黑体" w:cs="黑体"/>
          <w:b/>
          <w:sz w:val="52"/>
          <w:szCs w:val="52"/>
          <w:lang w:eastAsia="zh-CN"/>
        </w:rPr>
      </w:pPr>
    </w:p>
    <w:p w14:paraId="66EF2AAA">
      <w:pPr>
        <w:pStyle w:val="7"/>
        <w:outlineLvl w:val="9"/>
        <w:rPr>
          <w:rFonts w:hint="eastAsia" w:ascii="黑体" w:hAnsi="黑体" w:eastAsia="黑体" w:cs="黑体"/>
          <w:b/>
          <w:sz w:val="52"/>
          <w:szCs w:val="52"/>
          <w:lang w:eastAsia="zh-CN"/>
        </w:rPr>
      </w:pPr>
    </w:p>
    <w:p w14:paraId="344B8B96">
      <w:pPr>
        <w:keepNext w:val="0"/>
        <w:keepLines w:val="0"/>
        <w:pageBreakBefore w:val="0"/>
        <w:widowControl/>
        <w:kinsoku w:val="0"/>
        <w:wordWrap/>
        <w:overflowPunct/>
        <w:topLinePunct w:val="0"/>
        <w:autoSpaceDE w:val="0"/>
        <w:autoSpaceDN w:val="0"/>
        <w:bidi w:val="0"/>
        <w:adjustRightInd w:val="0"/>
        <w:snapToGrid w:val="0"/>
        <w:spacing w:before="58" w:line="480" w:lineRule="auto"/>
        <w:jc w:val="center"/>
        <w:textAlignment w:val="baseline"/>
        <w:outlineLvl w:val="9"/>
        <w:rPr>
          <w:rFonts w:hint="eastAsia" w:ascii="黑体" w:hAnsi="黑体" w:eastAsia="黑体" w:cs="黑体"/>
          <w:b w:val="0"/>
          <w:bCs/>
          <w:sz w:val="36"/>
          <w:szCs w:val="36"/>
        </w:rPr>
      </w:pPr>
      <w:r>
        <w:rPr>
          <w:rFonts w:hint="eastAsia" w:ascii="黑体" w:hAnsi="黑体" w:eastAsia="黑体" w:cs="黑体"/>
          <w:b w:val="0"/>
          <w:bCs/>
          <w:sz w:val="36"/>
          <w:szCs w:val="36"/>
          <w:lang w:val="en-US" w:eastAsia="zh-CN"/>
        </w:rPr>
        <w:t>江苏</w:t>
      </w:r>
      <w:r>
        <w:rPr>
          <w:rFonts w:hint="eastAsia" w:ascii="黑体" w:hAnsi="黑体" w:eastAsia="黑体" w:cs="黑体"/>
          <w:b w:val="0"/>
          <w:bCs/>
          <w:sz w:val="36"/>
          <w:szCs w:val="36"/>
        </w:rPr>
        <w:t>正方交通科技有限公司</w:t>
      </w:r>
    </w:p>
    <w:p w14:paraId="1D567C8C">
      <w:pPr>
        <w:keepNext w:val="0"/>
        <w:keepLines w:val="0"/>
        <w:pageBreakBefore w:val="0"/>
        <w:widowControl/>
        <w:kinsoku w:val="0"/>
        <w:wordWrap/>
        <w:overflowPunct/>
        <w:topLinePunct w:val="0"/>
        <w:autoSpaceDE w:val="0"/>
        <w:autoSpaceDN w:val="0"/>
        <w:bidi w:val="0"/>
        <w:adjustRightInd w:val="0"/>
        <w:snapToGrid w:val="0"/>
        <w:spacing w:line="480" w:lineRule="auto"/>
        <w:jc w:val="center"/>
        <w:textAlignment w:val="baseline"/>
        <w:outlineLvl w:val="9"/>
        <w:rPr>
          <w:rFonts w:hint="default" w:ascii="黑体" w:hAnsi="黑体" w:eastAsia="黑体" w:cs="黑体"/>
          <w:b w:val="0"/>
          <w:bCs/>
          <w:kern w:val="2"/>
          <w:sz w:val="36"/>
          <w:szCs w:val="36"/>
          <w:lang w:val="en-US" w:eastAsia="zh-CN" w:bidi="ar-SA"/>
        </w:rPr>
        <w:sectPr>
          <w:headerReference r:id="rId3" w:type="default"/>
          <w:pgSz w:w="11906" w:h="16838"/>
          <w:pgMar w:top="1440" w:right="1800" w:bottom="1440" w:left="1800" w:header="567"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val="0"/>
          <w:bCs/>
          <w:kern w:val="2"/>
          <w:sz w:val="36"/>
          <w:szCs w:val="36"/>
          <w:lang w:val="en-US" w:eastAsia="zh-CN" w:bidi="ar-SA"/>
        </w:rPr>
        <w:t>2026年09</w:t>
      </w:r>
    </w:p>
    <w:bookmarkEnd w:id="0"/>
    <w:bookmarkEnd w:id="1"/>
    <w:sdt>
      <w:sdtPr>
        <w:rPr>
          <w:rFonts w:ascii="宋体" w:hAnsi="宋体" w:eastAsia="宋体"/>
          <w:sz w:val="21"/>
          <w:szCs w:val="22"/>
        </w:rPr>
        <w:id w:val="591240115"/>
        <w15:color w:val="DBDBDB"/>
        <w:docPartObj>
          <w:docPartGallery w:val="Table of Contents"/>
          <w:docPartUnique/>
        </w:docPartObj>
      </w:sdtPr>
      <w:sdtEndPr>
        <w:rPr>
          <w:rFonts w:ascii="宋体" w:hAnsi="宋体" w:eastAsia="宋体"/>
          <w:sz w:val="21"/>
          <w:szCs w:val="22"/>
        </w:rPr>
      </w:sdtEndPr>
      <w:sdtContent>
        <w:p w14:paraId="682BBA18">
          <w:pPr>
            <w:spacing w:before="0" w:beforeLines="0" w:after="0" w:afterLines="0" w:line="240" w:lineRule="auto"/>
            <w:ind w:left="0" w:leftChars="0" w:right="0" w:rightChars="0" w:firstLine="0" w:firstLineChars="0"/>
            <w:jc w:val="center"/>
          </w:pPr>
          <w:bookmarkStart w:id="2" w:name="heading_0"/>
          <w:r>
            <w:rPr>
              <w:rFonts w:ascii="宋体" w:hAnsi="宋体" w:eastAsia="宋体"/>
              <w:sz w:val="21"/>
            </w:rPr>
            <w:t>目录</w:t>
          </w:r>
        </w:p>
        <w:p w14:paraId="7791B04B">
          <w:pPr>
            <w:pStyle w:val="10"/>
            <w:tabs>
              <w:tab w:val="right" w:leader="dot" w:pos="8305"/>
            </w:tabs>
          </w:pPr>
          <w:r>
            <w:fldChar w:fldCharType="begin"/>
          </w:r>
          <w:r>
            <w:instrText xml:space="preserve">TOC \o "1-3" \h \u </w:instrText>
          </w:r>
          <w:r>
            <w:fldChar w:fldCharType="separate"/>
          </w:r>
          <w:r>
            <w:fldChar w:fldCharType="begin"/>
          </w:r>
          <w:r>
            <w:instrText xml:space="preserve"> HYPERLINK \l _Toc1380844355 </w:instrText>
          </w:r>
          <w:r>
            <w:fldChar w:fldCharType="separate"/>
          </w:r>
          <w:r>
            <w:rPr>
              <w:rFonts w:hint="eastAsia" w:ascii="宋体" w:hAnsi="宋体" w:eastAsia="宋体" w:cs="宋体"/>
              <w:snapToGrid w:val="0"/>
              <w:szCs w:val="28"/>
              <w:lang w:val="en-US" w:eastAsia="zh-CN" w:bidi="ar-SA"/>
            </w:rPr>
            <w:t>一、项目概述</w:t>
          </w:r>
          <w:r>
            <w:tab/>
          </w:r>
          <w:r>
            <w:fldChar w:fldCharType="begin"/>
          </w:r>
          <w:r>
            <w:instrText xml:space="preserve"> PAGEREF _Toc1380844355 \h </w:instrText>
          </w:r>
          <w:r>
            <w:fldChar w:fldCharType="separate"/>
          </w:r>
          <w:r>
            <w:t>3</w:t>
          </w:r>
          <w:r>
            <w:fldChar w:fldCharType="end"/>
          </w:r>
          <w:r>
            <w:fldChar w:fldCharType="end"/>
          </w:r>
        </w:p>
        <w:p w14:paraId="187181BA">
          <w:pPr>
            <w:pStyle w:val="11"/>
            <w:tabs>
              <w:tab w:val="right" w:leader="dot" w:pos="8305"/>
            </w:tabs>
          </w:pPr>
          <w:r>
            <w:fldChar w:fldCharType="begin"/>
          </w:r>
          <w:r>
            <w:instrText xml:space="preserve"> HYPERLINK \l _Toc2142785003 </w:instrText>
          </w:r>
          <w:r>
            <w:fldChar w:fldCharType="separate"/>
          </w:r>
          <w:r>
            <w:rPr>
              <w:rFonts w:hint="eastAsia" w:ascii="宋体" w:hAnsi="宋体" w:eastAsia="宋体" w:cs="宋体"/>
              <w:snapToGrid w:val="0"/>
              <w:szCs w:val="28"/>
              <w:lang w:val="en-US" w:eastAsia="en-US" w:bidi="ar-SA"/>
            </w:rPr>
            <w:t>1.1 项目背景</w:t>
          </w:r>
          <w:r>
            <w:tab/>
          </w:r>
          <w:r>
            <w:fldChar w:fldCharType="begin"/>
          </w:r>
          <w:r>
            <w:instrText xml:space="preserve"> PAGEREF _Toc2142785003 \h </w:instrText>
          </w:r>
          <w:r>
            <w:fldChar w:fldCharType="separate"/>
          </w:r>
          <w:r>
            <w:t>3</w:t>
          </w:r>
          <w:r>
            <w:fldChar w:fldCharType="end"/>
          </w:r>
          <w:r>
            <w:fldChar w:fldCharType="end"/>
          </w:r>
        </w:p>
        <w:p w14:paraId="77C9BFEF">
          <w:pPr>
            <w:pStyle w:val="11"/>
            <w:tabs>
              <w:tab w:val="right" w:leader="dot" w:pos="8305"/>
            </w:tabs>
          </w:pPr>
          <w:r>
            <w:fldChar w:fldCharType="begin"/>
          </w:r>
          <w:r>
            <w:instrText xml:space="preserve"> HYPERLINK \l _Toc486785231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2</w:t>
          </w:r>
          <w:r>
            <w:rPr>
              <w:rFonts w:hint="eastAsia" w:ascii="宋体" w:hAnsi="宋体" w:eastAsia="宋体" w:cs="宋体"/>
              <w:snapToGrid w:val="0"/>
              <w:szCs w:val="28"/>
              <w:lang w:val="en-US" w:eastAsia="en-US" w:bidi="ar-SA"/>
            </w:rPr>
            <w:t xml:space="preserve"> 项目</w:t>
          </w:r>
          <w:r>
            <w:rPr>
              <w:rFonts w:hint="eastAsia" w:ascii="宋体" w:hAnsi="宋体" w:cs="宋体"/>
              <w:snapToGrid w:val="0"/>
              <w:szCs w:val="28"/>
              <w:lang w:val="en-US" w:eastAsia="zh-CN" w:bidi="ar-SA"/>
            </w:rPr>
            <w:t>现状</w:t>
          </w:r>
          <w:r>
            <w:tab/>
          </w:r>
          <w:r>
            <w:fldChar w:fldCharType="begin"/>
          </w:r>
          <w:r>
            <w:instrText xml:space="preserve"> PAGEREF _Toc486785231 \h </w:instrText>
          </w:r>
          <w:r>
            <w:fldChar w:fldCharType="separate"/>
          </w:r>
          <w:r>
            <w:t>3</w:t>
          </w:r>
          <w:r>
            <w:fldChar w:fldCharType="end"/>
          </w:r>
          <w:r>
            <w:fldChar w:fldCharType="end"/>
          </w:r>
        </w:p>
        <w:p w14:paraId="416BEFD1">
          <w:pPr>
            <w:pStyle w:val="6"/>
            <w:tabs>
              <w:tab w:val="right" w:leader="dot" w:pos="8305"/>
            </w:tabs>
          </w:pPr>
          <w:r>
            <w:fldChar w:fldCharType="begin"/>
          </w:r>
          <w:r>
            <w:instrText xml:space="preserve"> HYPERLINK \l _Toc1634165994 </w:instrText>
          </w:r>
          <w:r>
            <w:fldChar w:fldCharType="separate"/>
          </w:r>
          <w:r>
            <w:rPr>
              <w:rFonts w:hint="eastAsia" w:ascii="宋体" w:hAnsi="宋体" w:cs="宋体"/>
              <w:snapToGrid w:val="0"/>
              <w:szCs w:val="24"/>
              <w:lang w:val="en-US" w:eastAsia="zh-CN" w:bidi="ar-SA"/>
            </w:rPr>
            <w:t>1.2.1 二期已建成果与业务基础</w:t>
          </w:r>
          <w:r>
            <w:tab/>
          </w:r>
          <w:r>
            <w:fldChar w:fldCharType="begin"/>
          </w:r>
          <w:r>
            <w:instrText xml:space="preserve"> PAGEREF _Toc1634165994 \h </w:instrText>
          </w:r>
          <w:r>
            <w:fldChar w:fldCharType="separate"/>
          </w:r>
          <w:r>
            <w:t>3</w:t>
          </w:r>
          <w:r>
            <w:fldChar w:fldCharType="end"/>
          </w:r>
          <w:r>
            <w:fldChar w:fldCharType="end"/>
          </w:r>
        </w:p>
        <w:p w14:paraId="332EB951">
          <w:pPr>
            <w:pStyle w:val="6"/>
            <w:tabs>
              <w:tab w:val="right" w:leader="dot" w:pos="8305"/>
            </w:tabs>
          </w:pPr>
          <w:r>
            <w:fldChar w:fldCharType="begin"/>
          </w:r>
          <w:r>
            <w:instrText xml:space="preserve"> HYPERLINK \l _Toc1259499675 </w:instrText>
          </w:r>
          <w:r>
            <w:fldChar w:fldCharType="separate"/>
          </w:r>
          <w:r>
            <w:rPr>
              <w:rFonts w:hint="eastAsia" w:ascii="宋体" w:hAnsi="宋体" w:cs="宋体"/>
              <w:snapToGrid w:val="0"/>
              <w:szCs w:val="24"/>
              <w:lang w:val="en-US" w:eastAsia="zh-CN" w:bidi="ar-SA"/>
            </w:rPr>
            <w:t>1.2.2 基于现有成果的业务深化需求</w:t>
          </w:r>
          <w:r>
            <w:tab/>
          </w:r>
          <w:r>
            <w:fldChar w:fldCharType="begin"/>
          </w:r>
          <w:r>
            <w:instrText xml:space="preserve"> PAGEREF _Toc1259499675 \h </w:instrText>
          </w:r>
          <w:r>
            <w:fldChar w:fldCharType="separate"/>
          </w:r>
          <w:r>
            <w:t>4</w:t>
          </w:r>
          <w:r>
            <w:fldChar w:fldCharType="end"/>
          </w:r>
          <w:r>
            <w:fldChar w:fldCharType="end"/>
          </w:r>
        </w:p>
        <w:p w14:paraId="6D5C92E7">
          <w:pPr>
            <w:pStyle w:val="11"/>
            <w:tabs>
              <w:tab w:val="right" w:leader="dot" w:pos="8305"/>
            </w:tabs>
          </w:pPr>
          <w:r>
            <w:fldChar w:fldCharType="begin"/>
          </w:r>
          <w:r>
            <w:instrText xml:space="preserve"> HYPERLINK \l _Toc664729246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3</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项目目标与核心成果</w:t>
          </w:r>
          <w:r>
            <w:tab/>
          </w:r>
          <w:r>
            <w:fldChar w:fldCharType="begin"/>
          </w:r>
          <w:r>
            <w:instrText xml:space="preserve"> PAGEREF _Toc664729246 \h </w:instrText>
          </w:r>
          <w:r>
            <w:fldChar w:fldCharType="separate"/>
          </w:r>
          <w:r>
            <w:t>5</w:t>
          </w:r>
          <w:r>
            <w:fldChar w:fldCharType="end"/>
          </w:r>
          <w:r>
            <w:fldChar w:fldCharType="end"/>
          </w:r>
        </w:p>
        <w:p w14:paraId="43B27E70">
          <w:pPr>
            <w:pStyle w:val="10"/>
            <w:tabs>
              <w:tab w:val="right" w:leader="dot" w:pos="8305"/>
            </w:tabs>
          </w:pPr>
          <w:r>
            <w:fldChar w:fldCharType="begin"/>
          </w:r>
          <w:r>
            <w:instrText xml:space="preserve"> HYPERLINK \l _Toc894505828 </w:instrText>
          </w:r>
          <w:r>
            <w:fldChar w:fldCharType="separate"/>
          </w:r>
          <w:r>
            <w:rPr>
              <w:rFonts w:hint="eastAsia" w:ascii="宋体" w:hAnsi="宋体" w:cs="宋体"/>
              <w:snapToGrid w:val="0"/>
              <w:szCs w:val="28"/>
              <w:lang w:val="en-US" w:eastAsia="zh-CN" w:bidi="ar-SA"/>
            </w:rPr>
            <w:t>二</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总体架构</w:t>
          </w:r>
          <w:r>
            <w:tab/>
          </w:r>
          <w:r>
            <w:fldChar w:fldCharType="begin"/>
          </w:r>
          <w:r>
            <w:instrText xml:space="preserve"> PAGEREF _Toc894505828 \h </w:instrText>
          </w:r>
          <w:r>
            <w:fldChar w:fldCharType="separate"/>
          </w:r>
          <w:r>
            <w:t>7</w:t>
          </w:r>
          <w:r>
            <w:fldChar w:fldCharType="end"/>
          </w:r>
          <w:r>
            <w:fldChar w:fldCharType="end"/>
          </w:r>
        </w:p>
        <w:p w14:paraId="00E36FF9">
          <w:pPr>
            <w:pStyle w:val="10"/>
            <w:tabs>
              <w:tab w:val="right" w:leader="dot" w:pos="8305"/>
            </w:tabs>
          </w:pPr>
          <w:r>
            <w:fldChar w:fldCharType="begin"/>
          </w:r>
          <w:r>
            <w:instrText xml:space="preserve"> HYPERLINK \l _Toc1573922196 </w:instrText>
          </w:r>
          <w:r>
            <w:fldChar w:fldCharType="separate"/>
          </w:r>
          <w:r>
            <w:rPr>
              <w:rFonts w:hint="eastAsia" w:ascii="宋体" w:hAnsi="宋体" w:cs="宋体"/>
              <w:snapToGrid w:val="0"/>
              <w:szCs w:val="28"/>
              <w:lang w:val="en-US" w:eastAsia="zh-CN" w:bidi="ar-SA"/>
            </w:rPr>
            <w:t>三</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建设方案</w:t>
          </w:r>
          <w:r>
            <w:tab/>
          </w:r>
          <w:r>
            <w:fldChar w:fldCharType="begin"/>
          </w:r>
          <w:r>
            <w:instrText xml:space="preserve"> PAGEREF _Toc1573922196 \h </w:instrText>
          </w:r>
          <w:r>
            <w:fldChar w:fldCharType="separate"/>
          </w:r>
          <w:r>
            <w:t>9</w:t>
          </w:r>
          <w:r>
            <w:fldChar w:fldCharType="end"/>
          </w:r>
          <w:r>
            <w:fldChar w:fldCharType="end"/>
          </w:r>
        </w:p>
        <w:p w14:paraId="54C8AFE4">
          <w:pPr>
            <w:pStyle w:val="11"/>
            <w:tabs>
              <w:tab w:val="right" w:leader="dot" w:pos="8305"/>
            </w:tabs>
          </w:pPr>
          <w:r>
            <w:fldChar w:fldCharType="begin"/>
          </w:r>
          <w:r>
            <w:instrText xml:space="preserve"> HYPERLINK \l _Toc206784426 </w:instrText>
          </w:r>
          <w:r>
            <w:fldChar w:fldCharType="separate"/>
          </w:r>
          <w:r>
            <w:rPr>
              <w:rFonts w:hint="eastAsia" w:ascii="宋体" w:hAnsi="宋体" w:cs="宋体"/>
              <w:snapToGrid w:val="0"/>
              <w:szCs w:val="28"/>
              <w:lang w:val="en-US" w:eastAsia="zh-CN" w:bidi="ar-SA"/>
            </w:rPr>
            <w:t>3.1 委托登记与受理服务拓展</w:t>
          </w:r>
          <w:r>
            <w:tab/>
          </w:r>
          <w:r>
            <w:fldChar w:fldCharType="begin"/>
          </w:r>
          <w:r>
            <w:instrText xml:space="preserve"> PAGEREF _Toc206784426 \h </w:instrText>
          </w:r>
          <w:r>
            <w:fldChar w:fldCharType="separate"/>
          </w:r>
          <w:r>
            <w:t>9</w:t>
          </w:r>
          <w:r>
            <w:fldChar w:fldCharType="end"/>
          </w:r>
          <w:r>
            <w:fldChar w:fldCharType="end"/>
          </w:r>
        </w:p>
        <w:p w14:paraId="7B747EA4">
          <w:pPr>
            <w:pStyle w:val="6"/>
            <w:tabs>
              <w:tab w:val="right" w:leader="dot" w:pos="8305"/>
            </w:tabs>
          </w:pPr>
          <w:r>
            <w:fldChar w:fldCharType="begin"/>
          </w:r>
          <w:r>
            <w:instrText xml:space="preserve"> HYPERLINK \l _Toc797306936 </w:instrText>
          </w:r>
          <w:r>
            <w:fldChar w:fldCharType="separate"/>
          </w:r>
          <w:r>
            <w:rPr>
              <w:rFonts w:hint="eastAsia" w:ascii="宋体" w:hAnsi="宋体" w:cs="宋体"/>
              <w:snapToGrid w:val="0"/>
              <w:szCs w:val="24"/>
              <w:lang w:val="en-US" w:eastAsia="zh-CN" w:bidi="ar-SA"/>
            </w:rPr>
            <w:t>3.1.1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_Toc797306936 \h </w:instrText>
          </w:r>
          <w:r>
            <w:fldChar w:fldCharType="separate"/>
          </w:r>
          <w:r>
            <w:t>9</w:t>
          </w:r>
          <w:r>
            <w:fldChar w:fldCharType="end"/>
          </w:r>
          <w:r>
            <w:fldChar w:fldCharType="end"/>
          </w:r>
        </w:p>
        <w:p w14:paraId="44E52A1B">
          <w:pPr>
            <w:pStyle w:val="6"/>
            <w:tabs>
              <w:tab w:val="right" w:leader="dot" w:pos="8305"/>
            </w:tabs>
          </w:pPr>
          <w:r>
            <w:fldChar w:fldCharType="begin"/>
          </w:r>
          <w:r>
            <w:instrText xml:space="preserve"> HYPERLINK \l _Toc39716072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1</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具体建设内容</w:t>
          </w:r>
          <w:r>
            <w:tab/>
          </w:r>
          <w:r>
            <w:fldChar w:fldCharType="begin"/>
          </w:r>
          <w:r>
            <w:instrText xml:space="preserve"> PAGEREF _Toc39716072 \h </w:instrText>
          </w:r>
          <w:r>
            <w:fldChar w:fldCharType="separate"/>
          </w:r>
          <w:r>
            <w:t>9</w:t>
          </w:r>
          <w:r>
            <w:fldChar w:fldCharType="end"/>
          </w:r>
          <w:r>
            <w:fldChar w:fldCharType="end"/>
          </w:r>
        </w:p>
        <w:p w14:paraId="724C8520">
          <w:pPr>
            <w:pStyle w:val="6"/>
            <w:tabs>
              <w:tab w:val="right" w:leader="dot" w:pos="8305"/>
            </w:tabs>
          </w:pPr>
          <w:r>
            <w:fldChar w:fldCharType="begin"/>
          </w:r>
          <w:r>
            <w:instrText xml:space="preserve"> HYPERLINK \l _Toc1788091534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1</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_Toc1788091534 \h </w:instrText>
          </w:r>
          <w:r>
            <w:fldChar w:fldCharType="separate"/>
          </w:r>
          <w:r>
            <w:t>10</w:t>
          </w:r>
          <w:r>
            <w:fldChar w:fldCharType="end"/>
          </w:r>
          <w:r>
            <w:fldChar w:fldCharType="end"/>
          </w:r>
        </w:p>
        <w:p w14:paraId="18F32EB1">
          <w:pPr>
            <w:pStyle w:val="11"/>
            <w:tabs>
              <w:tab w:val="right" w:leader="dot" w:pos="8305"/>
            </w:tabs>
          </w:pPr>
          <w:r>
            <w:fldChar w:fldCharType="begin"/>
          </w:r>
          <w:r>
            <w:instrText xml:space="preserve"> HYPERLINK \l _Toc568255820 </w:instrText>
          </w:r>
          <w:r>
            <w:fldChar w:fldCharType="separate"/>
          </w:r>
          <w:r>
            <w:rPr>
              <w:rFonts w:hint="eastAsia" w:ascii="宋体" w:hAnsi="宋体" w:cs="宋体"/>
              <w:snapToGrid w:val="0"/>
              <w:szCs w:val="28"/>
              <w:lang w:val="en-US" w:eastAsia="zh-CN" w:bidi="ar-SA"/>
            </w:rPr>
            <w:t>3.2 智能样品运输</w:t>
          </w:r>
          <w:r>
            <w:tab/>
          </w:r>
          <w:r>
            <w:fldChar w:fldCharType="begin"/>
          </w:r>
          <w:r>
            <w:instrText xml:space="preserve"> PAGEREF _Toc568255820 \h </w:instrText>
          </w:r>
          <w:r>
            <w:fldChar w:fldCharType="separate"/>
          </w:r>
          <w:r>
            <w:t>10</w:t>
          </w:r>
          <w:r>
            <w:fldChar w:fldCharType="end"/>
          </w:r>
          <w:r>
            <w:fldChar w:fldCharType="end"/>
          </w:r>
        </w:p>
        <w:p w14:paraId="35D40348">
          <w:pPr>
            <w:pStyle w:val="6"/>
            <w:tabs>
              <w:tab w:val="right" w:leader="dot" w:pos="8305"/>
            </w:tabs>
          </w:pPr>
          <w:r>
            <w:fldChar w:fldCharType="begin"/>
          </w:r>
          <w:r>
            <w:instrText xml:space="preserve"> HYPERLINK \l _Toc815788531 </w:instrText>
          </w:r>
          <w:r>
            <w:fldChar w:fldCharType="separate"/>
          </w:r>
          <w:r>
            <w:rPr>
              <w:rFonts w:hint="eastAsia" w:ascii="宋体" w:hAnsi="宋体" w:cs="宋体"/>
              <w:snapToGrid w:val="0"/>
              <w:szCs w:val="24"/>
              <w:lang w:val="en-US" w:eastAsia="zh-CN" w:bidi="ar-SA"/>
            </w:rPr>
            <w:t>3.2.1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_Toc815788531 \h </w:instrText>
          </w:r>
          <w:r>
            <w:fldChar w:fldCharType="separate"/>
          </w:r>
          <w:r>
            <w:t>10</w:t>
          </w:r>
          <w:r>
            <w:fldChar w:fldCharType="end"/>
          </w:r>
          <w:r>
            <w:fldChar w:fldCharType="end"/>
          </w:r>
        </w:p>
        <w:p w14:paraId="491BC919">
          <w:pPr>
            <w:pStyle w:val="6"/>
            <w:tabs>
              <w:tab w:val="right" w:leader="dot" w:pos="8305"/>
            </w:tabs>
          </w:pPr>
          <w:r>
            <w:fldChar w:fldCharType="begin"/>
          </w:r>
          <w:r>
            <w:instrText xml:space="preserve"> HYPERLINK \l _Toc1422238069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2</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具体建设内容</w:t>
          </w:r>
          <w:r>
            <w:tab/>
          </w:r>
          <w:r>
            <w:fldChar w:fldCharType="begin"/>
          </w:r>
          <w:r>
            <w:instrText xml:space="preserve"> PAGEREF _Toc1422238069 \h </w:instrText>
          </w:r>
          <w:r>
            <w:fldChar w:fldCharType="separate"/>
          </w:r>
          <w:r>
            <w:t>11</w:t>
          </w:r>
          <w:r>
            <w:fldChar w:fldCharType="end"/>
          </w:r>
          <w:r>
            <w:fldChar w:fldCharType="end"/>
          </w:r>
        </w:p>
        <w:p w14:paraId="7CA9B23F">
          <w:pPr>
            <w:pStyle w:val="6"/>
            <w:tabs>
              <w:tab w:val="right" w:leader="dot" w:pos="8305"/>
            </w:tabs>
          </w:pPr>
          <w:r>
            <w:fldChar w:fldCharType="begin"/>
          </w:r>
          <w:r>
            <w:instrText xml:space="preserve"> HYPERLINK \l _Toc2062234573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2</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_Toc2062234573 \h </w:instrText>
          </w:r>
          <w:r>
            <w:fldChar w:fldCharType="separate"/>
          </w:r>
          <w:r>
            <w:t>13</w:t>
          </w:r>
          <w:r>
            <w:fldChar w:fldCharType="end"/>
          </w:r>
          <w:r>
            <w:fldChar w:fldCharType="end"/>
          </w:r>
        </w:p>
        <w:p w14:paraId="47E7F2F9">
          <w:pPr>
            <w:pStyle w:val="11"/>
            <w:tabs>
              <w:tab w:val="right" w:leader="dot" w:pos="8305"/>
            </w:tabs>
          </w:pPr>
          <w:r>
            <w:fldChar w:fldCharType="begin"/>
          </w:r>
          <w:r>
            <w:instrText xml:space="preserve"> HYPERLINK \l _Toc1737889478 </w:instrText>
          </w:r>
          <w:r>
            <w:fldChar w:fldCharType="separate"/>
          </w:r>
          <w:r>
            <w:rPr>
              <w:rFonts w:hint="eastAsia" w:ascii="宋体" w:hAnsi="宋体" w:cs="宋体"/>
              <w:snapToGrid w:val="0"/>
              <w:szCs w:val="28"/>
              <w:lang w:val="en-US" w:eastAsia="zh-CN" w:bidi="ar-SA"/>
            </w:rPr>
            <w:t>3.3 试验设备网联拓展与数据贯通</w:t>
          </w:r>
          <w:r>
            <w:tab/>
          </w:r>
          <w:r>
            <w:fldChar w:fldCharType="begin"/>
          </w:r>
          <w:r>
            <w:instrText xml:space="preserve"> PAGEREF _Toc1737889478 \h </w:instrText>
          </w:r>
          <w:r>
            <w:fldChar w:fldCharType="separate"/>
          </w:r>
          <w:r>
            <w:t>13</w:t>
          </w:r>
          <w:r>
            <w:fldChar w:fldCharType="end"/>
          </w:r>
          <w:r>
            <w:fldChar w:fldCharType="end"/>
          </w:r>
        </w:p>
        <w:p w14:paraId="403EDC03">
          <w:pPr>
            <w:pStyle w:val="6"/>
            <w:tabs>
              <w:tab w:val="right" w:leader="dot" w:pos="8305"/>
            </w:tabs>
          </w:pPr>
          <w:r>
            <w:fldChar w:fldCharType="begin"/>
          </w:r>
          <w:r>
            <w:instrText xml:space="preserve"> HYPERLINK \l _Toc783373899 </w:instrText>
          </w:r>
          <w:r>
            <w:fldChar w:fldCharType="separate"/>
          </w:r>
          <w:r>
            <w:rPr>
              <w:rFonts w:hint="eastAsia" w:ascii="宋体" w:hAnsi="宋体" w:cs="宋体"/>
              <w:snapToGrid w:val="0"/>
              <w:szCs w:val="24"/>
              <w:lang w:val="en-US" w:eastAsia="zh-CN" w:bidi="ar-SA"/>
            </w:rPr>
            <w:t>3.3.1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_Toc783373899 \h </w:instrText>
          </w:r>
          <w:r>
            <w:fldChar w:fldCharType="separate"/>
          </w:r>
          <w:r>
            <w:t>13</w:t>
          </w:r>
          <w:r>
            <w:fldChar w:fldCharType="end"/>
          </w:r>
          <w:r>
            <w:fldChar w:fldCharType="end"/>
          </w:r>
        </w:p>
        <w:p w14:paraId="3440769E">
          <w:pPr>
            <w:pStyle w:val="6"/>
            <w:tabs>
              <w:tab w:val="right" w:leader="dot" w:pos="8305"/>
            </w:tabs>
          </w:pPr>
          <w:r>
            <w:fldChar w:fldCharType="begin"/>
          </w:r>
          <w:r>
            <w:instrText xml:space="preserve"> HYPERLINK \l _Toc2090364383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具体建设内容</w:t>
          </w:r>
          <w:r>
            <w:tab/>
          </w:r>
          <w:r>
            <w:fldChar w:fldCharType="begin"/>
          </w:r>
          <w:r>
            <w:instrText xml:space="preserve"> PAGEREF _Toc2090364383 \h </w:instrText>
          </w:r>
          <w:r>
            <w:fldChar w:fldCharType="separate"/>
          </w:r>
          <w:r>
            <w:t>14</w:t>
          </w:r>
          <w:r>
            <w:fldChar w:fldCharType="end"/>
          </w:r>
          <w:r>
            <w:fldChar w:fldCharType="end"/>
          </w:r>
        </w:p>
        <w:p w14:paraId="12BE9AEF">
          <w:pPr>
            <w:pStyle w:val="6"/>
            <w:tabs>
              <w:tab w:val="right" w:leader="dot" w:pos="8305"/>
            </w:tabs>
          </w:pPr>
          <w:r>
            <w:fldChar w:fldCharType="begin"/>
          </w:r>
          <w:r>
            <w:instrText xml:space="preserve"> HYPERLINK \l _Toc2069203808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_Toc2069203808 \h </w:instrText>
          </w:r>
          <w:r>
            <w:fldChar w:fldCharType="separate"/>
          </w:r>
          <w:r>
            <w:t>14</w:t>
          </w:r>
          <w:r>
            <w:fldChar w:fldCharType="end"/>
          </w:r>
          <w:r>
            <w:fldChar w:fldCharType="end"/>
          </w:r>
        </w:p>
        <w:p w14:paraId="15A7F37C">
          <w:pPr>
            <w:pStyle w:val="11"/>
            <w:tabs>
              <w:tab w:val="right" w:leader="dot" w:pos="8305"/>
            </w:tabs>
          </w:pPr>
          <w:r>
            <w:fldChar w:fldCharType="begin"/>
          </w:r>
          <w:r>
            <w:instrText xml:space="preserve"> HYPERLINK \l _Toc758221538 </w:instrText>
          </w:r>
          <w:r>
            <w:fldChar w:fldCharType="separate"/>
          </w:r>
          <w:r>
            <w:rPr>
              <w:rFonts w:hint="eastAsia" w:ascii="宋体" w:hAnsi="宋体" w:cs="宋体"/>
              <w:snapToGrid w:val="0"/>
              <w:szCs w:val="28"/>
              <w:lang w:val="en-US" w:eastAsia="zh-CN" w:bidi="ar-SA"/>
            </w:rPr>
            <w:t>3.4 原始数据无纸化记录</w:t>
          </w:r>
          <w:r>
            <w:tab/>
          </w:r>
          <w:r>
            <w:fldChar w:fldCharType="begin"/>
          </w:r>
          <w:r>
            <w:instrText xml:space="preserve"> PAGEREF _Toc758221538 \h </w:instrText>
          </w:r>
          <w:r>
            <w:fldChar w:fldCharType="separate"/>
          </w:r>
          <w:r>
            <w:t>15</w:t>
          </w:r>
          <w:r>
            <w:fldChar w:fldCharType="end"/>
          </w:r>
          <w:r>
            <w:fldChar w:fldCharType="end"/>
          </w:r>
        </w:p>
        <w:p w14:paraId="0413F1BF">
          <w:pPr>
            <w:pStyle w:val="6"/>
            <w:tabs>
              <w:tab w:val="right" w:leader="dot" w:pos="8305"/>
            </w:tabs>
          </w:pPr>
          <w:r>
            <w:fldChar w:fldCharType="begin"/>
          </w:r>
          <w:r>
            <w:instrText xml:space="preserve"> HYPERLINK \l _Toc261427868 </w:instrText>
          </w:r>
          <w:r>
            <w:fldChar w:fldCharType="separate"/>
          </w:r>
          <w:r>
            <w:rPr>
              <w:rFonts w:hint="eastAsia" w:ascii="宋体" w:hAnsi="宋体" w:cs="宋体"/>
              <w:snapToGrid w:val="0"/>
              <w:szCs w:val="24"/>
              <w:lang w:val="en-US" w:eastAsia="zh-CN" w:bidi="ar-SA"/>
            </w:rPr>
            <w:t>3.4.1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_Toc261427868 \h </w:instrText>
          </w:r>
          <w:r>
            <w:fldChar w:fldCharType="separate"/>
          </w:r>
          <w:r>
            <w:t>15</w:t>
          </w:r>
          <w:r>
            <w:fldChar w:fldCharType="end"/>
          </w:r>
          <w:r>
            <w:fldChar w:fldCharType="end"/>
          </w:r>
        </w:p>
        <w:p w14:paraId="37974253">
          <w:pPr>
            <w:pStyle w:val="6"/>
            <w:tabs>
              <w:tab w:val="right" w:leader="dot" w:pos="8305"/>
            </w:tabs>
          </w:pPr>
          <w:r>
            <w:fldChar w:fldCharType="begin"/>
          </w:r>
          <w:r>
            <w:instrText xml:space="preserve"> HYPERLINK \l _Toc66635714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4</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具体建设内容</w:t>
          </w:r>
          <w:r>
            <w:tab/>
          </w:r>
          <w:r>
            <w:fldChar w:fldCharType="begin"/>
          </w:r>
          <w:r>
            <w:instrText xml:space="preserve"> PAGEREF _Toc66635714 \h </w:instrText>
          </w:r>
          <w:r>
            <w:fldChar w:fldCharType="separate"/>
          </w:r>
          <w:r>
            <w:t>15</w:t>
          </w:r>
          <w:r>
            <w:fldChar w:fldCharType="end"/>
          </w:r>
          <w:r>
            <w:fldChar w:fldCharType="end"/>
          </w:r>
        </w:p>
        <w:p w14:paraId="7DBFA352">
          <w:pPr>
            <w:pStyle w:val="6"/>
            <w:tabs>
              <w:tab w:val="right" w:leader="dot" w:pos="8305"/>
            </w:tabs>
          </w:pPr>
          <w:r>
            <w:fldChar w:fldCharType="begin"/>
          </w:r>
          <w:r>
            <w:instrText xml:space="preserve"> HYPERLINK \l _Toc1107465111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4</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_Toc1107465111 \h </w:instrText>
          </w:r>
          <w:r>
            <w:fldChar w:fldCharType="separate"/>
          </w:r>
          <w:r>
            <w:t>16</w:t>
          </w:r>
          <w:r>
            <w:fldChar w:fldCharType="end"/>
          </w:r>
          <w:r>
            <w:fldChar w:fldCharType="end"/>
          </w:r>
        </w:p>
        <w:p w14:paraId="50BB165A">
          <w:pPr>
            <w:pStyle w:val="11"/>
            <w:tabs>
              <w:tab w:val="right" w:leader="dot" w:pos="8305"/>
            </w:tabs>
          </w:pPr>
          <w:r>
            <w:fldChar w:fldCharType="begin"/>
          </w:r>
          <w:r>
            <w:instrText xml:space="preserve"> HYPERLINK \l _Toc925352028 </w:instrText>
          </w:r>
          <w:r>
            <w:fldChar w:fldCharType="separate"/>
          </w:r>
          <w:r>
            <w:rPr>
              <w:rFonts w:hint="eastAsia" w:ascii="宋体" w:hAnsi="宋体" w:cs="宋体"/>
              <w:snapToGrid w:val="0"/>
              <w:szCs w:val="28"/>
              <w:lang w:val="en-US" w:eastAsia="zh-CN" w:bidi="ar-SA"/>
            </w:rPr>
            <w:t>3.5 多结构文档编制智能化生成</w:t>
          </w:r>
          <w:r>
            <w:tab/>
          </w:r>
          <w:r>
            <w:fldChar w:fldCharType="begin"/>
          </w:r>
          <w:r>
            <w:instrText xml:space="preserve"> PAGEREF _Toc925352028 \h </w:instrText>
          </w:r>
          <w:r>
            <w:fldChar w:fldCharType="separate"/>
          </w:r>
          <w:r>
            <w:t>16</w:t>
          </w:r>
          <w:r>
            <w:fldChar w:fldCharType="end"/>
          </w:r>
          <w:r>
            <w:fldChar w:fldCharType="end"/>
          </w:r>
        </w:p>
        <w:p w14:paraId="598B0800">
          <w:pPr>
            <w:pStyle w:val="6"/>
            <w:tabs>
              <w:tab w:val="right" w:leader="dot" w:pos="8305"/>
            </w:tabs>
          </w:pPr>
          <w:r>
            <w:fldChar w:fldCharType="begin"/>
          </w:r>
          <w:r>
            <w:instrText xml:space="preserve"> HYPERLINK \l _Toc314963022 </w:instrText>
          </w:r>
          <w:r>
            <w:fldChar w:fldCharType="separate"/>
          </w:r>
          <w:r>
            <w:rPr>
              <w:rFonts w:hint="eastAsia" w:ascii="宋体" w:hAnsi="宋体" w:cs="宋体"/>
              <w:snapToGrid w:val="0"/>
              <w:szCs w:val="24"/>
              <w:lang w:val="en-US" w:eastAsia="zh-CN" w:bidi="ar-SA"/>
            </w:rPr>
            <w:t>3.5.1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_Toc314963022 \h </w:instrText>
          </w:r>
          <w:r>
            <w:fldChar w:fldCharType="separate"/>
          </w:r>
          <w:r>
            <w:t>16</w:t>
          </w:r>
          <w:r>
            <w:fldChar w:fldCharType="end"/>
          </w:r>
          <w:r>
            <w:fldChar w:fldCharType="end"/>
          </w:r>
        </w:p>
        <w:p w14:paraId="3F279390">
          <w:pPr>
            <w:pStyle w:val="6"/>
            <w:tabs>
              <w:tab w:val="right" w:leader="dot" w:pos="8305"/>
            </w:tabs>
          </w:pPr>
          <w:r>
            <w:fldChar w:fldCharType="begin"/>
          </w:r>
          <w:r>
            <w:instrText xml:space="preserve"> HYPERLINK \l _Toc36320899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5</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w:t>
          </w:r>
          <w:r>
            <w:tab/>
          </w:r>
          <w:r>
            <w:fldChar w:fldCharType="begin"/>
          </w:r>
          <w:r>
            <w:instrText xml:space="preserve"> PAGEREF _Toc36320899 \h </w:instrText>
          </w:r>
          <w:r>
            <w:fldChar w:fldCharType="separate"/>
          </w:r>
          <w:r>
            <w:t>17</w:t>
          </w:r>
          <w:r>
            <w:fldChar w:fldCharType="end"/>
          </w:r>
          <w:r>
            <w:fldChar w:fldCharType="end"/>
          </w:r>
        </w:p>
        <w:p w14:paraId="08589962">
          <w:pPr>
            <w:pStyle w:val="6"/>
            <w:tabs>
              <w:tab w:val="right" w:leader="dot" w:pos="8305"/>
            </w:tabs>
          </w:pPr>
          <w:r>
            <w:fldChar w:fldCharType="begin"/>
          </w:r>
          <w:r>
            <w:instrText xml:space="preserve"> HYPERLINK \l _Toc559993745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5</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_Toc559993745 \h </w:instrText>
          </w:r>
          <w:r>
            <w:fldChar w:fldCharType="separate"/>
          </w:r>
          <w:r>
            <w:t>19</w:t>
          </w:r>
          <w:r>
            <w:fldChar w:fldCharType="end"/>
          </w:r>
          <w:r>
            <w:fldChar w:fldCharType="end"/>
          </w:r>
        </w:p>
        <w:p w14:paraId="4D3BCDAB">
          <w:pPr>
            <w:pStyle w:val="11"/>
            <w:tabs>
              <w:tab w:val="right" w:leader="dot" w:pos="8305"/>
            </w:tabs>
          </w:pPr>
          <w:r>
            <w:fldChar w:fldCharType="begin"/>
          </w:r>
          <w:r>
            <w:instrText xml:space="preserve"> HYPERLINK \l _Toc1541531061 </w:instrText>
          </w:r>
          <w:r>
            <w:fldChar w:fldCharType="separate"/>
          </w:r>
          <w:r>
            <w:rPr>
              <w:rFonts w:hint="eastAsia" w:ascii="宋体" w:hAnsi="宋体" w:cs="宋体"/>
              <w:snapToGrid w:val="0"/>
              <w:szCs w:val="28"/>
              <w:lang w:val="en-US" w:eastAsia="zh-CN" w:bidi="ar-SA"/>
            </w:rPr>
            <w:t>3.6 专项知识库补充与模型深化训练</w:t>
          </w:r>
          <w:r>
            <w:tab/>
          </w:r>
          <w:r>
            <w:fldChar w:fldCharType="begin"/>
          </w:r>
          <w:r>
            <w:instrText xml:space="preserve"> PAGEREF _Toc1541531061 \h </w:instrText>
          </w:r>
          <w:r>
            <w:fldChar w:fldCharType="separate"/>
          </w:r>
          <w:r>
            <w:t>19</w:t>
          </w:r>
          <w:r>
            <w:fldChar w:fldCharType="end"/>
          </w:r>
          <w:r>
            <w:fldChar w:fldCharType="end"/>
          </w:r>
        </w:p>
        <w:p w14:paraId="3D0590BF">
          <w:pPr>
            <w:pStyle w:val="6"/>
            <w:tabs>
              <w:tab w:val="right" w:leader="dot" w:pos="8305"/>
            </w:tabs>
          </w:pPr>
          <w:r>
            <w:fldChar w:fldCharType="begin"/>
          </w:r>
          <w:r>
            <w:instrText xml:space="preserve"> HYPERLINK \l _Toc1269824819 </w:instrText>
          </w:r>
          <w:r>
            <w:fldChar w:fldCharType="separate"/>
          </w:r>
          <w:r>
            <w:rPr>
              <w:rFonts w:hint="eastAsia" w:ascii="宋体" w:hAnsi="宋体" w:cs="宋体"/>
              <w:snapToGrid w:val="0"/>
              <w:szCs w:val="24"/>
              <w:lang w:val="en-US" w:eastAsia="zh-CN" w:bidi="ar-SA"/>
            </w:rPr>
            <w:t>3.6.1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_Toc1269824819 \h </w:instrText>
          </w:r>
          <w:r>
            <w:fldChar w:fldCharType="separate"/>
          </w:r>
          <w:r>
            <w:t>19</w:t>
          </w:r>
          <w:r>
            <w:fldChar w:fldCharType="end"/>
          </w:r>
          <w:r>
            <w:fldChar w:fldCharType="end"/>
          </w:r>
        </w:p>
        <w:p w14:paraId="33184457">
          <w:pPr>
            <w:pStyle w:val="6"/>
            <w:tabs>
              <w:tab w:val="right" w:leader="dot" w:pos="8305"/>
            </w:tabs>
          </w:pPr>
          <w:r>
            <w:fldChar w:fldCharType="begin"/>
          </w:r>
          <w:r>
            <w:instrText xml:space="preserve"> HYPERLINK \l _Toc253249047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6</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w:t>
          </w:r>
          <w:r>
            <w:tab/>
          </w:r>
          <w:r>
            <w:fldChar w:fldCharType="begin"/>
          </w:r>
          <w:r>
            <w:instrText xml:space="preserve"> PAGEREF _Toc253249047 \h </w:instrText>
          </w:r>
          <w:r>
            <w:fldChar w:fldCharType="separate"/>
          </w:r>
          <w:r>
            <w:t>19</w:t>
          </w:r>
          <w:r>
            <w:fldChar w:fldCharType="end"/>
          </w:r>
          <w:r>
            <w:fldChar w:fldCharType="end"/>
          </w:r>
        </w:p>
        <w:p w14:paraId="71BA44A3">
          <w:pPr>
            <w:pStyle w:val="6"/>
            <w:tabs>
              <w:tab w:val="right" w:leader="dot" w:pos="8305"/>
            </w:tabs>
          </w:pPr>
          <w:r>
            <w:fldChar w:fldCharType="begin"/>
          </w:r>
          <w:r>
            <w:instrText xml:space="preserve"> HYPERLINK \l _Toc44144575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6</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_Toc44144575 \h </w:instrText>
          </w:r>
          <w:r>
            <w:fldChar w:fldCharType="separate"/>
          </w:r>
          <w:r>
            <w:t>20</w:t>
          </w:r>
          <w:r>
            <w:fldChar w:fldCharType="end"/>
          </w:r>
          <w:r>
            <w:fldChar w:fldCharType="end"/>
          </w:r>
        </w:p>
        <w:p w14:paraId="36DE8864">
          <w:pPr>
            <w:pStyle w:val="11"/>
            <w:tabs>
              <w:tab w:val="right" w:leader="dot" w:pos="8305"/>
            </w:tabs>
          </w:pPr>
          <w:r>
            <w:fldChar w:fldCharType="begin"/>
          </w:r>
          <w:r>
            <w:instrText xml:space="preserve"> HYPERLINK \l _Toc1056013810 </w:instrText>
          </w:r>
          <w:r>
            <w:fldChar w:fldCharType="separate"/>
          </w:r>
          <w:r>
            <w:rPr>
              <w:rFonts w:hint="eastAsia" w:ascii="宋体" w:hAnsi="宋体" w:cs="宋体"/>
              <w:snapToGrid w:val="0"/>
              <w:szCs w:val="28"/>
              <w:lang w:val="en-US" w:eastAsia="zh-CN" w:bidi="ar-SA"/>
            </w:rPr>
            <w:t>3.7 服务器设施升级建设与算力提升</w:t>
          </w:r>
          <w:r>
            <w:tab/>
          </w:r>
          <w:r>
            <w:fldChar w:fldCharType="begin"/>
          </w:r>
          <w:r>
            <w:instrText xml:space="preserve"> PAGEREF _Toc1056013810 \h </w:instrText>
          </w:r>
          <w:r>
            <w:fldChar w:fldCharType="separate"/>
          </w:r>
          <w:r>
            <w:t>20</w:t>
          </w:r>
          <w:r>
            <w:fldChar w:fldCharType="end"/>
          </w:r>
          <w:r>
            <w:fldChar w:fldCharType="end"/>
          </w:r>
        </w:p>
        <w:p w14:paraId="77AAF279">
          <w:pPr>
            <w:pStyle w:val="6"/>
            <w:tabs>
              <w:tab w:val="right" w:leader="dot" w:pos="8305"/>
            </w:tabs>
          </w:pPr>
          <w:r>
            <w:fldChar w:fldCharType="begin"/>
          </w:r>
          <w:r>
            <w:instrText xml:space="preserve"> HYPERLINK \l _Toc1619245862 </w:instrText>
          </w:r>
          <w:r>
            <w:fldChar w:fldCharType="separate"/>
          </w:r>
          <w:r>
            <w:rPr>
              <w:rFonts w:hint="eastAsia" w:ascii="宋体" w:hAnsi="宋体" w:cs="宋体"/>
              <w:snapToGrid w:val="0"/>
              <w:szCs w:val="24"/>
              <w:lang w:val="en-US" w:eastAsia="zh-CN" w:bidi="ar-SA"/>
            </w:rPr>
            <w:t>3.7.1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建设方向</w:t>
          </w:r>
          <w:r>
            <w:tab/>
          </w:r>
          <w:r>
            <w:fldChar w:fldCharType="begin"/>
          </w:r>
          <w:r>
            <w:instrText xml:space="preserve"> PAGEREF _Toc1619245862 \h </w:instrText>
          </w:r>
          <w:r>
            <w:fldChar w:fldCharType="separate"/>
          </w:r>
          <w:r>
            <w:t>21</w:t>
          </w:r>
          <w:r>
            <w:fldChar w:fldCharType="end"/>
          </w:r>
          <w:r>
            <w:fldChar w:fldCharType="end"/>
          </w:r>
        </w:p>
        <w:p w14:paraId="4372CF22">
          <w:pPr>
            <w:pStyle w:val="6"/>
            <w:tabs>
              <w:tab w:val="right" w:leader="dot" w:pos="8305"/>
            </w:tabs>
          </w:pPr>
          <w:r>
            <w:fldChar w:fldCharType="begin"/>
          </w:r>
          <w:r>
            <w:instrText xml:space="preserve"> HYPERLINK \l _Toc1752427850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7</w:t>
          </w:r>
          <w:r>
            <w:rPr>
              <w:rFonts w:hint="eastAsia" w:ascii="宋体" w:hAnsi="宋体" w:cs="宋体"/>
              <w:snapToGrid w:val="0"/>
              <w:szCs w:val="24"/>
              <w:lang w:val="en-US" w:eastAsia="en-US" w:bidi="ar-SA"/>
            </w:rPr>
            <w:t xml:space="preserve">.2 </w:t>
          </w:r>
          <w:r>
            <w:rPr>
              <w:rFonts w:hint="eastAsia" w:ascii="宋体" w:hAnsi="宋体" w:cs="宋体"/>
              <w:snapToGrid w:val="0"/>
              <w:szCs w:val="24"/>
              <w:lang w:val="en-US" w:eastAsia="zh-CN" w:bidi="ar-SA"/>
            </w:rPr>
            <w:t>具体建设内</w:t>
          </w:r>
          <w:r>
            <w:tab/>
          </w:r>
          <w:r>
            <w:fldChar w:fldCharType="begin"/>
          </w:r>
          <w:r>
            <w:instrText xml:space="preserve"> PAGEREF _Toc1752427850 \h </w:instrText>
          </w:r>
          <w:r>
            <w:fldChar w:fldCharType="separate"/>
          </w:r>
          <w:r>
            <w:t>21</w:t>
          </w:r>
          <w:r>
            <w:fldChar w:fldCharType="end"/>
          </w:r>
          <w:r>
            <w:fldChar w:fldCharType="end"/>
          </w:r>
        </w:p>
        <w:p w14:paraId="53639D75">
          <w:pPr>
            <w:pStyle w:val="6"/>
            <w:tabs>
              <w:tab w:val="right" w:leader="dot" w:pos="8305"/>
            </w:tabs>
          </w:pPr>
          <w:r>
            <w:fldChar w:fldCharType="begin"/>
          </w:r>
          <w:r>
            <w:instrText xml:space="preserve"> HYPERLINK \l _Toc316656345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7</w:t>
          </w:r>
          <w:r>
            <w:rPr>
              <w:rFonts w:hint="eastAsia" w:ascii="宋体" w:hAnsi="宋体" w:cs="宋体"/>
              <w:snapToGrid w:val="0"/>
              <w:szCs w:val="24"/>
              <w:lang w:val="en-US" w:eastAsia="en-US" w:bidi="ar-SA"/>
            </w:rPr>
            <w:t>.</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业务流程与成效</w:t>
          </w:r>
          <w:r>
            <w:tab/>
          </w:r>
          <w:r>
            <w:fldChar w:fldCharType="begin"/>
          </w:r>
          <w:r>
            <w:instrText xml:space="preserve"> PAGEREF _Toc316656345 \h </w:instrText>
          </w:r>
          <w:r>
            <w:fldChar w:fldCharType="separate"/>
          </w:r>
          <w:r>
            <w:t>22</w:t>
          </w:r>
          <w:r>
            <w:fldChar w:fldCharType="end"/>
          </w:r>
          <w:r>
            <w:fldChar w:fldCharType="end"/>
          </w:r>
        </w:p>
        <w:p w14:paraId="19FF96CF">
          <w:pPr>
            <w:pStyle w:val="10"/>
            <w:tabs>
              <w:tab w:val="right" w:leader="dot" w:pos="8305"/>
            </w:tabs>
          </w:pPr>
          <w:r>
            <w:fldChar w:fldCharType="begin"/>
          </w:r>
          <w:r>
            <w:instrText xml:space="preserve"> HYPERLINK \l _Toc578713149 </w:instrText>
          </w:r>
          <w:r>
            <w:fldChar w:fldCharType="separate"/>
          </w:r>
          <w:r>
            <w:rPr>
              <w:rFonts w:hint="eastAsia" w:ascii="宋体" w:hAnsi="宋体" w:cs="宋体"/>
              <w:snapToGrid w:val="0"/>
              <w:szCs w:val="28"/>
              <w:lang w:val="en-US" w:eastAsia="zh-CN" w:bidi="ar-SA"/>
            </w:rPr>
            <w:t>四</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项目计划与预期成果</w:t>
          </w:r>
          <w:r>
            <w:tab/>
          </w:r>
          <w:r>
            <w:fldChar w:fldCharType="begin"/>
          </w:r>
          <w:r>
            <w:instrText xml:space="preserve"> PAGEREF _Toc578713149 \h </w:instrText>
          </w:r>
          <w:r>
            <w:fldChar w:fldCharType="separate"/>
          </w:r>
          <w:r>
            <w:t>23</w:t>
          </w:r>
          <w:r>
            <w:fldChar w:fldCharType="end"/>
          </w:r>
          <w:r>
            <w:fldChar w:fldCharType="end"/>
          </w:r>
        </w:p>
        <w:p w14:paraId="576EB8AE">
          <w:pPr>
            <w:pStyle w:val="11"/>
            <w:tabs>
              <w:tab w:val="right" w:leader="dot" w:pos="8305"/>
            </w:tabs>
          </w:pPr>
          <w:r>
            <w:fldChar w:fldCharType="begin"/>
          </w:r>
          <w:r>
            <w:instrText xml:space="preserve"> HYPERLINK \l _Toc478457980 </w:instrText>
          </w:r>
          <w:r>
            <w:fldChar w:fldCharType="separate"/>
          </w:r>
          <w:r>
            <w:rPr>
              <w:rFonts w:hint="eastAsia" w:ascii="宋体" w:hAnsi="宋体" w:cs="宋体"/>
              <w:snapToGrid w:val="0"/>
              <w:szCs w:val="28"/>
              <w:lang w:val="en-US" w:eastAsia="zh-CN" w:bidi="ar-SA"/>
            </w:rPr>
            <w:t>4.1 工作安排</w:t>
          </w:r>
          <w:r>
            <w:tab/>
          </w:r>
          <w:r>
            <w:fldChar w:fldCharType="begin"/>
          </w:r>
          <w:r>
            <w:instrText xml:space="preserve"> PAGEREF _Toc478457980 \h </w:instrText>
          </w:r>
          <w:r>
            <w:fldChar w:fldCharType="separate"/>
          </w:r>
          <w:r>
            <w:t>23</w:t>
          </w:r>
          <w:r>
            <w:fldChar w:fldCharType="end"/>
          </w:r>
          <w:r>
            <w:fldChar w:fldCharType="end"/>
          </w:r>
        </w:p>
        <w:p w14:paraId="2EB1F935">
          <w:pPr>
            <w:pStyle w:val="11"/>
            <w:tabs>
              <w:tab w:val="right" w:leader="dot" w:pos="8305"/>
            </w:tabs>
          </w:pPr>
          <w:r>
            <w:fldChar w:fldCharType="begin"/>
          </w:r>
          <w:r>
            <w:instrText xml:space="preserve"> HYPERLINK \l _Toc1264495492 </w:instrText>
          </w:r>
          <w:r>
            <w:fldChar w:fldCharType="separate"/>
          </w:r>
          <w:r>
            <w:rPr>
              <w:rFonts w:hint="eastAsia" w:ascii="宋体" w:hAnsi="宋体" w:cs="宋体"/>
              <w:snapToGrid w:val="0"/>
              <w:szCs w:val="28"/>
              <w:lang w:val="en-US" w:eastAsia="zh-CN" w:bidi="ar-SA"/>
            </w:rPr>
            <w:t>4.2 预期成果</w:t>
          </w:r>
          <w:r>
            <w:tab/>
          </w:r>
          <w:r>
            <w:fldChar w:fldCharType="begin"/>
          </w:r>
          <w:r>
            <w:instrText xml:space="preserve"> PAGEREF _Toc1264495492 \h </w:instrText>
          </w:r>
          <w:r>
            <w:fldChar w:fldCharType="separate"/>
          </w:r>
          <w:r>
            <w:t>24</w:t>
          </w:r>
          <w:r>
            <w:fldChar w:fldCharType="end"/>
          </w:r>
          <w:r>
            <w:fldChar w:fldCharType="end"/>
          </w:r>
        </w:p>
        <w:p w14:paraId="63A8EC1D">
          <w:pPr>
            <w:sectPr>
              <w:headerReference r:id="rId4" w:type="default"/>
              <w:pgSz w:w="11905" w:h="16840"/>
              <w:cols w:space="720" w:num="1"/>
            </w:sectPr>
          </w:pPr>
          <w:r>
            <w:fldChar w:fldCharType="end"/>
          </w:r>
        </w:p>
      </w:sdtContent>
    </w:sdt>
    <w:p w14:paraId="59ED939D"/>
    <w:bookmarkEnd w:id="2"/>
    <w:p w14:paraId="68DB3796">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eastAsia" w:ascii="宋体" w:hAnsi="宋体" w:eastAsia="宋体" w:cs="宋体"/>
          <w:b/>
          <w:snapToGrid w:val="0"/>
          <w:color w:val="000000"/>
          <w:sz w:val="28"/>
          <w:szCs w:val="28"/>
          <w:lang w:val="en-US" w:eastAsia="zh-CN" w:bidi="ar-SA"/>
        </w:rPr>
      </w:pPr>
      <w:bookmarkStart w:id="3" w:name="_Toc1380844355"/>
      <w:r>
        <w:rPr>
          <w:rFonts w:hint="eastAsia" w:ascii="宋体" w:hAnsi="宋体" w:eastAsia="宋体" w:cs="宋体"/>
          <w:b/>
          <w:snapToGrid w:val="0"/>
          <w:color w:val="000000"/>
          <w:sz w:val="28"/>
          <w:szCs w:val="28"/>
          <w:lang w:val="en-US" w:eastAsia="zh-CN" w:bidi="ar-SA"/>
        </w:rPr>
        <w:t>一、项目概述</w:t>
      </w:r>
      <w:bookmarkEnd w:id="3"/>
    </w:p>
    <w:p w14:paraId="5B4C3231">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eastAsia="宋体" w:cs="宋体"/>
          <w:b/>
          <w:snapToGrid w:val="0"/>
          <w:color w:val="000000"/>
          <w:sz w:val="28"/>
          <w:szCs w:val="28"/>
          <w:lang w:val="en-US" w:eastAsia="en-US" w:bidi="ar-SA"/>
        </w:rPr>
      </w:pPr>
      <w:bookmarkStart w:id="4" w:name="_Toc2142785003"/>
      <w:r>
        <w:rPr>
          <w:rFonts w:hint="eastAsia" w:ascii="宋体" w:hAnsi="宋体" w:eastAsia="宋体" w:cs="宋体"/>
          <w:b/>
          <w:snapToGrid w:val="0"/>
          <w:color w:val="000000"/>
          <w:sz w:val="28"/>
          <w:szCs w:val="28"/>
          <w:lang w:val="en-US" w:eastAsia="en-US" w:bidi="ar-SA"/>
        </w:rPr>
        <w:t>1.1 项目背景</w:t>
      </w:r>
      <w:bookmarkEnd w:id="4"/>
    </w:p>
    <w:p w14:paraId="47288FD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浦江网联试验室二期已形成委托任务系统和试验室管理系统，具备委托登记、任务下达、数据录入、检测结果输出、报告审核及签发等业务流转基础，同时围绕试验设备接入、行业知识查询、文档识别和模型应用开展了相关建设。二期成果为试验室内部业务办理、基础信息维护和智能应用提供了支撑。</w:t>
      </w:r>
    </w:p>
    <w:p w14:paraId="298B9A3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随着二期系统持续投入使用，后续建设需要从基础能力建设转向具体业务环节的深化应用。对于委托登记，需要将服务入口延伸至委托单位和委托人；对于样品流转，需要将样品交接与运输过程同正式任务关联；对于现场试验，需要将已有设备接入经验拓展至其他试验室和其他设备，并进一步完善现场原始记录的形成方式；对于报告编制，需要从常规检测报告的自动输出，深化至多章节、多图表、包含计算过程和专业分析的复杂报告文档编制。</w:t>
      </w:r>
    </w:p>
    <w:p w14:paraId="008C1B8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与此同时，桥梁专项检测、配合比设计等业务对专业依据、历史案例、报告表达和分析能力提出了更具体的要求。三期在二期行业知识库基础上，补充桥梁病害与评定、养护维修、配合比试配与调整、首批管道检测及复杂报告编审资料；利用经专业人员确认的报告和修订样本，开展资料理解、专项分析、报告总结、意见修订及技术建议等任务的模型深化训练。模型训练和能力提升后的应用需要更多算力，因此同步升级浦江内部服务器设施，提高算力能力，并配套必要的存储、网络和运行保障条件。</w:t>
      </w:r>
    </w:p>
    <w:p w14:paraId="46473F3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因此，三期不再按照若干独立软件模块组织建设，而是以“委托申请—受理登记—样品交接与运输—试验执行—原始记录形成—数据复核—复杂报告编制—审核签发—成果交付与历史复用”的业务过程为主线，明确各环节的拓展内容、使用方式和业务效果。二期已有功能继续承担基础职责，三期新增和深化能力沿同一委托任务、样品和检测项目连续衔接。</w:t>
      </w:r>
    </w:p>
    <w:p w14:paraId="1F83BA47">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5" w:name="_Toc486785231"/>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2</w:t>
      </w:r>
      <w:r>
        <w:rPr>
          <w:rFonts w:hint="eastAsia" w:ascii="宋体" w:hAnsi="宋体" w:eastAsia="宋体" w:cs="宋体"/>
          <w:b/>
          <w:snapToGrid w:val="0"/>
          <w:color w:val="000000"/>
          <w:sz w:val="28"/>
          <w:szCs w:val="28"/>
          <w:lang w:val="en-US" w:eastAsia="en-US" w:bidi="ar-SA"/>
        </w:rPr>
        <w:t xml:space="preserve"> 项目</w:t>
      </w:r>
      <w:r>
        <w:rPr>
          <w:rFonts w:hint="eastAsia" w:ascii="宋体" w:hAnsi="宋体" w:cs="宋体"/>
          <w:b/>
          <w:snapToGrid w:val="0"/>
          <w:color w:val="000000"/>
          <w:sz w:val="28"/>
          <w:szCs w:val="28"/>
          <w:lang w:val="en-US" w:eastAsia="zh-CN" w:bidi="ar-SA"/>
        </w:rPr>
        <w:t>现状</w:t>
      </w:r>
      <w:bookmarkEnd w:id="5"/>
    </w:p>
    <w:p w14:paraId="1D8D7C4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6" w:name="_Toc1634165994"/>
      <w:r>
        <w:rPr>
          <w:rFonts w:hint="eastAsia" w:ascii="宋体" w:hAnsi="宋体" w:cs="宋体"/>
          <w:b/>
          <w:snapToGrid w:val="0"/>
          <w:color w:val="000000"/>
          <w:sz w:val="24"/>
          <w:szCs w:val="24"/>
          <w:lang w:val="en-US" w:eastAsia="zh-CN" w:bidi="ar-SA"/>
        </w:rPr>
        <w:t>1.2.1 二期已建成果与业务基础</w:t>
      </w:r>
      <w:bookmarkEnd w:id="6"/>
    </w:p>
    <w:p w14:paraId="2B10AF3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二期已建立委托任务系统和试验室管理系统，围绕内部业务流转、试验室基础信息管理、已纳入范围的设备数据采集以及检测行业知识和模型应用形成了相应能力。现有成果为三期扩大应用范围、深化现场作业和提升复杂报告编制能力提供了基础。</w:t>
      </w:r>
    </w:p>
    <w:p w14:paraId="749AA4C5">
      <w:pPr>
        <w:bidi w:val="0"/>
        <w:rPr>
          <w:rFonts w:hint="eastAsia"/>
          <w:lang w:val="en-US" w:eastAsia="zh-CN"/>
        </w:rPr>
      </w:pP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03"/>
        <w:gridCol w:w="3257"/>
        <w:gridCol w:w="2985"/>
      </w:tblGrid>
      <w:tr w14:paraId="34287036">
        <w:trPr>
          <w:cantSplit/>
          <w:jc w:val="center"/>
        </w:trPr>
        <w:tc>
          <w:tcPr>
            <w:tcW w:w="0" w:type="auto"/>
            <w:shd w:val="clear" w:color="auto" w:fill="17365D"/>
            <w:tcMar>
              <w:top w:w="100" w:type="dxa"/>
              <w:left w:w="120" w:type="dxa"/>
              <w:bottom w:w="100" w:type="dxa"/>
              <w:right w:w="120" w:type="dxa"/>
            </w:tcMar>
            <w:vAlign w:val="center"/>
          </w:tcPr>
          <w:p w14:paraId="193682A5">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现有基础</w:t>
            </w:r>
          </w:p>
        </w:tc>
        <w:tc>
          <w:tcPr>
            <w:tcW w:w="0" w:type="auto"/>
            <w:shd w:val="clear" w:color="auto" w:fill="17365D"/>
            <w:tcMar>
              <w:top w:w="100" w:type="dxa"/>
              <w:left w:w="120" w:type="dxa"/>
              <w:bottom w:w="100" w:type="dxa"/>
              <w:right w:w="120" w:type="dxa"/>
            </w:tcMar>
            <w:vAlign w:val="center"/>
          </w:tcPr>
          <w:p w14:paraId="30F069CD">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已有能力</w:t>
            </w:r>
          </w:p>
        </w:tc>
        <w:tc>
          <w:tcPr>
            <w:tcW w:w="0" w:type="auto"/>
            <w:shd w:val="clear" w:color="auto" w:fill="17365D"/>
            <w:tcMar>
              <w:top w:w="100" w:type="dxa"/>
              <w:left w:w="120" w:type="dxa"/>
              <w:bottom w:w="100" w:type="dxa"/>
              <w:right w:w="120" w:type="dxa"/>
            </w:tcMar>
            <w:vAlign w:val="center"/>
          </w:tcPr>
          <w:p w14:paraId="2DC5D7FE">
            <w:pPr>
              <w:spacing w:before="0" w:after="0" w:line="269" w:lineRule="auto"/>
              <w:jc w:val="center"/>
              <w:rPr>
                <w:rFonts w:hint="default" w:ascii="宋体" w:hAnsi="宋体" w:eastAsia="宋体" w:cs="宋体"/>
                <w:lang w:val="en-US" w:eastAsia="zh-CN"/>
              </w:rPr>
            </w:pPr>
            <w:r>
              <w:rPr>
                <w:rFonts w:hint="eastAsia"/>
              </w:rPr>
              <w:t>为后续深化提供的基础</w:t>
            </w:r>
          </w:p>
        </w:tc>
      </w:tr>
      <w:tr w14:paraId="40928286">
        <w:trPr>
          <w:cantSplit/>
          <w:trHeight w:val="587" w:hRule="atLeast"/>
          <w:jc w:val="center"/>
        </w:trPr>
        <w:tc>
          <w:tcPr>
            <w:tcW w:w="0" w:type="auto"/>
            <w:tcMar>
              <w:top w:w="100" w:type="dxa"/>
              <w:left w:w="120" w:type="dxa"/>
              <w:bottom w:w="100" w:type="dxa"/>
              <w:right w:w="120" w:type="dxa"/>
            </w:tcMar>
            <w:vAlign w:val="center"/>
          </w:tcPr>
          <w:p w14:paraId="57156EA9">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委托任务系统</w:t>
            </w:r>
          </w:p>
        </w:tc>
        <w:tc>
          <w:tcPr>
            <w:tcW w:w="0" w:type="auto"/>
            <w:tcMar>
              <w:top w:w="100" w:type="dxa"/>
              <w:left w:w="120" w:type="dxa"/>
              <w:bottom w:w="100" w:type="dxa"/>
              <w:right w:w="120" w:type="dxa"/>
            </w:tcMar>
            <w:vAlign w:val="center"/>
          </w:tcPr>
          <w:p w14:paraId="2FAEC8BB">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支持委托登记、样品管理、任务下达、数据录入、检测结果输出、审核及签发等内部业务办理</w:t>
            </w:r>
          </w:p>
        </w:tc>
        <w:tc>
          <w:tcPr>
            <w:tcW w:w="0" w:type="auto"/>
            <w:tcMar>
              <w:top w:w="100" w:type="dxa"/>
              <w:left w:w="120" w:type="dxa"/>
              <w:bottom w:w="100" w:type="dxa"/>
              <w:right w:w="120" w:type="dxa"/>
            </w:tcMar>
            <w:vAlign w:val="center"/>
          </w:tcPr>
          <w:p w14:paraId="48FB8498">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已有正式委托、样品和任务之间的关联关系，新增能力可以沿既有业务流程衔接</w:t>
            </w:r>
          </w:p>
        </w:tc>
      </w:tr>
      <w:tr w14:paraId="4076A157">
        <w:trPr>
          <w:cantSplit/>
          <w:jc w:val="center"/>
        </w:trPr>
        <w:tc>
          <w:tcPr>
            <w:tcW w:w="0" w:type="auto"/>
            <w:shd w:val="clear" w:color="auto" w:fill="F5F9FC"/>
            <w:tcMar>
              <w:top w:w="100" w:type="dxa"/>
              <w:left w:w="120" w:type="dxa"/>
              <w:bottom w:w="100" w:type="dxa"/>
              <w:right w:w="120" w:type="dxa"/>
            </w:tcMar>
            <w:vAlign w:val="center"/>
          </w:tcPr>
          <w:p w14:paraId="671DA4AC">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试验室管理系统</w:t>
            </w:r>
          </w:p>
        </w:tc>
        <w:tc>
          <w:tcPr>
            <w:tcW w:w="0" w:type="auto"/>
            <w:shd w:val="clear" w:color="auto" w:fill="F5F9FC"/>
            <w:tcMar>
              <w:top w:w="100" w:type="dxa"/>
              <w:left w:w="120" w:type="dxa"/>
              <w:bottom w:w="100" w:type="dxa"/>
              <w:right w:w="120" w:type="dxa"/>
            </w:tcMar>
            <w:vAlign w:val="center"/>
          </w:tcPr>
          <w:p w14:paraId="4DC980F6">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支持试验室数字孪生展示，以及人员、设备、规范文档等基础信息的维护管理</w:t>
            </w:r>
          </w:p>
        </w:tc>
        <w:tc>
          <w:tcPr>
            <w:tcW w:w="0" w:type="auto"/>
            <w:shd w:val="clear" w:color="auto" w:fill="F5F9FC"/>
            <w:tcMar>
              <w:top w:w="100" w:type="dxa"/>
              <w:left w:w="120" w:type="dxa"/>
              <w:bottom w:w="100" w:type="dxa"/>
              <w:right w:w="120" w:type="dxa"/>
            </w:tcMar>
            <w:vAlign w:val="center"/>
          </w:tcPr>
          <w:p w14:paraId="2D6CEF3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已有统一的试验室、人员、设备和规范资料，为扩大现场应用范围提供基础对象</w:t>
            </w:r>
          </w:p>
        </w:tc>
      </w:tr>
      <w:tr w14:paraId="0825A890">
        <w:trPr>
          <w:cantSplit/>
          <w:jc w:val="center"/>
        </w:trPr>
        <w:tc>
          <w:tcPr>
            <w:tcW w:w="0" w:type="auto"/>
            <w:tcMar>
              <w:top w:w="100" w:type="dxa"/>
              <w:left w:w="120" w:type="dxa"/>
              <w:bottom w:w="100" w:type="dxa"/>
              <w:right w:w="120" w:type="dxa"/>
            </w:tcMar>
            <w:vAlign w:val="center"/>
          </w:tcPr>
          <w:p w14:paraId="09856641">
            <w:pPr>
              <w:spacing w:before="0" w:after="0" w:line="269" w:lineRule="auto"/>
              <w:jc w:val="left"/>
              <w:rPr>
                <w:rFonts w:hint="default" w:ascii="宋体" w:hAnsi="宋体" w:eastAsia="宋体" w:cs="宋体"/>
                <w:color w:val="000000"/>
                <w:sz w:val="18"/>
                <w:lang w:val="en-US" w:eastAsia="zh-CN"/>
              </w:rPr>
            </w:pPr>
            <w:r>
              <w:rPr>
                <w:rFonts w:hint="eastAsia" w:ascii="宋体" w:hAnsi="宋体" w:cs="宋体"/>
                <w:color w:val="000000"/>
                <w:sz w:val="18"/>
                <w:lang w:val="en-US" w:eastAsia="zh-CN"/>
              </w:rPr>
              <w:t>已完成四台</w:t>
            </w:r>
            <w:r>
              <w:rPr>
                <w:rFonts w:hint="eastAsia" w:ascii="宋体" w:hAnsi="宋体" w:eastAsia="宋体" w:cs="宋体"/>
                <w:color w:val="000000"/>
                <w:sz w:val="18"/>
                <w:lang w:val="en-US" w:eastAsia="zh-CN"/>
              </w:rPr>
              <w:t>设备</w:t>
            </w:r>
            <w:r>
              <w:rPr>
                <w:rFonts w:hint="eastAsia" w:ascii="宋体" w:hAnsi="宋体" w:cs="宋体"/>
                <w:color w:val="000000"/>
                <w:sz w:val="18"/>
                <w:lang w:val="en-US" w:eastAsia="zh-CN"/>
              </w:rPr>
              <w:t>的</w:t>
            </w:r>
            <w:r>
              <w:rPr>
                <w:rFonts w:hint="eastAsia" w:ascii="宋体" w:hAnsi="宋体" w:eastAsia="宋体" w:cs="宋体"/>
                <w:color w:val="000000"/>
                <w:sz w:val="18"/>
                <w:lang w:val="en-US" w:eastAsia="zh-CN"/>
              </w:rPr>
              <w:t>网联</w:t>
            </w:r>
            <w:r>
              <w:rPr>
                <w:rFonts w:hint="eastAsia" w:ascii="宋体" w:hAnsi="宋体" w:cs="宋体"/>
                <w:color w:val="000000"/>
                <w:sz w:val="18"/>
                <w:lang w:val="en-US" w:eastAsia="zh-CN"/>
              </w:rPr>
              <w:t>改造</w:t>
            </w:r>
            <w:r>
              <w:rPr>
                <w:rFonts w:hint="eastAsia" w:ascii="宋体" w:hAnsi="宋体" w:eastAsia="宋体" w:cs="宋体"/>
                <w:color w:val="000000"/>
                <w:sz w:val="18"/>
                <w:lang w:val="en-US" w:eastAsia="zh-CN"/>
              </w:rPr>
              <w:t>与数据采集</w:t>
            </w:r>
          </w:p>
        </w:tc>
        <w:tc>
          <w:tcPr>
            <w:tcW w:w="0" w:type="auto"/>
            <w:tcMar>
              <w:top w:w="100" w:type="dxa"/>
              <w:left w:w="120" w:type="dxa"/>
              <w:bottom w:w="100" w:type="dxa"/>
              <w:right w:w="120" w:type="dxa"/>
            </w:tcMar>
            <w:vAlign w:val="center"/>
          </w:tcPr>
          <w:p w14:paraId="333B8B4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支持已接入设备的数据获取，并与相应试验业务衔接</w:t>
            </w:r>
          </w:p>
        </w:tc>
        <w:tc>
          <w:tcPr>
            <w:tcW w:w="0" w:type="auto"/>
            <w:tcMar>
              <w:top w:w="100" w:type="dxa"/>
              <w:left w:w="120" w:type="dxa"/>
              <w:bottom w:w="100" w:type="dxa"/>
              <w:right w:w="120" w:type="dxa"/>
            </w:tcMar>
            <w:vAlign w:val="center"/>
          </w:tcPr>
          <w:p w14:paraId="49410D3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已有设备接入和数据处理经验，可以复用于其他试验室、设备型号及检测项目</w:t>
            </w:r>
          </w:p>
        </w:tc>
      </w:tr>
      <w:tr w14:paraId="2BAA0D19">
        <w:trPr>
          <w:cantSplit/>
          <w:jc w:val="center"/>
        </w:trPr>
        <w:tc>
          <w:tcPr>
            <w:tcW w:w="0" w:type="auto"/>
            <w:shd w:val="clear" w:color="auto" w:fill="F5F9FC"/>
            <w:tcMar>
              <w:top w:w="100" w:type="dxa"/>
              <w:left w:w="120" w:type="dxa"/>
              <w:bottom w:w="100" w:type="dxa"/>
              <w:right w:w="120" w:type="dxa"/>
            </w:tcMar>
            <w:vAlign w:val="center"/>
          </w:tcPr>
          <w:p w14:paraId="0AB2D67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原始记录识别录入与</w:t>
            </w:r>
            <w:r>
              <w:rPr>
                <w:rFonts w:hint="eastAsia" w:ascii="宋体" w:hAnsi="宋体" w:cs="宋体"/>
                <w:color w:val="000000"/>
                <w:sz w:val="18"/>
                <w:lang w:val="en-US" w:eastAsia="zh-CN"/>
              </w:rPr>
              <w:t>常规</w:t>
            </w:r>
            <w:r>
              <w:rPr>
                <w:rFonts w:hint="eastAsia" w:ascii="宋体" w:hAnsi="宋体" w:eastAsia="宋体" w:cs="宋体"/>
                <w:color w:val="000000"/>
                <w:sz w:val="18"/>
                <w:lang w:val="en-US" w:eastAsia="zh-CN"/>
              </w:rPr>
              <w:t>检测结果输出能力</w:t>
            </w:r>
          </w:p>
        </w:tc>
        <w:tc>
          <w:tcPr>
            <w:tcW w:w="0" w:type="auto"/>
            <w:shd w:val="clear" w:color="auto" w:fill="F5F9FC"/>
            <w:tcMar>
              <w:top w:w="100" w:type="dxa"/>
              <w:left w:w="120" w:type="dxa"/>
              <w:bottom w:w="100" w:type="dxa"/>
              <w:right w:w="120" w:type="dxa"/>
            </w:tcMar>
            <w:vAlign w:val="center"/>
          </w:tcPr>
          <w:p w14:paraId="19D6C13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具备原始记录识别、数据录入及检测结果表等输出基础</w:t>
            </w:r>
          </w:p>
        </w:tc>
        <w:tc>
          <w:tcPr>
            <w:tcW w:w="0" w:type="auto"/>
            <w:shd w:val="clear" w:color="auto" w:fill="F5F9FC"/>
            <w:tcMar>
              <w:top w:w="100" w:type="dxa"/>
              <w:left w:w="120" w:type="dxa"/>
              <w:bottom w:w="100" w:type="dxa"/>
              <w:right w:w="120" w:type="dxa"/>
            </w:tcMar>
            <w:vAlign w:val="center"/>
          </w:tcPr>
          <w:p w14:paraId="5B4DFCB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已有记录模板、数据字段和成果输出规则，为现场电子记录及复杂文档编制提供基础</w:t>
            </w:r>
          </w:p>
        </w:tc>
      </w:tr>
      <w:tr w14:paraId="2A269A5C">
        <w:trPr>
          <w:cantSplit/>
          <w:jc w:val="center"/>
        </w:trPr>
        <w:tc>
          <w:tcPr>
            <w:tcW w:w="0" w:type="auto"/>
            <w:shd w:val="clear" w:color="auto" w:fill="F5F9FC"/>
            <w:tcMar>
              <w:top w:w="100" w:type="dxa"/>
              <w:left w:w="120" w:type="dxa"/>
              <w:bottom w:w="100" w:type="dxa"/>
              <w:right w:w="120" w:type="dxa"/>
            </w:tcMar>
            <w:vAlign w:val="center"/>
          </w:tcPr>
          <w:p w14:paraId="61CE6BA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检测行业知识库与模型</w:t>
            </w:r>
            <w:r>
              <w:rPr>
                <w:rFonts w:hint="eastAsia" w:ascii="宋体" w:hAnsi="宋体" w:cs="宋体"/>
                <w:color w:val="000000"/>
                <w:sz w:val="18"/>
                <w:lang w:val="en-US" w:eastAsia="zh-CN"/>
              </w:rPr>
              <w:t>基础</w:t>
            </w:r>
            <w:r>
              <w:rPr>
                <w:rFonts w:hint="eastAsia" w:ascii="宋体" w:hAnsi="宋体" w:eastAsia="宋体" w:cs="宋体"/>
                <w:color w:val="000000"/>
                <w:sz w:val="18"/>
                <w:lang w:val="en-US" w:eastAsia="zh-CN"/>
              </w:rPr>
              <w:t>应用能力</w:t>
            </w:r>
            <w:r>
              <w:rPr>
                <w:rFonts w:hint="eastAsia" w:ascii="宋体" w:hAnsi="宋体" w:cs="宋体"/>
                <w:color w:val="000000"/>
                <w:sz w:val="18"/>
                <w:lang w:val="en-US" w:eastAsia="zh-CN"/>
              </w:rPr>
              <w:t>（知识问答、智能查询）</w:t>
            </w:r>
          </w:p>
        </w:tc>
        <w:tc>
          <w:tcPr>
            <w:tcW w:w="0" w:type="auto"/>
            <w:shd w:val="clear" w:color="auto" w:fill="F5F9FC"/>
            <w:tcMar>
              <w:top w:w="100" w:type="dxa"/>
              <w:left w:w="120" w:type="dxa"/>
              <w:bottom w:w="100" w:type="dxa"/>
              <w:right w:w="120" w:type="dxa"/>
            </w:tcMar>
            <w:vAlign w:val="center"/>
          </w:tcPr>
          <w:p w14:paraId="603F6E5C">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支持检测行业知识查询及相关智能应用</w:t>
            </w:r>
          </w:p>
        </w:tc>
        <w:tc>
          <w:tcPr>
            <w:tcW w:w="0" w:type="auto"/>
            <w:shd w:val="clear" w:color="auto" w:fill="F5F9FC"/>
            <w:tcMar>
              <w:top w:w="100" w:type="dxa"/>
              <w:left w:w="120" w:type="dxa"/>
              <w:bottom w:w="100" w:type="dxa"/>
              <w:right w:w="120" w:type="dxa"/>
            </w:tcMar>
            <w:vAlign w:val="center"/>
          </w:tcPr>
          <w:p w14:paraId="049AB3C8">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已有知识管理和模型应用基础，可以继续补充专项知识、报告案例及专业分析样本</w:t>
            </w:r>
          </w:p>
        </w:tc>
      </w:tr>
      <w:tr w14:paraId="15A30E24">
        <w:trPr>
          <w:cantSplit/>
          <w:jc w:val="center"/>
        </w:trPr>
        <w:tc>
          <w:tcPr>
            <w:tcW w:w="0" w:type="auto"/>
            <w:shd w:val="clear" w:color="auto" w:fill="F5F9FC"/>
            <w:tcMar>
              <w:top w:w="100" w:type="dxa"/>
              <w:left w:w="120" w:type="dxa"/>
              <w:bottom w:w="100" w:type="dxa"/>
              <w:right w:w="120" w:type="dxa"/>
            </w:tcMar>
            <w:vAlign w:val="center"/>
          </w:tcPr>
          <w:p w14:paraId="19EE2173">
            <w:pPr>
              <w:spacing w:before="0" w:after="0" w:line="269" w:lineRule="auto"/>
              <w:jc w:val="left"/>
              <w:rPr>
                <w:rFonts w:hint="eastAsia" w:ascii="宋体" w:hAnsi="宋体" w:eastAsia="宋体" w:cs="宋体"/>
                <w:color w:val="000000"/>
                <w:sz w:val="18"/>
                <w:lang w:val="en-US" w:eastAsia="zh-CN"/>
              </w:rPr>
            </w:pPr>
            <w:r>
              <w:rPr>
                <w:rFonts w:hint="eastAsia" w:ascii="宋体" w:hAnsi="宋体" w:cs="宋体"/>
                <w:color w:val="000000"/>
                <w:sz w:val="18"/>
                <w:lang w:val="en-US" w:eastAsia="zh-CN"/>
              </w:rPr>
              <w:t>基础</w:t>
            </w:r>
            <w:r>
              <w:rPr>
                <w:rFonts w:hint="eastAsia" w:ascii="宋体" w:hAnsi="宋体" w:eastAsia="宋体" w:cs="宋体"/>
                <w:color w:val="000000"/>
                <w:sz w:val="18"/>
                <w:lang w:val="en-US" w:eastAsia="zh-CN"/>
              </w:rPr>
              <w:t>业务运行环境与</w:t>
            </w:r>
            <w:r>
              <w:rPr>
                <w:rFonts w:hint="eastAsia" w:ascii="宋体" w:hAnsi="宋体" w:cs="宋体"/>
                <w:color w:val="000000"/>
                <w:sz w:val="18"/>
                <w:lang w:val="en-US" w:eastAsia="zh-CN"/>
              </w:rPr>
              <w:t>常规</w:t>
            </w:r>
            <w:r>
              <w:rPr>
                <w:rFonts w:hint="eastAsia" w:ascii="宋体" w:hAnsi="宋体" w:eastAsia="宋体" w:cs="宋体"/>
                <w:color w:val="000000"/>
                <w:sz w:val="18"/>
                <w:lang w:val="en-US" w:eastAsia="zh-CN"/>
              </w:rPr>
              <w:t>服务器设施</w:t>
            </w:r>
          </w:p>
        </w:tc>
        <w:tc>
          <w:tcPr>
            <w:tcW w:w="0" w:type="auto"/>
            <w:shd w:val="clear" w:color="auto" w:fill="F5F9FC"/>
            <w:tcMar>
              <w:top w:w="100" w:type="dxa"/>
              <w:left w:w="120" w:type="dxa"/>
              <w:bottom w:w="100" w:type="dxa"/>
              <w:right w:w="120" w:type="dxa"/>
            </w:tcMar>
            <w:vAlign w:val="center"/>
          </w:tcPr>
          <w:p w14:paraId="4BC0C7C5">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为现有系统和相关应用提供运行支撑</w:t>
            </w:r>
          </w:p>
        </w:tc>
        <w:tc>
          <w:tcPr>
            <w:tcW w:w="0" w:type="auto"/>
            <w:shd w:val="clear" w:color="auto" w:fill="F5F9FC"/>
            <w:tcMar>
              <w:top w:w="100" w:type="dxa"/>
              <w:left w:w="120" w:type="dxa"/>
              <w:bottom w:w="100" w:type="dxa"/>
              <w:right w:w="120" w:type="dxa"/>
            </w:tcMar>
            <w:vAlign w:val="center"/>
          </w:tcPr>
          <w:p w14:paraId="36E23A7D">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已有可复用的计算、存储、网络及部署条件，可根据新增业务负载进行扩展</w:t>
            </w:r>
          </w:p>
        </w:tc>
      </w:tr>
    </w:tbl>
    <w:p w14:paraId="12C08C38">
      <w:pPr>
        <w:spacing w:after="40"/>
        <w:rPr>
          <w:rFonts w:hint="eastAsia" w:ascii="宋体" w:hAnsi="宋体" w:eastAsia="宋体" w:cs="宋体"/>
        </w:rPr>
      </w:pPr>
    </w:p>
    <w:p w14:paraId="19445C36">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7" w:name="_Toc1259499675"/>
      <w:r>
        <w:rPr>
          <w:rFonts w:hint="eastAsia" w:ascii="宋体" w:hAnsi="宋体" w:cs="宋体"/>
          <w:b/>
          <w:snapToGrid w:val="0"/>
          <w:color w:val="000000"/>
          <w:sz w:val="24"/>
          <w:szCs w:val="24"/>
          <w:lang w:val="en-US" w:eastAsia="zh-CN" w:bidi="ar-SA"/>
        </w:rPr>
        <w:t>1.2.2 基于现有成果的业务深化需求</w:t>
      </w:r>
      <w:bookmarkEnd w:id="7"/>
    </w:p>
    <w:p w14:paraId="60E645C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在二期已有能力基础上，三期面向服务对象拓展、设备覆盖范围扩大、现场作业方式深化</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报告成果复杂度提升等需求开展建设。本期需要解决的是新增场景下的业务衔接和能力适配问题，而不是重复建设二期已经具备的内部流程、基础采集、知识查询和检测结果输出功能。</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483"/>
        <w:gridCol w:w="3438"/>
        <w:gridCol w:w="3624"/>
      </w:tblGrid>
      <w:tr w14:paraId="1516114F">
        <w:trPr>
          <w:cantSplit/>
          <w:jc w:val="center"/>
        </w:trPr>
        <w:tc>
          <w:tcPr>
            <w:tcW w:w="0" w:type="auto"/>
            <w:shd w:val="clear" w:color="auto" w:fill="17365D"/>
            <w:tcMar>
              <w:top w:w="100" w:type="dxa"/>
              <w:left w:w="120" w:type="dxa"/>
              <w:bottom w:w="100" w:type="dxa"/>
              <w:right w:w="120" w:type="dxa"/>
            </w:tcMar>
            <w:vAlign w:val="center"/>
          </w:tcPr>
          <w:p w14:paraId="1769C2AD">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进一步提升的业务需求</w:t>
            </w:r>
          </w:p>
        </w:tc>
        <w:tc>
          <w:tcPr>
            <w:tcW w:w="0" w:type="auto"/>
            <w:shd w:val="clear" w:color="auto" w:fill="17365D"/>
            <w:tcMar>
              <w:top w:w="100" w:type="dxa"/>
              <w:left w:w="120" w:type="dxa"/>
              <w:bottom w:w="100" w:type="dxa"/>
              <w:right w:w="120" w:type="dxa"/>
            </w:tcMar>
            <w:vAlign w:val="center"/>
          </w:tcPr>
          <w:p w14:paraId="59A04DF5">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新增场景或深化要求</w:t>
            </w:r>
          </w:p>
        </w:tc>
        <w:tc>
          <w:tcPr>
            <w:tcW w:w="0" w:type="auto"/>
            <w:shd w:val="clear" w:color="auto" w:fill="17365D"/>
            <w:tcMar>
              <w:top w:w="100" w:type="dxa"/>
              <w:left w:w="120" w:type="dxa"/>
              <w:bottom w:w="100" w:type="dxa"/>
              <w:right w:w="120" w:type="dxa"/>
            </w:tcMar>
            <w:vAlign w:val="center"/>
          </w:tcPr>
          <w:p w14:paraId="3977FB20">
            <w:pPr>
              <w:spacing w:before="0" w:after="0" w:line="269" w:lineRule="auto"/>
              <w:jc w:val="center"/>
              <w:rPr>
                <w:rFonts w:hint="default" w:ascii="宋体" w:hAnsi="宋体" w:eastAsia="宋体" w:cs="宋体"/>
                <w:lang w:val="en-US" w:eastAsia="zh-CN"/>
              </w:rPr>
            </w:pPr>
            <w:r>
              <w:rPr>
                <w:rFonts w:hint="eastAsia"/>
              </w:rPr>
              <w:t>对业务提出的要求</w:t>
            </w:r>
          </w:p>
        </w:tc>
      </w:tr>
      <w:tr w14:paraId="2215A843">
        <w:trPr>
          <w:cantSplit/>
          <w:trHeight w:val="587" w:hRule="atLeast"/>
          <w:jc w:val="center"/>
        </w:trPr>
        <w:tc>
          <w:tcPr>
            <w:tcW w:w="0" w:type="auto"/>
            <w:tcMar>
              <w:top w:w="100" w:type="dxa"/>
              <w:left w:w="120" w:type="dxa"/>
              <w:bottom w:w="100" w:type="dxa"/>
              <w:right w:w="120" w:type="dxa"/>
            </w:tcMar>
            <w:vAlign w:val="center"/>
          </w:tcPr>
          <w:p w14:paraId="09E135C5">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委托服务由线下办理向线上自主申请拓展</w:t>
            </w:r>
          </w:p>
        </w:tc>
        <w:tc>
          <w:tcPr>
            <w:tcW w:w="0" w:type="auto"/>
            <w:tcMar>
              <w:top w:w="100" w:type="dxa"/>
              <w:left w:w="120" w:type="dxa"/>
              <w:bottom w:w="100" w:type="dxa"/>
              <w:right w:w="120" w:type="dxa"/>
            </w:tcMar>
            <w:vAlign w:val="center"/>
          </w:tcPr>
          <w:p w14:paraId="1C767DC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在登记人员已有办理能力基础上，增加委托单位和委托人的远程申请渠道，支持同一工程下的多次委托</w:t>
            </w:r>
          </w:p>
        </w:tc>
        <w:tc>
          <w:tcPr>
            <w:tcW w:w="0" w:type="auto"/>
            <w:tcMar>
              <w:top w:w="100" w:type="dxa"/>
              <w:left w:w="120" w:type="dxa"/>
              <w:bottom w:w="100" w:type="dxa"/>
              <w:right w:w="120" w:type="dxa"/>
            </w:tcMar>
            <w:vAlign w:val="center"/>
          </w:tcPr>
          <w:p w14:paraId="295C826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外部申请资料需要与内部受理规则保持一致，并能够复用工程及常用信息，衔接正式委托任务</w:t>
            </w:r>
          </w:p>
        </w:tc>
      </w:tr>
      <w:tr w14:paraId="212B2EF5">
        <w:trPr>
          <w:cantSplit/>
          <w:jc w:val="center"/>
        </w:trPr>
        <w:tc>
          <w:tcPr>
            <w:tcW w:w="0" w:type="auto"/>
            <w:shd w:val="clear" w:color="auto" w:fill="F5F9FC"/>
            <w:tcMar>
              <w:top w:w="100" w:type="dxa"/>
              <w:left w:w="120" w:type="dxa"/>
              <w:bottom w:w="100" w:type="dxa"/>
              <w:right w:w="120" w:type="dxa"/>
            </w:tcMar>
            <w:vAlign w:val="center"/>
          </w:tcPr>
          <w:p w14:paraId="099D8ED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样品运输由人工搬运向机器人辅助运输转变</w:t>
            </w:r>
          </w:p>
        </w:tc>
        <w:tc>
          <w:tcPr>
            <w:tcW w:w="0" w:type="auto"/>
            <w:shd w:val="clear" w:color="auto" w:fill="F5F9FC"/>
            <w:tcMar>
              <w:top w:w="100" w:type="dxa"/>
              <w:left w:w="120" w:type="dxa"/>
              <w:bottom w:w="100" w:type="dxa"/>
              <w:right w:w="120" w:type="dxa"/>
            </w:tcMar>
            <w:vAlign w:val="center"/>
          </w:tcPr>
          <w:p w14:paraId="7F0309E2">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目前样品在接收、存放、制样及试验等区域之间由人员人工运输，尚未采用样品运输产品；三期拟在固定路线、适用样品场景中引入运输机器人</w:t>
            </w:r>
          </w:p>
        </w:tc>
        <w:tc>
          <w:tcPr>
            <w:tcW w:w="0" w:type="auto"/>
            <w:shd w:val="clear" w:color="auto" w:fill="F5F9FC"/>
            <w:tcMar>
              <w:top w:w="100" w:type="dxa"/>
              <w:left w:w="120" w:type="dxa"/>
              <w:bottom w:w="100" w:type="dxa"/>
              <w:right w:w="120" w:type="dxa"/>
            </w:tcMar>
            <w:vAlign w:val="center"/>
          </w:tcPr>
          <w:p w14:paraId="49E6B813">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在减少适用场景人工往返搬运的同时，需要将运输任务与二期样品信息关联，明确装载、送达及接收责任，并确认样品条件和现场通行条件</w:t>
            </w:r>
          </w:p>
        </w:tc>
      </w:tr>
      <w:tr w14:paraId="5F65D4B1">
        <w:trPr>
          <w:cantSplit/>
          <w:jc w:val="center"/>
        </w:trPr>
        <w:tc>
          <w:tcPr>
            <w:tcW w:w="0" w:type="auto"/>
            <w:tcMar>
              <w:top w:w="100" w:type="dxa"/>
              <w:left w:w="120" w:type="dxa"/>
              <w:bottom w:w="100" w:type="dxa"/>
              <w:right w:w="120" w:type="dxa"/>
            </w:tcMar>
            <w:vAlign w:val="center"/>
          </w:tcPr>
          <w:p w14:paraId="5A1262CE">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设备采集由已接入范围向其他试验</w:t>
            </w:r>
            <w:r>
              <w:rPr>
                <w:rFonts w:hint="eastAsia" w:ascii="宋体" w:hAnsi="宋体" w:cs="宋体"/>
                <w:color w:val="000000"/>
                <w:sz w:val="18"/>
                <w:lang w:val="en-US" w:eastAsia="zh-CN"/>
              </w:rPr>
              <w:t>设备</w:t>
            </w:r>
            <w:r>
              <w:rPr>
                <w:rFonts w:hint="eastAsia" w:ascii="宋体" w:hAnsi="宋体" w:eastAsia="宋体" w:cs="宋体"/>
                <w:color w:val="000000"/>
                <w:sz w:val="18"/>
                <w:lang w:val="en-US" w:eastAsia="zh-CN"/>
              </w:rPr>
              <w:t>拓展</w:t>
            </w:r>
          </w:p>
        </w:tc>
        <w:tc>
          <w:tcPr>
            <w:tcW w:w="0" w:type="auto"/>
            <w:tcMar>
              <w:top w:w="100" w:type="dxa"/>
              <w:left w:w="120" w:type="dxa"/>
              <w:bottom w:w="100" w:type="dxa"/>
              <w:right w:w="120" w:type="dxa"/>
            </w:tcMar>
            <w:vAlign w:val="center"/>
          </w:tcPr>
          <w:p w14:paraId="1762682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将已有采集能力应用于尚未纳入范围的设备型号及检测项目，各类设备的数据格式和试验字段存在差异</w:t>
            </w:r>
          </w:p>
        </w:tc>
        <w:tc>
          <w:tcPr>
            <w:tcW w:w="0" w:type="auto"/>
            <w:tcMar>
              <w:top w:w="100" w:type="dxa"/>
              <w:left w:w="120" w:type="dxa"/>
              <w:bottom w:w="100" w:type="dxa"/>
              <w:right w:w="120" w:type="dxa"/>
            </w:tcMar>
            <w:vAlign w:val="center"/>
          </w:tcPr>
          <w:p w14:paraId="1E0E642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新增设备需要逐项适配，并保证试验数据能够准确对应任务、样品、原始记录和录入字段</w:t>
            </w:r>
          </w:p>
        </w:tc>
      </w:tr>
      <w:tr w14:paraId="7EEF623B">
        <w:trPr>
          <w:cantSplit/>
          <w:jc w:val="center"/>
        </w:trPr>
        <w:tc>
          <w:tcPr>
            <w:tcW w:w="0" w:type="auto"/>
            <w:shd w:val="clear" w:color="auto" w:fill="F5F9FC"/>
            <w:tcMar>
              <w:top w:w="100" w:type="dxa"/>
              <w:left w:w="120" w:type="dxa"/>
              <w:bottom w:w="100" w:type="dxa"/>
              <w:right w:w="120" w:type="dxa"/>
            </w:tcMar>
            <w:vAlign w:val="center"/>
          </w:tcPr>
          <w:p w14:paraId="54FCACB6">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原始记录由纸质记录转为</w:t>
            </w:r>
            <w:r>
              <w:rPr>
                <w:rFonts w:hint="eastAsia" w:ascii="宋体" w:hAnsi="宋体" w:cs="宋体"/>
                <w:color w:val="000000"/>
                <w:sz w:val="18"/>
                <w:lang w:val="en-US" w:eastAsia="zh-CN"/>
              </w:rPr>
              <w:t>线上</w:t>
            </w:r>
            <w:r>
              <w:rPr>
                <w:rFonts w:hint="eastAsia" w:ascii="宋体" w:hAnsi="宋体" w:eastAsia="宋体" w:cs="宋体"/>
                <w:color w:val="000000"/>
                <w:sz w:val="18"/>
                <w:lang w:val="en-US" w:eastAsia="zh-CN"/>
              </w:rPr>
              <w:t>记录</w:t>
            </w:r>
          </w:p>
        </w:tc>
        <w:tc>
          <w:tcPr>
            <w:tcW w:w="0" w:type="auto"/>
            <w:shd w:val="clear" w:color="auto" w:fill="F5F9FC"/>
            <w:tcMar>
              <w:top w:w="100" w:type="dxa"/>
              <w:left w:w="120" w:type="dxa"/>
              <w:bottom w:w="100" w:type="dxa"/>
              <w:right w:w="120" w:type="dxa"/>
            </w:tcMar>
            <w:vAlign w:val="center"/>
          </w:tcPr>
          <w:p w14:paraId="6CBDAF06">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在已有记录模板基础上，新增适用于检测试验现场的线上记录功能，便于人员记录试验过程、观察结果及相关说明，形成电子版原始记录表</w:t>
            </w:r>
          </w:p>
        </w:tc>
        <w:tc>
          <w:tcPr>
            <w:tcW w:w="0" w:type="auto"/>
            <w:shd w:val="clear" w:color="auto" w:fill="F5F9FC"/>
            <w:tcMar>
              <w:top w:w="100" w:type="dxa"/>
              <w:left w:w="120" w:type="dxa"/>
              <w:bottom w:w="100" w:type="dxa"/>
              <w:right w:w="120" w:type="dxa"/>
            </w:tcMar>
            <w:vAlign w:val="center"/>
          </w:tcPr>
          <w:p w14:paraId="620EBDA3">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功能以原始记录表的线上形成、保存和查阅为目标，需要符合现场作业和质量管理要求，与委托系统“数据录入”环节区分衔接</w:t>
            </w:r>
          </w:p>
        </w:tc>
      </w:tr>
      <w:tr w14:paraId="2BEFF015">
        <w:trPr>
          <w:cantSplit/>
          <w:jc w:val="center"/>
        </w:trPr>
        <w:tc>
          <w:tcPr>
            <w:tcW w:w="0" w:type="auto"/>
            <w:shd w:val="clear" w:color="auto" w:fill="F5F9FC"/>
            <w:tcMar>
              <w:top w:w="100" w:type="dxa"/>
              <w:left w:w="120" w:type="dxa"/>
              <w:bottom w:w="100" w:type="dxa"/>
              <w:right w:w="120" w:type="dxa"/>
            </w:tcMar>
            <w:vAlign w:val="center"/>
          </w:tcPr>
          <w:p w14:paraId="36F2C43D">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成果输出由常规检测报告向复杂报告文档拓展</w:t>
            </w:r>
          </w:p>
        </w:tc>
        <w:tc>
          <w:tcPr>
            <w:tcW w:w="0" w:type="auto"/>
            <w:shd w:val="clear" w:color="auto" w:fill="F5F9FC"/>
            <w:tcMar>
              <w:top w:w="100" w:type="dxa"/>
              <w:left w:w="120" w:type="dxa"/>
              <w:bottom w:w="100" w:type="dxa"/>
              <w:right w:w="120" w:type="dxa"/>
            </w:tcMar>
            <w:vAlign w:val="center"/>
          </w:tcPr>
          <w:p w14:paraId="64F27E25">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桥梁专项检测、配合比设计等报告包含多章节、多图表、影像附件、计算过程及专业分析，成果形式不同于常规结果表</w:t>
            </w:r>
          </w:p>
        </w:tc>
        <w:tc>
          <w:tcPr>
            <w:tcW w:w="0" w:type="auto"/>
            <w:shd w:val="clear" w:color="auto" w:fill="F5F9FC"/>
            <w:tcMar>
              <w:top w:w="100" w:type="dxa"/>
              <w:left w:w="120" w:type="dxa"/>
              <w:bottom w:w="100" w:type="dxa"/>
              <w:right w:w="120" w:type="dxa"/>
            </w:tcMar>
            <w:vAlign w:val="center"/>
          </w:tcPr>
          <w:p w14:paraId="25122A48">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需要按报告模块组织多源资料，保持数据、计算和文字结论一致，并支持文档修订、审核和版式调整</w:t>
            </w:r>
          </w:p>
        </w:tc>
      </w:tr>
      <w:tr w14:paraId="7D4BBB25">
        <w:trPr>
          <w:cantSplit/>
          <w:jc w:val="center"/>
        </w:trPr>
        <w:tc>
          <w:tcPr>
            <w:tcW w:w="0" w:type="auto"/>
            <w:shd w:val="clear" w:color="auto" w:fill="F5F9FC"/>
            <w:tcMar>
              <w:top w:w="100" w:type="dxa"/>
              <w:left w:w="120" w:type="dxa"/>
              <w:bottom w:w="100" w:type="dxa"/>
              <w:right w:w="120" w:type="dxa"/>
            </w:tcMar>
            <w:vAlign w:val="center"/>
          </w:tcPr>
          <w:p w14:paraId="3A0D142C">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知识与模型应用由行业查询向专项报告分析深化</w:t>
            </w:r>
          </w:p>
        </w:tc>
        <w:tc>
          <w:tcPr>
            <w:tcW w:w="0" w:type="auto"/>
            <w:shd w:val="clear" w:color="auto" w:fill="F5F9FC"/>
            <w:tcMar>
              <w:top w:w="100" w:type="dxa"/>
              <w:left w:w="120" w:type="dxa"/>
              <w:bottom w:w="100" w:type="dxa"/>
              <w:right w:w="120" w:type="dxa"/>
            </w:tcMar>
            <w:vAlign w:val="center"/>
          </w:tcPr>
          <w:p w14:paraId="3A9F0134">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在现有知识库中补充桥梁病害与评定、养护维修、配合比试配与调整、首批管道检测及报告编审资料，并利用专业报告和修订案例深化模型能力</w:t>
            </w:r>
          </w:p>
        </w:tc>
        <w:tc>
          <w:tcPr>
            <w:tcW w:w="0" w:type="auto"/>
            <w:shd w:val="clear" w:color="auto" w:fill="F5F9FC"/>
            <w:tcMar>
              <w:top w:w="100" w:type="dxa"/>
              <w:left w:w="120" w:type="dxa"/>
              <w:bottom w:w="100" w:type="dxa"/>
              <w:right w:w="120" w:type="dxa"/>
            </w:tcMar>
            <w:vAlign w:val="center"/>
          </w:tcPr>
          <w:p w14:paraId="0AB7D742">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需要开展资料理解、章节组织、专项分析、报告总结、审核意见修订及技术建议等任务的训练，使输出贴合专项业务、引用适用依据，并经专业人员确认</w:t>
            </w:r>
          </w:p>
        </w:tc>
      </w:tr>
      <w:tr w14:paraId="1503183B">
        <w:trPr>
          <w:cantSplit/>
          <w:jc w:val="center"/>
        </w:trPr>
        <w:tc>
          <w:tcPr>
            <w:tcW w:w="0" w:type="auto"/>
            <w:shd w:val="clear" w:color="auto" w:fill="F5F9FC"/>
            <w:tcMar>
              <w:top w:w="100" w:type="dxa"/>
              <w:left w:w="120" w:type="dxa"/>
              <w:bottom w:w="100" w:type="dxa"/>
              <w:right w:w="120" w:type="dxa"/>
            </w:tcMar>
            <w:vAlign w:val="center"/>
          </w:tcPr>
          <w:p w14:paraId="0A3897EB">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算力需求上升，需要扩展服务器算力</w:t>
            </w:r>
          </w:p>
        </w:tc>
        <w:tc>
          <w:tcPr>
            <w:tcW w:w="0" w:type="auto"/>
            <w:shd w:val="clear" w:color="auto" w:fill="F5F9FC"/>
            <w:tcMar>
              <w:top w:w="100" w:type="dxa"/>
              <w:left w:w="120" w:type="dxa"/>
              <w:bottom w:w="100" w:type="dxa"/>
              <w:right w:w="120" w:type="dxa"/>
            </w:tcMar>
            <w:vAlign w:val="center"/>
          </w:tcPr>
          <w:p w14:paraId="0D033B9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复杂报告生成、模型分析能力提升及深化训练需要更多计算资源；多用户同时使用时，对服务器算力的需求进一步增加</w:t>
            </w:r>
          </w:p>
        </w:tc>
        <w:tc>
          <w:tcPr>
            <w:tcW w:w="0" w:type="auto"/>
            <w:shd w:val="clear" w:color="auto" w:fill="F5F9FC"/>
            <w:tcMar>
              <w:top w:w="100" w:type="dxa"/>
              <w:left w:w="120" w:type="dxa"/>
              <w:bottom w:w="100" w:type="dxa"/>
              <w:right w:w="120" w:type="dxa"/>
            </w:tcMar>
            <w:vAlign w:val="center"/>
          </w:tcPr>
          <w:p w14:paraId="4D42CC74">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需要在现有服务器基础上扩展算力，并配套必要的存储和网络资源，分别安排日常应用与模型训练任务，保障业务连续运行</w:t>
            </w:r>
          </w:p>
        </w:tc>
      </w:tr>
    </w:tbl>
    <w:p w14:paraId="6A1D8DB5">
      <w:pPr>
        <w:bidi w:val="0"/>
        <w:rPr>
          <w:rFonts w:hint="eastAsia"/>
        </w:rPr>
      </w:pPr>
    </w:p>
    <w:p w14:paraId="24A6D669">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cs="宋体"/>
          <w:b/>
          <w:snapToGrid w:val="0"/>
          <w:color w:val="000000"/>
          <w:sz w:val="28"/>
          <w:szCs w:val="28"/>
          <w:lang w:val="en-US" w:eastAsia="zh-CN" w:bidi="ar-SA"/>
        </w:rPr>
      </w:pPr>
      <w:bookmarkStart w:id="8" w:name="_Toc664729246"/>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3</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项目目标与核心成果</w:t>
      </w:r>
      <w:bookmarkEnd w:id="8"/>
    </w:p>
    <w:p w14:paraId="0375228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项目目标是在保留二期业务主流程的基础上，扩大</w:t>
      </w:r>
      <w:r>
        <w:rPr>
          <w:rFonts w:hint="eastAsia" w:ascii="宋体" w:hAnsi="宋体" w:cs="宋体"/>
          <w:snapToGrid w:val="0"/>
          <w:color w:val="000000"/>
          <w:sz w:val="24"/>
          <w:szCs w:val="24"/>
          <w:lang w:val="en-US" w:eastAsia="zh-CN" w:bidi="ar-SA"/>
        </w:rPr>
        <w:t>业务</w:t>
      </w:r>
      <w:r>
        <w:rPr>
          <w:rFonts w:hint="default" w:ascii="宋体" w:hAnsi="宋体" w:eastAsia="宋体" w:cs="宋体"/>
          <w:snapToGrid w:val="0"/>
          <w:color w:val="000000"/>
          <w:sz w:val="24"/>
          <w:szCs w:val="24"/>
          <w:lang w:val="en-US" w:eastAsia="zh-CN" w:bidi="ar-SA"/>
        </w:rPr>
        <w:t>数据覆盖范围，减少委托办理、样品转运、现场记录和复杂报告编制</w:t>
      </w:r>
      <w:r>
        <w:rPr>
          <w:rFonts w:hint="eastAsia" w:ascii="宋体" w:hAnsi="宋体" w:cs="宋体"/>
          <w:snapToGrid w:val="0"/>
          <w:color w:val="000000"/>
          <w:sz w:val="24"/>
          <w:szCs w:val="24"/>
          <w:lang w:val="en-US" w:eastAsia="zh-CN" w:bidi="ar-SA"/>
        </w:rPr>
        <w:t>等</w:t>
      </w:r>
      <w:r>
        <w:rPr>
          <w:rFonts w:hint="default" w:ascii="宋体" w:hAnsi="宋体" w:eastAsia="宋体" w:cs="宋体"/>
          <w:snapToGrid w:val="0"/>
          <w:color w:val="000000"/>
          <w:sz w:val="24"/>
          <w:szCs w:val="24"/>
          <w:lang w:val="en-US" w:eastAsia="zh-CN" w:bidi="ar-SA"/>
        </w:rPr>
        <w:t>操作</w:t>
      </w:r>
      <w:r>
        <w:rPr>
          <w:rFonts w:hint="eastAsia" w:ascii="宋体" w:hAnsi="宋体" w:cs="宋体"/>
          <w:snapToGrid w:val="0"/>
          <w:color w:val="000000"/>
          <w:sz w:val="24"/>
          <w:szCs w:val="24"/>
          <w:lang w:val="en-US" w:eastAsia="zh-CN" w:bidi="ar-SA"/>
        </w:rPr>
        <w:t>的工作量</w:t>
      </w:r>
      <w:r>
        <w:rPr>
          <w:rFonts w:hint="default" w:ascii="宋体" w:hAnsi="宋体" w:eastAsia="宋体" w:cs="宋体"/>
          <w:snapToGrid w:val="0"/>
          <w:color w:val="000000"/>
          <w:sz w:val="24"/>
          <w:szCs w:val="24"/>
          <w:lang w:val="en-US" w:eastAsia="zh-CN" w:bidi="ar-SA"/>
        </w:rPr>
        <w:t>，形成业务信息、样品实物、原始记录和报告成果之间的连续关联。</w:t>
      </w:r>
    </w:p>
    <w:p w14:paraId="3243A306">
      <w:pPr>
        <w:bidi w:val="0"/>
        <w:rPr>
          <w:rFonts w:hint="default"/>
          <w:lang w:val="en-US" w:eastAsia="zh-CN"/>
        </w:rPr>
      </w:pPr>
      <w:r>
        <w:rPr>
          <w:rFonts w:hint="default"/>
          <w:lang w:val="en-US" w:eastAsia="zh-CN"/>
        </w:rPr>
        <w:drawing>
          <wp:inline distT="0" distB="0" distL="114300" distR="114300">
            <wp:extent cx="5266055" cy="2963545"/>
            <wp:effectExtent l="0" t="0" r="17145" b="8255"/>
            <wp:docPr id="5" name="图片 5" descr="488aebbecf98e9564bc0f93df234b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88aebbecf98e9564bc0f93df234b2cb"/>
                    <pic:cNvPicPr>
                      <a:picLocks noChangeAspect="1"/>
                    </pic:cNvPicPr>
                  </pic:nvPicPr>
                  <pic:blipFill>
                    <a:blip r:embed="rId6"/>
                    <a:stretch>
                      <a:fillRect/>
                    </a:stretch>
                  </pic:blipFill>
                  <pic:spPr>
                    <a:xfrm>
                      <a:off x="0" y="0"/>
                      <a:ext cx="5266055" cy="2963545"/>
                    </a:xfrm>
                    <a:prstGeom prst="rect">
                      <a:avLst/>
                    </a:prstGeom>
                  </pic:spPr>
                </pic:pic>
              </a:graphicData>
            </a:graphic>
          </wp:inline>
        </w:drawing>
      </w:r>
    </w:p>
    <w:p w14:paraId="7EFB0EF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本期成果</w:t>
      </w:r>
      <w:r>
        <w:rPr>
          <w:rFonts w:hint="eastAsia" w:ascii="宋体" w:hAnsi="宋体" w:cs="宋体"/>
          <w:snapToGrid w:val="0"/>
          <w:color w:val="000000"/>
          <w:sz w:val="24"/>
          <w:szCs w:val="24"/>
          <w:lang w:val="en-US" w:eastAsia="zh-CN" w:bidi="ar-SA"/>
        </w:rPr>
        <w:t>包含：</w:t>
      </w:r>
      <w:r>
        <w:rPr>
          <w:rFonts w:hint="default" w:ascii="宋体" w:hAnsi="宋体" w:eastAsia="宋体" w:cs="宋体"/>
          <w:snapToGrid w:val="0"/>
          <w:color w:val="000000"/>
          <w:sz w:val="24"/>
          <w:szCs w:val="24"/>
          <w:lang w:val="en-US" w:eastAsia="zh-CN" w:bidi="ar-SA"/>
        </w:rPr>
        <w:t>系统功能</w:t>
      </w:r>
      <w:r>
        <w:rPr>
          <w:rFonts w:hint="eastAsia" w:ascii="宋体" w:hAnsi="宋体" w:cs="宋体"/>
          <w:snapToGrid w:val="0"/>
          <w:color w:val="000000"/>
          <w:sz w:val="24"/>
          <w:szCs w:val="24"/>
          <w:lang w:val="en-US" w:eastAsia="zh-CN" w:bidi="ar-SA"/>
        </w:rPr>
        <w:t>的</w:t>
      </w:r>
      <w:r>
        <w:rPr>
          <w:rFonts w:hint="default" w:ascii="宋体" w:hAnsi="宋体" w:eastAsia="宋体" w:cs="宋体"/>
          <w:snapToGrid w:val="0"/>
          <w:color w:val="000000"/>
          <w:sz w:val="24"/>
          <w:szCs w:val="24"/>
          <w:lang w:val="en-US" w:eastAsia="zh-CN" w:bidi="ar-SA"/>
        </w:rPr>
        <w:t>拓展、</w:t>
      </w:r>
      <w:r>
        <w:rPr>
          <w:rFonts w:hint="eastAsia" w:ascii="宋体" w:hAnsi="宋体" w:cs="宋体"/>
          <w:snapToGrid w:val="0"/>
          <w:color w:val="000000"/>
          <w:sz w:val="24"/>
          <w:szCs w:val="24"/>
          <w:lang w:val="en-US" w:eastAsia="zh-CN" w:bidi="ar-SA"/>
        </w:rPr>
        <w:t>设备改造对接的延伸</w:t>
      </w:r>
      <w:r>
        <w:rPr>
          <w:rFonts w:hint="default" w:ascii="宋体" w:hAnsi="宋体" w:eastAsia="宋体" w:cs="宋体"/>
          <w:snapToGrid w:val="0"/>
          <w:color w:val="000000"/>
          <w:sz w:val="24"/>
          <w:szCs w:val="24"/>
          <w:lang w:val="en-US" w:eastAsia="zh-CN" w:bidi="ar-SA"/>
        </w:rPr>
        <w:t>、</w:t>
      </w:r>
      <w:r>
        <w:rPr>
          <w:rFonts w:hint="eastAsia" w:ascii="宋体" w:hAnsi="宋体" w:cs="宋体"/>
          <w:snapToGrid w:val="0"/>
          <w:color w:val="000000"/>
          <w:sz w:val="24"/>
          <w:szCs w:val="24"/>
          <w:lang w:val="en-US" w:eastAsia="zh-CN" w:bidi="ar-SA"/>
        </w:rPr>
        <w:t>专项</w:t>
      </w:r>
      <w:r>
        <w:rPr>
          <w:rFonts w:hint="default" w:ascii="宋体" w:hAnsi="宋体" w:eastAsia="宋体" w:cs="宋体"/>
          <w:snapToGrid w:val="0"/>
          <w:color w:val="000000"/>
          <w:sz w:val="24"/>
          <w:szCs w:val="24"/>
          <w:lang w:val="en-US" w:eastAsia="zh-CN" w:bidi="ar-SA"/>
        </w:rPr>
        <w:t>知识库</w:t>
      </w:r>
      <w:r>
        <w:rPr>
          <w:rFonts w:hint="eastAsia" w:ascii="宋体" w:hAnsi="宋体" w:cs="宋体"/>
          <w:snapToGrid w:val="0"/>
          <w:color w:val="000000"/>
          <w:sz w:val="24"/>
          <w:szCs w:val="24"/>
          <w:lang w:val="en-US" w:eastAsia="zh-CN" w:bidi="ar-SA"/>
        </w:rPr>
        <w:t>的</w:t>
      </w:r>
      <w:r>
        <w:rPr>
          <w:rFonts w:hint="default" w:ascii="宋体" w:hAnsi="宋体" w:eastAsia="宋体" w:cs="宋体"/>
          <w:snapToGrid w:val="0"/>
          <w:color w:val="000000"/>
          <w:sz w:val="24"/>
          <w:szCs w:val="24"/>
          <w:lang w:val="en-US" w:eastAsia="zh-CN" w:bidi="ar-SA"/>
        </w:rPr>
        <w:t>扩建、模型</w:t>
      </w:r>
      <w:r>
        <w:rPr>
          <w:rFonts w:hint="eastAsia" w:ascii="宋体" w:hAnsi="宋体" w:cs="宋体"/>
          <w:snapToGrid w:val="0"/>
          <w:color w:val="000000"/>
          <w:sz w:val="24"/>
          <w:szCs w:val="24"/>
          <w:lang w:val="en-US" w:eastAsia="zh-CN" w:bidi="ar-SA"/>
        </w:rPr>
        <w:t>能力的</w:t>
      </w:r>
      <w:r>
        <w:rPr>
          <w:rFonts w:hint="default" w:ascii="宋体" w:hAnsi="宋体" w:eastAsia="宋体" w:cs="宋体"/>
          <w:snapToGrid w:val="0"/>
          <w:color w:val="000000"/>
          <w:sz w:val="24"/>
          <w:szCs w:val="24"/>
          <w:lang w:val="en-US" w:eastAsia="zh-CN" w:bidi="ar-SA"/>
        </w:rPr>
        <w:t>深化训练</w:t>
      </w:r>
      <w:r>
        <w:rPr>
          <w:rFonts w:hint="eastAsia" w:ascii="宋体" w:hAnsi="宋体" w:cs="宋体"/>
          <w:snapToGrid w:val="0"/>
          <w:color w:val="000000"/>
          <w:sz w:val="24"/>
          <w:szCs w:val="24"/>
          <w:lang w:val="en-US" w:eastAsia="zh-CN" w:bidi="ar-SA"/>
        </w:rPr>
        <w:t>、</w:t>
      </w:r>
      <w:r>
        <w:rPr>
          <w:rFonts w:hint="default" w:ascii="宋体" w:hAnsi="宋体" w:eastAsia="宋体" w:cs="宋体"/>
          <w:snapToGrid w:val="0"/>
          <w:color w:val="000000"/>
          <w:sz w:val="24"/>
          <w:szCs w:val="24"/>
          <w:lang w:val="en-US" w:eastAsia="zh-CN" w:bidi="ar-SA"/>
        </w:rPr>
        <w:t>硬件设施</w:t>
      </w:r>
      <w:r>
        <w:rPr>
          <w:rFonts w:hint="eastAsia" w:ascii="宋体" w:hAnsi="宋体" w:cs="宋体"/>
          <w:snapToGrid w:val="0"/>
          <w:color w:val="000000"/>
          <w:sz w:val="24"/>
          <w:szCs w:val="24"/>
          <w:lang w:val="en-US" w:eastAsia="zh-CN" w:bidi="ar-SA"/>
        </w:rPr>
        <w:t>的全面升级</w:t>
      </w:r>
      <w:r>
        <w:rPr>
          <w:rFonts w:hint="default" w:ascii="宋体" w:hAnsi="宋体" w:eastAsia="宋体" w:cs="宋体"/>
          <w:snapToGrid w:val="0"/>
          <w:color w:val="000000"/>
          <w:sz w:val="24"/>
          <w:szCs w:val="24"/>
          <w:lang w:val="en-US" w:eastAsia="zh-CN" w:bidi="ar-SA"/>
        </w:rPr>
        <w:t>，具体如下。</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89"/>
        <w:gridCol w:w="1552"/>
        <w:gridCol w:w="3829"/>
        <w:gridCol w:w="2375"/>
      </w:tblGrid>
      <w:tr w14:paraId="1C3D8957">
        <w:trPr>
          <w:cantSplit/>
          <w:jc w:val="center"/>
        </w:trPr>
        <w:tc>
          <w:tcPr>
            <w:tcW w:w="0" w:type="auto"/>
            <w:shd w:val="clear" w:color="auto" w:fill="17365D"/>
            <w:tcMar>
              <w:top w:w="100" w:type="dxa"/>
              <w:left w:w="120" w:type="dxa"/>
              <w:bottom w:w="100" w:type="dxa"/>
              <w:right w:w="120" w:type="dxa"/>
            </w:tcMar>
            <w:vAlign w:val="center"/>
          </w:tcPr>
          <w:p w14:paraId="63F9C005">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目标方向</w:t>
            </w:r>
          </w:p>
        </w:tc>
        <w:tc>
          <w:tcPr>
            <w:tcW w:w="0" w:type="auto"/>
            <w:shd w:val="clear" w:color="auto" w:fill="17365D"/>
            <w:tcMar>
              <w:top w:w="100" w:type="dxa"/>
              <w:left w:w="120" w:type="dxa"/>
              <w:bottom w:w="100" w:type="dxa"/>
              <w:right w:w="120" w:type="dxa"/>
            </w:tcMar>
            <w:vAlign w:val="center"/>
          </w:tcPr>
          <w:p w14:paraId="1B754D57">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建设成果</w:t>
            </w:r>
          </w:p>
        </w:tc>
        <w:tc>
          <w:tcPr>
            <w:tcW w:w="0" w:type="auto"/>
            <w:shd w:val="clear" w:color="auto" w:fill="17365D"/>
            <w:tcMar>
              <w:top w:w="100" w:type="dxa"/>
              <w:left w:w="120" w:type="dxa"/>
              <w:bottom w:w="100" w:type="dxa"/>
              <w:right w:w="120" w:type="dxa"/>
            </w:tcMar>
            <w:vAlign w:val="center"/>
          </w:tcPr>
          <w:p w14:paraId="4131FD13">
            <w:pPr>
              <w:spacing w:before="0" w:after="0" w:line="269" w:lineRule="auto"/>
              <w:jc w:val="center"/>
              <w:rPr>
                <w:rFonts w:hint="default" w:ascii="宋体" w:hAnsi="宋体" w:cs="宋体"/>
                <w:lang w:val="en-US" w:eastAsia="zh-CN"/>
              </w:rPr>
            </w:pPr>
            <w:r>
              <w:rPr>
                <w:rFonts w:hint="eastAsia" w:ascii="宋体" w:hAnsi="宋体" w:cs="宋体"/>
                <w:lang w:val="en-US" w:eastAsia="zh-CN"/>
              </w:rPr>
              <w:t>成果性质与承载方式</w:t>
            </w:r>
          </w:p>
        </w:tc>
        <w:tc>
          <w:tcPr>
            <w:tcW w:w="0" w:type="auto"/>
            <w:shd w:val="clear" w:color="auto" w:fill="17365D"/>
            <w:tcMar>
              <w:top w:w="100" w:type="dxa"/>
              <w:left w:w="120" w:type="dxa"/>
              <w:bottom w:w="100" w:type="dxa"/>
              <w:right w:w="120" w:type="dxa"/>
            </w:tcMar>
            <w:vAlign w:val="center"/>
          </w:tcPr>
          <w:p w14:paraId="42C2B273">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24338800">
        <w:trPr>
          <w:cantSplit/>
          <w:trHeight w:val="587" w:hRule="atLeast"/>
          <w:jc w:val="center"/>
        </w:trPr>
        <w:tc>
          <w:tcPr>
            <w:tcW w:w="0" w:type="auto"/>
            <w:tcMar>
              <w:top w:w="100" w:type="dxa"/>
              <w:left w:w="120" w:type="dxa"/>
              <w:bottom w:w="100" w:type="dxa"/>
              <w:right w:w="120" w:type="dxa"/>
            </w:tcMar>
            <w:vAlign w:val="center"/>
          </w:tcPr>
          <w:p w14:paraId="0481157C">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拓展委托入口</w:t>
            </w:r>
          </w:p>
        </w:tc>
        <w:tc>
          <w:tcPr>
            <w:tcW w:w="0" w:type="auto"/>
            <w:tcMar>
              <w:top w:w="100" w:type="dxa"/>
              <w:left w:w="120" w:type="dxa"/>
              <w:bottom w:w="100" w:type="dxa"/>
              <w:right w:w="120" w:type="dxa"/>
            </w:tcMar>
            <w:vAlign w:val="center"/>
          </w:tcPr>
          <w:p w14:paraId="2BC40806">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委托登记小程序</w:t>
            </w:r>
          </w:p>
        </w:tc>
        <w:tc>
          <w:tcPr>
            <w:tcW w:w="0" w:type="auto"/>
            <w:tcMar>
              <w:top w:w="100" w:type="dxa"/>
              <w:left w:w="120" w:type="dxa"/>
              <w:bottom w:w="100" w:type="dxa"/>
              <w:right w:w="120" w:type="dxa"/>
            </w:tcMar>
            <w:vAlign w:val="center"/>
          </w:tcPr>
          <w:p w14:paraId="2517861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新增小程序应用＋二期委托任务系统功能拓展。小程序面向外部委托人，正式受理和任务流转仍由二期系统办理</w:t>
            </w:r>
          </w:p>
        </w:tc>
        <w:tc>
          <w:tcPr>
            <w:tcW w:w="0" w:type="auto"/>
            <w:tcMar>
              <w:top w:w="100" w:type="dxa"/>
              <w:left w:w="120" w:type="dxa"/>
              <w:bottom w:w="100" w:type="dxa"/>
              <w:right w:w="120" w:type="dxa"/>
            </w:tcMar>
            <w:vAlign w:val="center"/>
          </w:tcPr>
          <w:p w14:paraId="77759D2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委托人可提前维护工程资料并提交申请，登记人员可沿既有流程受理，减少重复整理</w:t>
            </w:r>
          </w:p>
        </w:tc>
      </w:tr>
      <w:tr w14:paraId="46F8A092">
        <w:trPr>
          <w:cantSplit/>
          <w:jc w:val="center"/>
        </w:trPr>
        <w:tc>
          <w:tcPr>
            <w:tcW w:w="0" w:type="auto"/>
            <w:shd w:val="clear" w:color="auto" w:fill="F5F9FC"/>
            <w:tcMar>
              <w:top w:w="100" w:type="dxa"/>
              <w:left w:w="120" w:type="dxa"/>
              <w:bottom w:w="100" w:type="dxa"/>
              <w:right w:w="120" w:type="dxa"/>
            </w:tcMar>
            <w:vAlign w:val="center"/>
          </w:tcPr>
          <w:p w14:paraId="09CFBEB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建设样品智能流传</w:t>
            </w:r>
          </w:p>
        </w:tc>
        <w:tc>
          <w:tcPr>
            <w:tcW w:w="0" w:type="auto"/>
            <w:shd w:val="clear" w:color="auto" w:fill="F5F9FC"/>
            <w:tcMar>
              <w:top w:w="100" w:type="dxa"/>
              <w:left w:w="120" w:type="dxa"/>
              <w:bottom w:w="100" w:type="dxa"/>
              <w:right w:w="120" w:type="dxa"/>
            </w:tcMar>
            <w:vAlign w:val="center"/>
          </w:tcPr>
          <w:p w14:paraId="2E3D6B06">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样品运输机器人及载具、运输路线配置</w:t>
            </w:r>
            <w:r>
              <w:rPr>
                <w:rFonts w:hint="eastAsia" w:ascii="宋体" w:hAnsi="宋体" w:cs="宋体"/>
                <w:color w:val="000000"/>
                <w:sz w:val="18"/>
                <w:lang w:val="en-US" w:eastAsia="zh-CN"/>
              </w:rPr>
              <w:t>、</w:t>
            </w:r>
            <w:r>
              <w:rPr>
                <w:rFonts w:hint="eastAsia" w:ascii="宋体" w:hAnsi="宋体" w:eastAsia="宋体" w:cs="宋体"/>
                <w:color w:val="000000"/>
                <w:sz w:val="18"/>
                <w:lang w:val="en-US" w:eastAsia="zh-CN"/>
              </w:rPr>
              <w:t>运输任务管理</w:t>
            </w:r>
          </w:p>
        </w:tc>
        <w:tc>
          <w:tcPr>
            <w:tcW w:w="0" w:type="auto"/>
            <w:shd w:val="clear" w:color="auto" w:fill="F5F9FC"/>
            <w:tcMar>
              <w:top w:w="100" w:type="dxa"/>
              <w:left w:w="120" w:type="dxa"/>
              <w:bottom w:w="100" w:type="dxa"/>
              <w:right w:w="120" w:type="dxa"/>
            </w:tcMar>
            <w:vAlign w:val="center"/>
          </w:tcPr>
          <w:p w14:paraId="6ADF11B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新增硬件设备及配套＋既有系统功能拓展。 运输操作与接收页面关联二期样品及任务信息，不另建样品管理系统</w:t>
            </w:r>
          </w:p>
        </w:tc>
        <w:tc>
          <w:tcPr>
            <w:tcW w:w="0" w:type="auto"/>
            <w:shd w:val="clear" w:color="auto" w:fill="F5F9FC"/>
            <w:tcMar>
              <w:top w:w="100" w:type="dxa"/>
              <w:left w:w="120" w:type="dxa"/>
              <w:bottom w:w="100" w:type="dxa"/>
              <w:right w:w="120" w:type="dxa"/>
            </w:tcMar>
            <w:vAlign w:val="center"/>
          </w:tcPr>
          <w:p w14:paraId="13323E5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适用场景中由机器人承担运输，人员负责装卸及核验，交接记录与任务对应</w:t>
            </w:r>
          </w:p>
        </w:tc>
      </w:tr>
      <w:tr w14:paraId="556A7295">
        <w:trPr>
          <w:cantSplit/>
          <w:jc w:val="center"/>
        </w:trPr>
        <w:tc>
          <w:tcPr>
            <w:tcW w:w="0" w:type="auto"/>
            <w:tcMar>
              <w:top w:w="100" w:type="dxa"/>
              <w:left w:w="120" w:type="dxa"/>
              <w:bottom w:w="100" w:type="dxa"/>
              <w:right w:w="120" w:type="dxa"/>
            </w:tcMar>
            <w:vAlign w:val="center"/>
          </w:tcPr>
          <w:p w14:paraId="0342B9CA">
            <w:pPr>
              <w:spacing w:before="0" w:after="0" w:line="269" w:lineRule="auto"/>
              <w:jc w:val="left"/>
              <w:rPr>
                <w:rFonts w:hint="default" w:ascii="宋体" w:hAnsi="宋体" w:eastAsia="宋体" w:cs="宋体"/>
                <w:color w:val="000000"/>
                <w:sz w:val="18"/>
                <w:lang w:val="en-US" w:eastAsia="zh-CN"/>
              </w:rPr>
            </w:pPr>
            <w:r>
              <w:rPr>
                <w:rFonts w:hint="eastAsia" w:ascii="宋体" w:hAnsi="宋体" w:cs="宋体"/>
                <w:color w:val="000000"/>
                <w:sz w:val="18"/>
                <w:lang w:val="en-US" w:eastAsia="zh-CN"/>
              </w:rPr>
              <w:t>实现原始记录无纸化</w:t>
            </w:r>
          </w:p>
        </w:tc>
        <w:tc>
          <w:tcPr>
            <w:tcW w:w="0" w:type="auto"/>
            <w:tcMar>
              <w:top w:w="100" w:type="dxa"/>
              <w:left w:w="120" w:type="dxa"/>
              <w:bottom w:w="100" w:type="dxa"/>
              <w:right w:w="120" w:type="dxa"/>
            </w:tcMar>
            <w:vAlign w:val="center"/>
          </w:tcPr>
          <w:p w14:paraId="3136FCA2">
            <w:pPr>
              <w:spacing w:before="0" w:after="0" w:line="269" w:lineRule="auto"/>
              <w:jc w:val="left"/>
              <w:rPr>
                <w:rFonts w:hint="default" w:ascii="宋体" w:hAnsi="宋体" w:eastAsia="宋体" w:cs="宋体"/>
                <w:color w:val="000000"/>
                <w:sz w:val="18"/>
                <w:lang w:val="en-US" w:eastAsia="zh-CN"/>
              </w:rPr>
            </w:pPr>
            <w:r>
              <w:rPr>
                <w:rFonts w:hint="eastAsia" w:ascii="宋体" w:hAnsi="宋体" w:cs="宋体"/>
                <w:color w:val="000000"/>
                <w:sz w:val="18"/>
                <w:lang w:val="en-US" w:eastAsia="zh-CN"/>
              </w:rPr>
              <w:t>原始记录线上应用功能（在二期任务系统基础上增加）</w:t>
            </w:r>
          </w:p>
        </w:tc>
        <w:tc>
          <w:tcPr>
            <w:tcW w:w="0" w:type="auto"/>
            <w:tcMar>
              <w:top w:w="100" w:type="dxa"/>
              <w:left w:w="120" w:type="dxa"/>
              <w:bottom w:w="100" w:type="dxa"/>
              <w:right w:w="120" w:type="dxa"/>
            </w:tcMar>
            <w:vAlign w:val="center"/>
          </w:tcPr>
          <w:p w14:paraId="3DFDF0F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既有系统新增业务功能</w:t>
            </w:r>
            <w:r>
              <w:rPr>
                <w:rFonts w:hint="eastAsia" w:ascii="宋体" w:hAnsi="宋体" w:cs="宋体"/>
                <w:color w:val="000000"/>
                <w:sz w:val="18"/>
                <w:lang w:eastAsia="zh-CN"/>
              </w:rPr>
              <w:t>。</w:t>
            </w:r>
            <w:r>
              <w:rPr>
                <w:rFonts w:hint="eastAsia" w:ascii="宋体" w:hAnsi="宋体" w:eastAsia="宋体" w:cs="宋体"/>
                <w:color w:val="000000"/>
                <w:sz w:val="18"/>
              </w:rPr>
              <w:t xml:space="preserve"> 在现有任务和记录体系内提供现场线上记录入口，不另建独立系统，与委托系统“数据录入”功能分别承担原始记录形成和任务结果录入职责</w:t>
            </w:r>
          </w:p>
        </w:tc>
        <w:tc>
          <w:tcPr>
            <w:tcW w:w="0" w:type="auto"/>
            <w:tcMar>
              <w:top w:w="100" w:type="dxa"/>
              <w:left w:w="120" w:type="dxa"/>
              <w:bottom w:w="100" w:type="dxa"/>
              <w:right w:w="120" w:type="dxa"/>
            </w:tcMar>
            <w:vAlign w:val="center"/>
          </w:tcPr>
          <w:p w14:paraId="45FC89DB">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人员可在检测试验现场通过线上表单完成原始记录，形成可保存、查阅和复核的电子版原始记录表</w:t>
            </w:r>
          </w:p>
        </w:tc>
      </w:tr>
      <w:tr w14:paraId="7E231515">
        <w:trPr>
          <w:cantSplit/>
          <w:jc w:val="center"/>
        </w:trPr>
        <w:tc>
          <w:tcPr>
            <w:tcW w:w="0" w:type="auto"/>
            <w:shd w:val="clear" w:color="auto" w:fill="F5F9FC"/>
            <w:tcMar>
              <w:top w:w="100" w:type="dxa"/>
              <w:left w:w="120" w:type="dxa"/>
              <w:bottom w:w="100" w:type="dxa"/>
              <w:right w:w="120" w:type="dxa"/>
            </w:tcMar>
            <w:vAlign w:val="center"/>
          </w:tcPr>
          <w:p w14:paraId="0EF875A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复杂文档</w:t>
            </w:r>
            <w:r>
              <w:rPr>
                <w:rFonts w:hint="eastAsia" w:ascii="宋体" w:hAnsi="宋体" w:cs="宋体"/>
                <w:color w:val="000000"/>
                <w:sz w:val="18"/>
                <w:lang w:val="en-US" w:eastAsia="zh-CN"/>
              </w:rPr>
              <w:t>智能生成</w:t>
            </w:r>
          </w:p>
        </w:tc>
        <w:tc>
          <w:tcPr>
            <w:tcW w:w="0" w:type="auto"/>
            <w:shd w:val="clear" w:color="auto" w:fill="F5F9FC"/>
            <w:tcMar>
              <w:top w:w="100" w:type="dxa"/>
              <w:left w:w="120" w:type="dxa"/>
              <w:bottom w:w="100" w:type="dxa"/>
              <w:right w:w="120" w:type="dxa"/>
            </w:tcMar>
            <w:vAlign w:val="center"/>
          </w:tcPr>
          <w:p w14:paraId="798DE67F">
            <w:pPr>
              <w:spacing w:before="0" w:after="0" w:line="269" w:lineRule="auto"/>
              <w:jc w:val="left"/>
              <w:rPr>
                <w:rFonts w:hint="default" w:ascii="宋体" w:hAnsi="宋体" w:eastAsia="宋体" w:cs="宋体"/>
                <w:color w:val="000000"/>
                <w:sz w:val="18"/>
                <w:lang w:val="en-US" w:eastAsia="zh-CN"/>
              </w:rPr>
            </w:pPr>
            <w:r>
              <w:rPr>
                <w:rFonts w:hint="eastAsia" w:ascii="宋体" w:hAnsi="宋体" w:cs="宋体"/>
                <w:color w:val="000000"/>
                <w:sz w:val="18"/>
                <w:lang w:val="en-US" w:eastAsia="zh-CN"/>
              </w:rPr>
              <w:t>模型应用平台、报告模板、业务数据接入</w:t>
            </w:r>
          </w:p>
        </w:tc>
        <w:tc>
          <w:tcPr>
            <w:tcW w:w="0" w:type="auto"/>
            <w:shd w:val="clear" w:color="auto" w:fill="F5F9FC"/>
            <w:tcMar>
              <w:top w:w="100" w:type="dxa"/>
              <w:left w:w="120" w:type="dxa"/>
              <w:bottom w:w="100" w:type="dxa"/>
              <w:right w:w="120" w:type="dxa"/>
            </w:tcMar>
            <w:vAlign w:val="center"/>
          </w:tcPr>
          <w:p w14:paraId="246E18B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基于既有企业智能应用基础</w:t>
            </w:r>
            <w:r>
              <w:rPr>
                <w:rFonts w:hint="eastAsia" w:ascii="宋体" w:hAnsi="宋体" w:cs="宋体"/>
                <w:color w:val="000000"/>
                <w:sz w:val="18"/>
                <w:lang w:val="en-US" w:eastAsia="zh-CN"/>
              </w:rPr>
              <w:t>上提升智能体输出报告的能力</w:t>
            </w:r>
            <w:r>
              <w:rPr>
                <w:rFonts w:hint="eastAsia" w:ascii="宋体" w:hAnsi="宋体" w:eastAsia="宋体" w:cs="宋体"/>
                <w:color w:val="000000"/>
                <w:sz w:val="18"/>
                <w:lang w:val="en-US" w:eastAsia="zh-CN"/>
              </w:rPr>
              <w:t>。 对接二期任务和数据，复用已有模型能力，不重新建设通用智能体平台</w:t>
            </w:r>
          </w:p>
        </w:tc>
        <w:tc>
          <w:tcPr>
            <w:tcW w:w="0" w:type="auto"/>
            <w:shd w:val="clear" w:color="auto" w:fill="F5F9FC"/>
            <w:tcMar>
              <w:top w:w="100" w:type="dxa"/>
              <w:left w:w="120" w:type="dxa"/>
              <w:bottom w:w="100" w:type="dxa"/>
              <w:right w:w="120" w:type="dxa"/>
            </w:tcMar>
            <w:vAlign w:val="center"/>
          </w:tcPr>
          <w:p w14:paraId="214E863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获得可编辑的复杂报告初稿，并可按章节调整内容、形成分析总结，正式审核及签发沿用既有流程</w:t>
            </w:r>
          </w:p>
        </w:tc>
      </w:tr>
      <w:tr w14:paraId="74E2D231">
        <w:trPr>
          <w:cantSplit/>
          <w:jc w:val="center"/>
        </w:trPr>
        <w:tc>
          <w:tcPr>
            <w:tcW w:w="0" w:type="auto"/>
            <w:shd w:val="clear" w:color="auto" w:fill="F5F9FC"/>
            <w:tcMar>
              <w:top w:w="100" w:type="dxa"/>
              <w:left w:w="120" w:type="dxa"/>
              <w:bottom w:w="100" w:type="dxa"/>
              <w:right w:w="120" w:type="dxa"/>
            </w:tcMar>
            <w:vAlign w:val="center"/>
          </w:tcPr>
          <w:p w14:paraId="7C4B0762">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补充专项知识</w:t>
            </w:r>
          </w:p>
        </w:tc>
        <w:tc>
          <w:tcPr>
            <w:tcW w:w="0" w:type="auto"/>
            <w:shd w:val="clear" w:color="auto" w:fill="F5F9FC"/>
            <w:tcMar>
              <w:top w:w="100" w:type="dxa"/>
              <w:left w:w="120" w:type="dxa"/>
              <w:bottom w:w="100" w:type="dxa"/>
              <w:right w:w="120" w:type="dxa"/>
            </w:tcMar>
            <w:vAlign w:val="center"/>
          </w:tcPr>
          <w:p w14:paraId="01D2FED3">
            <w:pPr>
              <w:spacing w:before="0" w:after="0" w:line="269" w:lineRule="auto"/>
              <w:jc w:val="left"/>
              <w:rPr>
                <w:rFonts w:hint="default" w:ascii="宋体" w:hAnsi="宋体" w:cs="宋体"/>
                <w:color w:val="000000"/>
                <w:sz w:val="18"/>
                <w:lang w:val="en-US" w:eastAsia="zh-CN"/>
              </w:rPr>
            </w:pPr>
            <w:r>
              <w:rPr>
                <w:rFonts w:hint="eastAsia" w:ascii="宋体" w:hAnsi="宋体" w:cs="宋体"/>
                <w:color w:val="000000"/>
                <w:sz w:val="18"/>
                <w:lang w:val="en-US" w:eastAsia="zh-CN"/>
              </w:rPr>
              <w:t>知识库增量补充</w:t>
            </w:r>
          </w:p>
        </w:tc>
        <w:tc>
          <w:tcPr>
            <w:tcW w:w="0" w:type="auto"/>
            <w:shd w:val="clear" w:color="auto" w:fill="F5F9FC"/>
            <w:tcMar>
              <w:top w:w="100" w:type="dxa"/>
              <w:left w:w="120" w:type="dxa"/>
              <w:bottom w:w="100" w:type="dxa"/>
              <w:right w:w="120" w:type="dxa"/>
            </w:tcMar>
            <w:vAlign w:val="center"/>
          </w:tcPr>
          <w:p w14:paraId="50AC1F89">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二期知识库扩建成果。在已有知识库中补充专项资料和案例，不重新建立行业知识库系统</w:t>
            </w:r>
          </w:p>
        </w:tc>
        <w:tc>
          <w:tcPr>
            <w:tcW w:w="0" w:type="auto"/>
            <w:shd w:val="clear" w:color="auto" w:fill="F5F9FC"/>
            <w:tcMar>
              <w:top w:w="100" w:type="dxa"/>
              <w:left w:w="120" w:type="dxa"/>
              <w:bottom w:w="100" w:type="dxa"/>
              <w:right w:w="120" w:type="dxa"/>
            </w:tcMar>
            <w:vAlign w:val="center"/>
          </w:tcPr>
          <w:p w14:paraId="48A7B278">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可检索报告所需的专项依据和编审案例，为分析及建议提供适用资料</w:t>
            </w:r>
          </w:p>
        </w:tc>
      </w:tr>
      <w:tr w14:paraId="7B90C836">
        <w:trPr>
          <w:cantSplit/>
          <w:jc w:val="center"/>
        </w:trPr>
        <w:tc>
          <w:tcPr>
            <w:tcW w:w="0" w:type="auto"/>
            <w:shd w:val="clear" w:color="auto" w:fill="F5F9FC"/>
            <w:tcMar>
              <w:top w:w="100" w:type="dxa"/>
              <w:left w:w="120" w:type="dxa"/>
              <w:bottom w:w="100" w:type="dxa"/>
              <w:right w:w="120" w:type="dxa"/>
            </w:tcMar>
            <w:vAlign w:val="center"/>
          </w:tcPr>
          <w:p w14:paraId="16F70422">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深化模型能力</w:t>
            </w:r>
          </w:p>
        </w:tc>
        <w:tc>
          <w:tcPr>
            <w:tcW w:w="0" w:type="auto"/>
            <w:shd w:val="clear" w:color="auto" w:fill="F5F9FC"/>
            <w:tcMar>
              <w:top w:w="100" w:type="dxa"/>
              <w:left w:w="120" w:type="dxa"/>
              <w:bottom w:w="100" w:type="dxa"/>
              <w:right w:w="120" w:type="dxa"/>
            </w:tcMar>
            <w:vAlign w:val="center"/>
          </w:tcPr>
          <w:p w14:paraId="5E81473E">
            <w:pPr>
              <w:spacing w:before="0" w:after="0" w:line="269" w:lineRule="auto"/>
              <w:jc w:val="left"/>
              <w:rPr>
                <w:rFonts w:hint="eastAsia" w:ascii="宋体" w:hAnsi="宋体" w:cs="宋体"/>
                <w:color w:val="000000"/>
                <w:sz w:val="18"/>
                <w:lang w:val="en-US" w:eastAsia="zh-CN"/>
              </w:rPr>
            </w:pPr>
            <w:r>
              <w:rPr>
                <w:rFonts w:hint="eastAsia" w:ascii="宋体" w:hAnsi="宋体" w:cs="宋体"/>
                <w:color w:val="000000"/>
                <w:sz w:val="18"/>
                <w:lang w:val="en-US" w:eastAsia="zh-CN"/>
              </w:rPr>
              <w:t>模型深化版本、授权训练样本、训练及评估记录</w:t>
            </w:r>
          </w:p>
        </w:tc>
        <w:tc>
          <w:tcPr>
            <w:tcW w:w="0" w:type="auto"/>
            <w:shd w:val="clear" w:color="auto" w:fill="F5F9FC"/>
            <w:tcMar>
              <w:top w:w="100" w:type="dxa"/>
              <w:left w:w="120" w:type="dxa"/>
              <w:bottom w:w="100" w:type="dxa"/>
              <w:right w:w="120" w:type="dxa"/>
            </w:tcMar>
            <w:vAlign w:val="center"/>
          </w:tcPr>
          <w:p w14:paraId="04EDB960">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模型深化训练成果。 在既有模型基础上训练并发布经确认的版本，不另建模型训练平台</w:t>
            </w:r>
          </w:p>
        </w:tc>
        <w:tc>
          <w:tcPr>
            <w:tcW w:w="0" w:type="auto"/>
            <w:shd w:val="clear" w:color="auto" w:fill="F5F9FC"/>
            <w:tcMar>
              <w:top w:w="100" w:type="dxa"/>
              <w:left w:w="120" w:type="dxa"/>
              <w:bottom w:w="100" w:type="dxa"/>
              <w:right w:w="120" w:type="dxa"/>
            </w:tcMar>
            <w:vAlign w:val="center"/>
          </w:tcPr>
          <w:p w14:paraId="79FABA4F">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报告分析、总结和修订更符合专项业务要求，最终内容仍由专业人员确认</w:t>
            </w:r>
          </w:p>
        </w:tc>
      </w:tr>
      <w:tr w14:paraId="143201EE">
        <w:trPr>
          <w:cantSplit/>
          <w:jc w:val="center"/>
        </w:trPr>
        <w:tc>
          <w:tcPr>
            <w:tcW w:w="0" w:type="auto"/>
            <w:shd w:val="clear" w:color="auto" w:fill="F5F9FC"/>
            <w:tcMar>
              <w:top w:w="100" w:type="dxa"/>
              <w:left w:w="120" w:type="dxa"/>
              <w:bottom w:w="100" w:type="dxa"/>
              <w:right w:w="120" w:type="dxa"/>
            </w:tcMar>
            <w:vAlign w:val="center"/>
          </w:tcPr>
          <w:p w14:paraId="15D041F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提升服务器算力</w:t>
            </w:r>
          </w:p>
        </w:tc>
        <w:tc>
          <w:tcPr>
            <w:tcW w:w="0" w:type="auto"/>
            <w:shd w:val="clear" w:color="auto" w:fill="F5F9FC"/>
            <w:tcMar>
              <w:top w:w="100" w:type="dxa"/>
              <w:left w:w="120" w:type="dxa"/>
              <w:bottom w:w="100" w:type="dxa"/>
              <w:right w:w="120" w:type="dxa"/>
            </w:tcMar>
            <w:vAlign w:val="center"/>
          </w:tcPr>
          <w:p w14:paraId="162AA314">
            <w:pPr>
              <w:spacing w:before="0" w:after="0" w:line="269" w:lineRule="auto"/>
              <w:jc w:val="left"/>
              <w:rPr>
                <w:rFonts w:hint="default" w:ascii="宋体" w:hAnsi="宋体" w:cs="宋体"/>
                <w:color w:val="000000"/>
                <w:sz w:val="18"/>
                <w:lang w:val="en-US" w:eastAsia="zh-CN"/>
              </w:rPr>
            </w:pPr>
            <w:r>
              <w:rPr>
                <w:rFonts w:hint="eastAsia" w:ascii="宋体" w:hAnsi="宋体" w:cs="宋体"/>
                <w:color w:val="000000"/>
                <w:sz w:val="18"/>
                <w:lang w:val="en-US" w:eastAsia="zh-CN"/>
              </w:rPr>
              <w:t>高算力服务器</w:t>
            </w:r>
          </w:p>
        </w:tc>
        <w:tc>
          <w:tcPr>
            <w:tcW w:w="0" w:type="auto"/>
            <w:shd w:val="clear" w:color="auto" w:fill="F5F9FC"/>
            <w:tcMar>
              <w:top w:w="100" w:type="dxa"/>
              <w:left w:w="120" w:type="dxa"/>
              <w:bottom w:w="100" w:type="dxa"/>
              <w:right w:w="120" w:type="dxa"/>
            </w:tcMar>
            <w:vAlign w:val="center"/>
          </w:tcPr>
          <w:p w14:paraId="44DBAFAE">
            <w:pPr>
              <w:spacing w:before="0" w:after="0" w:line="269" w:lineRule="auto"/>
              <w:jc w:val="left"/>
              <w:rPr>
                <w:rFonts w:hint="eastAsia" w:ascii="宋体" w:hAnsi="宋体" w:eastAsia="宋体" w:cs="宋体"/>
                <w:color w:val="000000"/>
                <w:sz w:val="18"/>
                <w:lang w:val="en-US" w:eastAsia="zh-CN"/>
              </w:rPr>
            </w:pPr>
            <w:r>
              <w:rPr>
                <w:rFonts w:hint="eastAsia" w:ascii="宋体" w:hAnsi="宋体" w:cs="宋体"/>
                <w:color w:val="000000"/>
                <w:sz w:val="18"/>
                <w:lang w:val="en-US" w:eastAsia="zh-CN"/>
              </w:rPr>
              <w:t>服务器</w:t>
            </w:r>
            <w:r>
              <w:rPr>
                <w:rFonts w:hint="eastAsia" w:ascii="宋体" w:hAnsi="宋体" w:eastAsia="宋体" w:cs="宋体"/>
                <w:color w:val="000000"/>
                <w:sz w:val="18"/>
                <w:lang w:val="en-US" w:eastAsia="zh-CN"/>
              </w:rPr>
              <w:t>硬件设施升级建设。</w:t>
            </w:r>
            <w:r>
              <w:rPr>
                <w:rFonts w:hint="eastAsia" w:ascii="宋体" w:hAnsi="宋体" w:cs="宋体"/>
                <w:color w:val="000000"/>
                <w:sz w:val="18"/>
                <w:lang w:val="en-US" w:eastAsia="zh-CN"/>
              </w:rPr>
              <w:t>在</w:t>
            </w:r>
            <w:r>
              <w:rPr>
                <w:rFonts w:hint="eastAsia" w:ascii="宋体" w:hAnsi="宋体" w:eastAsia="宋体" w:cs="宋体"/>
                <w:color w:val="000000"/>
                <w:sz w:val="18"/>
                <w:lang w:val="en-US" w:eastAsia="zh-CN"/>
              </w:rPr>
              <w:t>可用</w:t>
            </w:r>
            <w:r>
              <w:rPr>
                <w:rFonts w:hint="eastAsia" w:ascii="宋体" w:hAnsi="宋体" w:cs="宋体"/>
                <w:color w:val="000000"/>
                <w:sz w:val="18"/>
                <w:lang w:val="en-US" w:eastAsia="zh-CN"/>
              </w:rPr>
              <w:t>的基础</w:t>
            </w:r>
            <w:r>
              <w:rPr>
                <w:rFonts w:hint="eastAsia" w:ascii="宋体" w:hAnsi="宋体" w:eastAsia="宋体" w:cs="宋体"/>
                <w:color w:val="000000"/>
                <w:sz w:val="18"/>
                <w:lang w:val="en-US" w:eastAsia="zh-CN"/>
              </w:rPr>
              <w:t>设施</w:t>
            </w:r>
            <w:r>
              <w:rPr>
                <w:rFonts w:hint="eastAsia" w:ascii="宋体" w:hAnsi="宋体" w:cs="宋体"/>
                <w:color w:val="000000"/>
                <w:sz w:val="18"/>
                <w:lang w:val="en-US" w:eastAsia="zh-CN"/>
              </w:rPr>
              <w:t>基础上提升算力，</w:t>
            </w:r>
            <w:r>
              <w:rPr>
                <w:rFonts w:hint="eastAsia" w:ascii="宋体" w:hAnsi="宋体" w:eastAsia="宋体" w:cs="宋体"/>
                <w:color w:val="000000"/>
                <w:sz w:val="18"/>
                <w:lang w:val="en-US" w:eastAsia="zh-CN"/>
              </w:rPr>
              <w:t>初步按约4—10P</w:t>
            </w:r>
            <w:r>
              <w:rPr>
                <w:rFonts w:hint="eastAsia" w:ascii="宋体" w:hAnsi="宋体" w:cs="宋体"/>
                <w:color w:val="000000"/>
                <w:sz w:val="18"/>
                <w:lang w:val="en-US" w:eastAsia="zh-CN"/>
              </w:rPr>
              <w:t>算力进行</w:t>
            </w:r>
            <w:r>
              <w:rPr>
                <w:rFonts w:hint="eastAsia" w:ascii="宋体" w:hAnsi="宋体" w:eastAsia="宋体" w:cs="宋体"/>
                <w:color w:val="000000"/>
                <w:sz w:val="18"/>
                <w:lang w:val="en-US" w:eastAsia="zh-CN"/>
              </w:rPr>
              <w:t>规划，具体配置按训练及应用需求确认</w:t>
            </w:r>
          </w:p>
        </w:tc>
        <w:tc>
          <w:tcPr>
            <w:tcW w:w="0" w:type="auto"/>
            <w:shd w:val="clear" w:color="auto" w:fill="F5F9FC"/>
            <w:tcMar>
              <w:top w:w="100" w:type="dxa"/>
              <w:left w:w="120" w:type="dxa"/>
              <w:bottom w:w="100" w:type="dxa"/>
              <w:right w:w="120" w:type="dxa"/>
            </w:tcMar>
            <w:vAlign w:val="center"/>
          </w:tcPr>
          <w:p w14:paraId="28911062">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为模型深化训练、复杂报告分析和多用户使用提供更充足的算力，合理安排训练与日常服务资源</w:t>
            </w:r>
          </w:p>
        </w:tc>
      </w:tr>
    </w:tbl>
    <w:p w14:paraId="70D1AD0A">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ascii="宋体" w:hAnsi="宋体" w:eastAsia="宋体" w:cs="宋体"/>
        </w:rPr>
      </w:pPr>
    </w:p>
    <w:p w14:paraId="08EBC9A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客户最终取得的是可使用的</w:t>
      </w:r>
      <w:r>
        <w:rPr>
          <w:rFonts w:hint="eastAsia" w:ascii="宋体" w:hAnsi="宋体" w:cs="宋体"/>
          <w:snapToGrid w:val="0"/>
          <w:color w:val="000000"/>
          <w:sz w:val="24"/>
          <w:szCs w:val="24"/>
          <w:lang w:val="en-US" w:eastAsia="zh-CN" w:bidi="ar-SA"/>
        </w:rPr>
        <w:t>线上委托</w:t>
      </w:r>
      <w:r>
        <w:rPr>
          <w:rFonts w:hint="eastAsia" w:ascii="宋体" w:hAnsi="宋体" w:eastAsia="宋体" w:cs="宋体"/>
          <w:snapToGrid w:val="0"/>
          <w:color w:val="000000"/>
          <w:sz w:val="24"/>
          <w:szCs w:val="24"/>
          <w:lang w:val="en-US" w:eastAsia="zh-CN" w:bidi="ar-SA"/>
        </w:rPr>
        <w:t>小程序、</w:t>
      </w:r>
      <w:r>
        <w:rPr>
          <w:rFonts w:hint="eastAsia" w:ascii="宋体" w:hAnsi="宋体" w:cs="宋体"/>
          <w:snapToGrid w:val="0"/>
          <w:color w:val="000000"/>
          <w:sz w:val="24"/>
          <w:szCs w:val="24"/>
          <w:lang w:val="en-US" w:eastAsia="zh-CN" w:bidi="ar-SA"/>
        </w:rPr>
        <w:t>基于</w:t>
      </w:r>
      <w:r>
        <w:rPr>
          <w:rFonts w:hint="eastAsia" w:ascii="宋体" w:hAnsi="宋体" w:eastAsia="宋体" w:cs="宋体"/>
          <w:snapToGrid w:val="0"/>
          <w:color w:val="000000"/>
          <w:sz w:val="24"/>
          <w:szCs w:val="24"/>
          <w:lang w:val="en-US" w:eastAsia="zh-CN" w:bidi="ar-SA"/>
        </w:rPr>
        <w:t>二期系统</w:t>
      </w:r>
      <w:r>
        <w:rPr>
          <w:rFonts w:hint="eastAsia" w:ascii="宋体" w:hAnsi="宋体" w:cs="宋体"/>
          <w:snapToGrid w:val="0"/>
          <w:color w:val="000000"/>
          <w:sz w:val="24"/>
          <w:szCs w:val="24"/>
          <w:lang w:val="en-US" w:eastAsia="zh-CN" w:bidi="ar-SA"/>
        </w:rPr>
        <w:t>增加</w:t>
      </w:r>
      <w:r>
        <w:rPr>
          <w:rFonts w:hint="eastAsia" w:ascii="宋体" w:hAnsi="宋体" w:eastAsia="宋体" w:cs="宋体"/>
          <w:snapToGrid w:val="0"/>
          <w:color w:val="000000"/>
          <w:sz w:val="24"/>
          <w:szCs w:val="24"/>
          <w:lang w:val="en-US" w:eastAsia="zh-CN" w:bidi="ar-SA"/>
        </w:rPr>
        <w:t>的</w:t>
      </w:r>
      <w:r>
        <w:rPr>
          <w:rFonts w:hint="eastAsia" w:ascii="宋体" w:hAnsi="宋体" w:cs="宋体"/>
          <w:snapToGrid w:val="0"/>
          <w:color w:val="000000"/>
          <w:sz w:val="24"/>
          <w:szCs w:val="24"/>
          <w:lang w:val="en-US" w:eastAsia="zh-CN" w:bidi="ar-SA"/>
        </w:rPr>
        <w:t>设备数据对接</w:t>
      </w:r>
      <w:r>
        <w:rPr>
          <w:rFonts w:hint="eastAsia" w:ascii="宋体" w:hAnsi="宋体" w:eastAsia="宋体" w:cs="宋体"/>
          <w:snapToGrid w:val="0"/>
          <w:color w:val="000000"/>
          <w:sz w:val="24"/>
          <w:szCs w:val="24"/>
          <w:lang w:val="en-US" w:eastAsia="zh-CN" w:bidi="ar-SA"/>
        </w:rPr>
        <w:t>功能、可</w:t>
      </w:r>
      <w:r>
        <w:rPr>
          <w:rFonts w:hint="eastAsia" w:ascii="宋体" w:hAnsi="宋体" w:cs="宋体"/>
          <w:snapToGrid w:val="0"/>
          <w:color w:val="000000"/>
          <w:sz w:val="24"/>
          <w:szCs w:val="24"/>
          <w:lang w:val="en-US" w:eastAsia="zh-CN" w:bidi="ar-SA"/>
        </w:rPr>
        <w:t>持续</w:t>
      </w:r>
      <w:r>
        <w:rPr>
          <w:rFonts w:hint="eastAsia" w:ascii="宋体" w:hAnsi="宋体" w:eastAsia="宋体" w:cs="宋体"/>
          <w:snapToGrid w:val="0"/>
          <w:color w:val="000000"/>
          <w:sz w:val="24"/>
          <w:szCs w:val="24"/>
          <w:lang w:val="en-US" w:eastAsia="zh-CN" w:bidi="ar-SA"/>
        </w:rPr>
        <w:t>维护的专项知识</w:t>
      </w:r>
      <w:r>
        <w:rPr>
          <w:rFonts w:hint="eastAsia" w:ascii="宋体" w:hAnsi="宋体" w:cs="宋体"/>
          <w:snapToGrid w:val="0"/>
          <w:color w:val="000000"/>
          <w:sz w:val="24"/>
          <w:szCs w:val="24"/>
          <w:lang w:val="en-US" w:eastAsia="zh-CN" w:bidi="ar-SA"/>
        </w:rPr>
        <w:t>库</w:t>
      </w:r>
      <w:r>
        <w:rPr>
          <w:rFonts w:hint="eastAsia" w:ascii="宋体" w:hAnsi="宋体" w:eastAsia="宋体" w:cs="宋体"/>
          <w:snapToGrid w:val="0"/>
          <w:color w:val="000000"/>
          <w:sz w:val="24"/>
          <w:szCs w:val="24"/>
          <w:lang w:val="en-US" w:eastAsia="zh-CN" w:bidi="ar-SA"/>
        </w:rPr>
        <w:t>及模型版本，以及</w:t>
      </w:r>
      <w:r>
        <w:rPr>
          <w:rFonts w:hint="eastAsia" w:ascii="宋体" w:hAnsi="宋体" w:cs="宋体"/>
          <w:snapToGrid w:val="0"/>
          <w:color w:val="000000"/>
          <w:sz w:val="24"/>
          <w:szCs w:val="24"/>
          <w:lang w:val="en-US" w:eastAsia="zh-CN" w:bidi="ar-SA"/>
        </w:rPr>
        <w:t>智能</w:t>
      </w:r>
      <w:r>
        <w:rPr>
          <w:rFonts w:hint="eastAsia" w:ascii="宋体" w:hAnsi="宋体" w:eastAsia="宋体" w:cs="宋体"/>
          <w:snapToGrid w:val="0"/>
          <w:color w:val="000000"/>
          <w:sz w:val="24"/>
          <w:szCs w:val="24"/>
          <w:lang w:val="en-US" w:eastAsia="zh-CN" w:bidi="ar-SA"/>
        </w:rPr>
        <w:t>运输设备和</w:t>
      </w:r>
      <w:r>
        <w:rPr>
          <w:rFonts w:hint="eastAsia" w:ascii="宋体" w:hAnsi="宋体" w:cs="宋体"/>
          <w:snapToGrid w:val="0"/>
          <w:color w:val="000000"/>
          <w:sz w:val="24"/>
          <w:szCs w:val="24"/>
          <w:lang w:val="en-US" w:eastAsia="zh-CN" w:bidi="ar-SA"/>
        </w:rPr>
        <w:t>算力</w:t>
      </w:r>
      <w:r>
        <w:rPr>
          <w:rFonts w:hint="eastAsia" w:ascii="宋体" w:hAnsi="宋体" w:eastAsia="宋体" w:cs="宋体"/>
          <w:snapToGrid w:val="0"/>
          <w:color w:val="000000"/>
          <w:sz w:val="24"/>
          <w:szCs w:val="24"/>
          <w:lang w:val="en-US" w:eastAsia="zh-CN" w:bidi="ar-SA"/>
        </w:rPr>
        <w:t>服务器设施。软件应用、功能拓展、配置资料和硬件设备分别明确交付范围；具体清单见“4.2 预期成果”。</w:t>
      </w:r>
    </w:p>
    <w:p w14:paraId="5FED27BE">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ascii="宋体" w:hAnsi="宋体" w:eastAsia="宋体" w:cs="宋体"/>
        </w:rPr>
      </w:pPr>
    </w:p>
    <w:p w14:paraId="66E636F8">
      <w:pPr>
        <w:rPr>
          <w:rFonts w:hint="eastAsia" w:ascii="宋体" w:hAnsi="宋体" w:cs="宋体"/>
          <w:b/>
          <w:snapToGrid w:val="0"/>
          <w:color w:val="000000"/>
          <w:sz w:val="28"/>
          <w:szCs w:val="28"/>
          <w:lang w:val="en-US" w:eastAsia="zh-CN" w:bidi="ar-SA"/>
        </w:rPr>
      </w:pPr>
      <w:r>
        <w:rPr>
          <w:rFonts w:hint="eastAsia" w:ascii="宋体" w:hAnsi="宋体" w:cs="宋体"/>
          <w:b/>
          <w:snapToGrid w:val="0"/>
          <w:color w:val="000000"/>
          <w:sz w:val="28"/>
          <w:szCs w:val="28"/>
          <w:lang w:val="en-US" w:eastAsia="zh-CN" w:bidi="ar-SA"/>
        </w:rPr>
        <w:br w:type="page"/>
      </w:r>
    </w:p>
    <w:p w14:paraId="263AB2E0">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eastAsia="宋体" w:cs="宋体"/>
          <w:b/>
          <w:snapToGrid w:val="0"/>
          <w:color w:val="000000"/>
          <w:sz w:val="28"/>
          <w:szCs w:val="28"/>
          <w:lang w:val="en-US" w:eastAsia="zh-CN" w:bidi="ar-SA"/>
        </w:rPr>
      </w:pPr>
      <w:bookmarkStart w:id="9" w:name="_Toc894505828"/>
      <w:r>
        <w:rPr>
          <w:rFonts w:hint="eastAsia" w:ascii="宋体" w:hAnsi="宋体" w:cs="宋体"/>
          <w:b/>
          <w:snapToGrid w:val="0"/>
          <w:color w:val="000000"/>
          <w:sz w:val="28"/>
          <w:szCs w:val="28"/>
          <w:lang w:val="en-US" w:eastAsia="zh-CN" w:bidi="ar-SA"/>
        </w:rPr>
        <w:t>二</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总体架构</w:t>
      </w:r>
      <w:bookmarkEnd w:id="9"/>
    </w:p>
    <w:p w14:paraId="62DE14B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总体架构沿用二期业务主线，按照“数据层—平台层—业务层—应用层”自下而上组织。委托任务系统继续管理正式委托、任务、样品和业务审批；试验室管理系统继续维护人员、设备、规范和空间等基础信息。三期在既有系统中扩展相关功能，并对外部申请、现场记录、复杂报告工作区和样品运输建立必要的业务衔接。</w:t>
      </w:r>
    </w:p>
    <w:p w14:paraId="01BE59FB">
      <w:pPr>
        <w:keepNext/>
        <w:jc w:val="both"/>
        <w:rPr>
          <w:rFonts w:hint="eastAsia" w:ascii="宋体" w:hAnsi="宋体" w:eastAsia="宋体" w:cs="宋体"/>
        </w:rPr>
      </w:pP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533"/>
        <w:gridCol w:w="5557"/>
        <w:gridCol w:w="2455"/>
      </w:tblGrid>
      <w:tr w14:paraId="65FE0F32">
        <w:trPr>
          <w:cantSplit/>
          <w:tblHeader/>
          <w:jc w:val="center"/>
        </w:trPr>
        <w:tc>
          <w:tcPr>
            <w:tcW w:w="533" w:type="dxa"/>
            <w:shd w:val="clear" w:color="auto" w:fill="17365D"/>
            <w:tcMar>
              <w:top w:w="100" w:type="dxa"/>
              <w:left w:w="120" w:type="dxa"/>
              <w:bottom w:w="100" w:type="dxa"/>
              <w:right w:w="120" w:type="dxa"/>
            </w:tcMar>
            <w:vAlign w:val="center"/>
          </w:tcPr>
          <w:p w14:paraId="477096A6">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层级</w:t>
            </w:r>
          </w:p>
        </w:tc>
        <w:tc>
          <w:tcPr>
            <w:tcW w:w="5557" w:type="dxa"/>
            <w:shd w:val="clear" w:color="auto" w:fill="17365D"/>
            <w:tcMar>
              <w:top w:w="100" w:type="dxa"/>
              <w:left w:w="120" w:type="dxa"/>
              <w:bottom w:w="100" w:type="dxa"/>
              <w:right w:w="120" w:type="dxa"/>
            </w:tcMar>
            <w:vAlign w:val="center"/>
          </w:tcPr>
          <w:p w14:paraId="2046D1E5">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包含内容</w:t>
            </w:r>
          </w:p>
        </w:tc>
        <w:tc>
          <w:tcPr>
            <w:tcW w:w="0" w:type="auto"/>
            <w:shd w:val="clear" w:color="auto" w:fill="17365D"/>
            <w:tcMar>
              <w:top w:w="100" w:type="dxa"/>
              <w:left w:w="120" w:type="dxa"/>
              <w:bottom w:w="100" w:type="dxa"/>
              <w:right w:w="120" w:type="dxa"/>
            </w:tcMar>
            <w:vAlign w:val="center"/>
          </w:tcPr>
          <w:p w14:paraId="18898FC8">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在本项目中的作用</w:t>
            </w:r>
          </w:p>
        </w:tc>
      </w:tr>
      <w:tr w14:paraId="42236BF3">
        <w:trPr>
          <w:cantSplit/>
          <w:jc w:val="center"/>
        </w:trPr>
        <w:tc>
          <w:tcPr>
            <w:tcW w:w="533" w:type="dxa"/>
            <w:tcMar>
              <w:top w:w="100" w:type="dxa"/>
              <w:left w:w="120" w:type="dxa"/>
              <w:bottom w:w="100" w:type="dxa"/>
              <w:right w:w="120" w:type="dxa"/>
            </w:tcMar>
            <w:vAlign w:val="center"/>
          </w:tcPr>
          <w:p w14:paraId="68A82AD4">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应用层</w:t>
            </w:r>
          </w:p>
        </w:tc>
        <w:tc>
          <w:tcPr>
            <w:tcW w:w="5557" w:type="dxa"/>
            <w:tcMar>
              <w:top w:w="100" w:type="dxa"/>
              <w:left w:w="120" w:type="dxa"/>
              <w:bottom w:w="100" w:type="dxa"/>
              <w:right w:w="120" w:type="dxa"/>
            </w:tcMar>
            <w:vAlign w:val="center"/>
          </w:tcPr>
          <w:p w14:paraId="6283A15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委托登记小程序；二期系统内新增的设备数据、原始记录及样品运输功能页面；复杂报告</w:t>
            </w:r>
            <w:r>
              <w:rPr>
                <w:rFonts w:hint="eastAsia" w:ascii="宋体" w:hAnsi="宋体" w:cs="宋体"/>
                <w:color w:val="000000"/>
                <w:sz w:val="18"/>
                <w:lang w:val="en-US" w:eastAsia="zh-CN"/>
              </w:rPr>
              <w:t>的</w:t>
            </w:r>
            <w:r>
              <w:rPr>
                <w:rFonts w:hint="eastAsia" w:ascii="宋体" w:hAnsi="宋体" w:eastAsia="宋体" w:cs="宋体"/>
                <w:color w:val="000000"/>
                <w:sz w:val="18"/>
              </w:rPr>
              <w:t>编制与分析应用；服务器运行</w:t>
            </w:r>
            <w:r>
              <w:rPr>
                <w:rFonts w:hint="eastAsia" w:ascii="宋体" w:hAnsi="宋体" w:cs="宋体"/>
                <w:color w:val="000000"/>
                <w:sz w:val="18"/>
                <w:lang w:val="en-US" w:eastAsia="zh-CN"/>
              </w:rPr>
              <w:t>资源</w:t>
            </w:r>
            <w:r>
              <w:rPr>
                <w:rFonts w:hint="eastAsia" w:ascii="宋体" w:hAnsi="宋体" w:eastAsia="宋体" w:cs="宋体"/>
                <w:color w:val="000000"/>
                <w:sz w:val="18"/>
              </w:rPr>
              <w:t>管理页面</w:t>
            </w:r>
          </w:p>
        </w:tc>
        <w:tc>
          <w:tcPr>
            <w:tcW w:w="0" w:type="auto"/>
            <w:tcMar>
              <w:top w:w="100" w:type="dxa"/>
              <w:left w:w="120" w:type="dxa"/>
              <w:bottom w:w="100" w:type="dxa"/>
              <w:right w:w="120" w:type="dxa"/>
            </w:tcMar>
            <w:vAlign w:val="center"/>
          </w:tcPr>
          <w:p w14:paraId="552263F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面向不同岗位提供使用入口，各应用和功能页面与既有系统衔接，共用任务信息并遵循现有权限规则</w:t>
            </w:r>
          </w:p>
        </w:tc>
      </w:tr>
      <w:tr w14:paraId="1F8C4500">
        <w:trPr>
          <w:cantSplit/>
          <w:jc w:val="center"/>
        </w:trPr>
        <w:tc>
          <w:tcPr>
            <w:tcW w:w="533" w:type="dxa"/>
            <w:shd w:val="clear" w:color="auto" w:fill="F5F9FC"/>
            <w:tcMar>
              <w:top w:w="100" w:type="dxa"/>
              <w:left w:w="120" w:type="dxa"/>
              <w:bottom w:w="100" w:type="dxa"/>
              <w:right w:w="120" w:type="dxa"/>
            </w:tcMar>
            <w:vAlign w:val="center"/>
          </w:tcPr>
          <w:p w14:paraId="124C983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业务层</w:t>
            </w:r>
          </w:p>
        </w:tc>
        <w:tc>
          <w:tcPr>
            <w:tcW w:w="5557" w:type="dxa"/>
            <w:shd w:val="clear" w:color="auto" w:fill="F5F9FC"/>
            <w:tcMar>
              <w:top w:w="100" w:type="dxa"/>
              <w:left w:w="120" w:type="dxa"/>
              <w:bottom w:w="100" w:type="dxa"/>
              <w:right w:w="120" w:type="dxa"/>
            </w:tcMar>
            <w:vAlign w:val="center"/>
          </w:tcPr>
          <w:p w14:paraId="70FCA49D">
            <w:pPr>
              <w:spacing w:before="0" w:after="0" w:line="269" w:lineRule="auto"/>
              <w:jc w:val="left"/>
              <w:rPr>
                <w:rFonts w:hint="default" w:ascii="宋体" w:hAnsi="宋体" w:eastAsia="宋体" w:cs="宋体"/>
                <w:color w:val="000000"/>
                <w:sz w:val="18"/>
                <w:lang w:val="en-US"/>
              </w:rPr>
            </w:pPr>
            <w:r>
              <w:rPr>
                <w:rFonts w:hint="eastAsia" w:ascii="宋体" w:hAnsi="宋体" w:cs="宋体"/>
                <w:color w:val="000000"/>
                <w:sz w:val="18"/>
                <w:lang w:val="en-US" w:eastAsia="zh-CN"/>
              </w:rPr>
              <w:t>线上</w:t>
            </w:r>
            <w:r>
              <w:rPr>
                <w:rFonts w:hint="eastAsia" w:ascii="宋体" w:hAnsi="宋体" w:eastAsia="宋体" w:cs="宋体"/>
                <w:color w:val="000000"/>
                <w:sz w:val="18"/>
              </w:rPr>
              <w:t>委托申请与受理、样品</w:t>
            </w:r>
            <w:r>
              <w:rPr>
                <w:rFonts w:hint="eastAsia" w:ascii="宋体" w:hAnsi="宋体" w:cs="宋体"/>
                <w:color w:val="000000"/>
                <w:sz w:val="18"/>
                <w:lang w:val="en-US" w:eastAsia="zh-CN"/>
              </w:rPr>
              <w:t>交接</w:t>
            </w:r>
            <w:r>
              <w:rPr>
                <w:rFonts w:hint="eastAsia" w:ascii="宋体" w:hAnsi="宋体" w:eastAsia="宋体" w:cs="宋体"/>
                <w:color w:val="000000"/>
                <w:sz w:val="18"/>
              </w:rPr>
              <w:t>与运输、试验</w:t>
            </w:r>
            <w:r>
              <w:rPr>
                <w:rFonts w:hint="eastAsia" w:ascii="宋体" w:hAnsi="宋体" w:cs="宋体"/>
                <w:color w:val="000000"/>
                <w:sz w:val="18"/>
                <w:lang w:val="en-US" w:eastAsia="zh-CN"/>
              </w:rPr>
              <w:t>设备数据采集能力延伸</w:t>
            </w:r>
            <w:r>
              <w:rPr>
                <w:rFonts w:hint="eastAsia" w:ascii="宋体" w:hAnsi="宋体" w:eastAsia="宋体" w:cs="宋体"/>
                <w:color w:val="000000"/>
                <w:sz w:val="18"/>
              </w:rPr>
              <w:t>、原始</w:t>
            </w:r>
            <w:r>
              <w:rPr>
                <w:rFonts w:hint="eastAsia" w:ascii="宋体" w:hAnsi="宋体" w:cs="宋体"/>
                <w:color w:val="000000"/>
                <w:sz w:val="18"/>
                <w:lang w:val="en-US" w:eastAsia="zh-CN"/>
              </w:rPr>
              <w:t>数据线上记录</w:t>
            </w:r>
            <w:r>
              <w:rPr>
                <w:rFonts w:hint="eastAsia" w:ascii="宋体" w:hAnsi="宋体" w:eastAsia="宋体" w:cs="宋体"/>
                <w:color w:val="000000"/>
                <w:sz w:val="18"/>
              </w:rPr>
              <w:t>、复杂报告</w:t>
            </w:r>
            <w:r>
              <w:rPr>
                <w:rFonts w:hint="eastAsia" w:ascii="宋体" w:hAnsi="宋体" w:cs="宋体"/>
                <w:color w:val="000000"/>
                <w:sz w:val="18"/>
                <w:lang w:val="en-US" w:eastAsia="zh-CN"/>
              </w:rPr>
              <w:t>智能生成</w:t>
            </w:r>
          </w:p>
        </w:tc>
        <w:tc>
          <w:tcPr>
            <w:tcW w:w="0" w:type="auto"/>
            <w:shd w:val="clear" w:color="auto" w:fill="F5F9FC"/>
            <w:tcMar>
              <w:top w:w="100" w:type="dxa"/>
              <w:left w:w="120" w:type="dxa"/>
              <w:bottom w:w="100" w:type="dxa"/>
              <w:right w:w="120" w:type="dxa"/>
            </w:tcMar>
            <w:vAlign w:val="center"/>
          </w:tcPr>
          <w:p w14:paraId="62F7F16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围绕每个业务环节明确输入、处理人员、输出和异常处理方式，不重建二期流程</w:t>
            </w:r>
          </w:p>
        </w:tc>
      </w:tr>
      <w:tr w14:paraId="740BDE37">
        <w:trPr>
          <w:cantSplit/>
          <w:jc w:val="center"/>
        </w:trPr>
        <w:tc>
          <w:tcPr>
            <w:tcW w:w="533" w:type="dxa"/>
            <w:tcMar>
              <w:top w:w="100" w:type="dxa"/>
              <w:left w:w="120" w:type="dxa"/>
              <w:bottom w:w="100" w:type="dxa"/>
              <w:right w:w="120" w:type="dxa"/>
            </w:tcMar>
            <w:vAlign w:val="center"/>
          </w:tcPr>
          <w:p w14:paraId="2ED30F39">
            <w:pPr>
              <w:spacing w:before="0" w:after="0" w:line="269" w:lineRule="auto"/>
              <w:jc w:val="left"/>
              <w:rPr>
                <w:rFonts w:hint="eastAsia" w:ascii="宋体" w:hAnsi="宋体" w:eastAsia="宋体" w:cs="宋体"/>
                <w:color w:val="000000"/>
                <w:sz w:val="18"/>
                <w:lang w:val="en-US" w:eastAsia="zh-CN"/>
              </w:rPr>
            </w:pPr>
            <w:r>
              <w:rPr>
                <w:rFonts w:hint="eastAsia" w:ascii="宋体" w:hAnsi="宋体" w:cs="宋体"/>
                <w:color w:val="000000"/>
                <w:sz w:val="18"/>
                <w:lang w:val="en-US" w:eastAsia="zh-CN"/>
              </w:rPr>
              <w:t>平台</w:t>
            </w:r>
            <w:r>
              <w:rPr>
                <w:rFonts w:hint="eastAsia" w:ascii="宋体" w:hAnsi="宋体" w:eastAsia="宋体" w:cs="宋体"/>
                <w:color w:val="000000"/>
                <w:sz w:val="18"/>
                <w:lang w:val="en-US" w:eastAsia="zh-CN"/>
              </w:rPr>
              <w:t>层</w:t>
            </w:r>
          </w:p>
        </w:tc>
        <w:tc>
          <w:tcPr>
            <w:tcW w:w="5557" w:type="dxa"/>
            <w:tcMar>
              <w:top w:w="100" w:type="dxa"/>
              <w:left w:w="120" w:type="dxa"/>
              <w:bottom w:w="100" w:type="dxa"/>
              <w:right w:w="120" w:type="dxa"/>
            </w:tcMar>
            <w:vAlign w:val="center"/>
          </w:tcPr>
          <w:p w14:paraId="5E24AB4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复用业务数据调用、设备接入、模板管理、知识检索、模型服务、权限管理及日志记录能力；新增设备数据适配、</w:t>
            </w:r>
            <w:r>
              <w:rPr>
                <w:rFonts w:hint="eastAsia" w:ascii="宋体" w:hAnsi="宋体" w:cs="宋体"/>
                <w:color w:val="000000"/>
                <w:sz w:val="18"/>
                <w:lang w:val="en-US" w:eastAsia="zh-CN"/>
              </w:rPr>
              <w:t>线上委托入口</w:t>
            </w:r>
            <w:r>
              <w:rPr>
                <w:rFonts w:hint="eastAsia" w:ascii="宋体" w:hAnsi="宋体" w:eastAsia="宋体" w:cs="宋体"/>
                <w:color w:val="000000"/>
                <w:sz w:val="18"/>
              </w:rPr>
              <w:t>、复杂文档处理、运输任务</w:t>
            </w:r>
            <w:r>
              <w:rPr>
                <w:rFonts w:hint="eastAsia" w:ascii="宋体" w:hAnsi="宋体" w:cs="宋体"/>
                <w:color w:val="000000"/>
                <w:sz w:val="18"/>
                <w:lang w:val="en-US" w:eastAsia="zh-CN"/>
              </w:rPr>
              <w:t>管理的</w:t>
            </w:r>
            <w:r>
              <w:rPr>
                <w:rFonts w:hint="eastAsia" w:ascii="宋体" w:hAnsi="宋体" w:eastAsia="宋体" w:cs="宋体"/>
                <w:color w:val="000000"/>
                <w:sz w:val="18"/>
              </w:rPr>
              <w:t>能力</w:t>
            </w:r>
          </w:p>
        </w:tc>
        <w:tc>
          <w:tcPr>
            <w:tcW w:w="0" w:type="auto"/>
            <w:tcMar>
              <w:top w:w="100" w:type="dxa"/>
              <w:left w:w="120" w:type="dxa"/>
              <w:bottom w:w="100" w:type="dxa"/>
              <w:right w:w="120" w:type="dxa"/>
            </w:tcMar>
            <w:vAlign w:val="center"/>
          </w:tcPr>
          <w:p w14:paraId="559836E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复用共性基础能力，补充本期业务所需的数据处理和内容组织能力</w:t>
            </w:r>
          </w:p>
        </w:tc>
      </w:tr>
      <w:tr w14:paraId="491C997E">
        <w:trPr>
          <w:cantSplit/>
          <w:jc w:val="center"/>
        </w:trPr>
        <w:tc>
          <w:tcPr>
            <w:tcW w:w="533" w:type="dxa"/>
            <w:shd w:val="clear" w:color="auto" w:fill="F5F9FC"/>
            <w:tcMar>
              <w:top w:w="100" w:type="dxa"/>
              <w:left w:w="120" w:type="dxa"/>
              <w:bottom w:w="100" w:type="dxa"/>
              <w:right w:w="120" w:type="dxa"/>
            </w:tcMar>
            <w:vAlign w:val="center"/>
          </w:tcPr>
          <w:p w14:paraId="688BE8AE">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数据层</w:t>
            </w:r>
          </w:p>
        </w:tc>
        <w:tc>
          <w:tcPr>
            <w:tcW w:w="5557" w:type="dxa"/>
            <w:shd w:val="clear" w:color="auto" w:fill="F5F9FC"/>
            <w:tcMar>
              <w:top w:w="100" w:type="dxa"/>
              <w:left w:w="120" w:type="dxa"/>
              <w:bottom w:w="100" w:type="dxa"/>
              <w:right w:w="120" w:type="dxa"/>
            </w:tcMar>
            <w:vAlign w:val="center"/>
          </w:tcPr>
          <w:p w14:paraId="7A425D6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既有客户、工程、委托、任务及样品信息，以及检测结果；</w:t>
            </w:r>
            <w:r>
              <w:rPr>
                <w:rFonts w:hint="eastAsia" w:ascii="宋体" w:hAnsi="宋体" w:cs="宋体"/>
                <w:color w:val="000000"/>
                <w:sz w:val="18"/>
                <w:lang w:val="en-US" w:eastAsia="zh-CN"/>
              </w:rPr>
              <w:t>试验</w:t>
            </w:r>
            <w:r>
              <w:rPr>
                <w:rFonts w:hint="eastAsia" w:ascii="宋体" w:hAnsi="宋体" w:eastAsia="宋体" w:cs="宋体"/>
                <w:color w:val="000000"/>
                <w:sz w:val="18"/>
              </w:rPr>
              <w:t>设备</w:t>
            </w:r>
            <w:r>
              <w:rPr>
                <w:rFonts w:hint="eastAsia" w:ascii="宋体" w:hAnsi="宋体" w:cs="宋体"/>
                <w:color w:val="000000"/>
                <w:sz w:val="18"/>
                <w:lang w:val="en-US" w:eastAsia="zh-CN"/>
              </w:rPr>
              <w:t>采集的</w:t>
            </w:r>
            <w:r>
              <w:rPr>
                <w:rFonts w:hint="eastAsia" w:ascii="宋体" w:hAnsi="宋体" w:eastAsia="宋体" w:cs="宋体"/>
                <w:color w:val="000000"/>
                <w:sz w:val="18"/>
              </w:rPr>
              <w:t>数据、试验曲线及原始文件；样品交接记录、运输记录及电子版原始记录表；专项检测影像、计算结果及历史报告；新增知识资料及训练样本</w:t>
            </w:r>
          </w:p>
        </w:tc>
        <w:tc>
          <w:tcPr>
            <w:tcW w:w="0" w:type="auto"/>
            <w:shd w:val="clear" w:color="auto" w:fill="F5F9FC"/>
            <w:tcMar>
              <w:top w:w="100" w:type="dxa"/>
              <w:left w:w="120" w:type="dxa"/>
              <w:bottom w:w="100" w:type="dxa"/>
              <w:right w:w="120" w:type="dxa"/>
            </w:tcMar>
            <w:vAlign w:val="center"/>
          </w:tcPr>
          <w:p w14:paraId="63B432F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在原有数据基础上扩展数据来源，通过委托编号、样品编号、设备编号及检测项目信息建立关联，并记录报告版本</w:t>
            </w:r>
          </w:p>
        </w:tc>
      </w:tr>
    </w:tbl>
    <w:p w14:paraId="42DAC9D4">
      <w:pPr>
        <w:spacing w:after="40"/>
        <w:rPr>
          <w:rFonts w:hint="eastAsia" w:ascii="宋体" w:hAnsi="宋体" w:eastAsia="宋体" w:cs="宋体"/>
        </w:rPr>
      </w:pPr>
    </w:p>
    <w:p w14:paraId="5AA8A33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专项知识在二期已有知识库中补充，重点覆盖桥梁检测与评定、配合比设计、首批管道检测及复杂报告编审资料。围绕资料理解、报告分析与总结、审核意见修订及技术建议生成等任务，开展既有模型的深化训练。为满足训练及日常应用的算力需求，同步升级服务器设施，并配置必要的存储和网络资源，仅供浦江内部业务使用。</w:t>
      </w:r>
    </w:p>
    <w:p w14:paraId="08106091">
      <w:pPr>
        <w:bidi w:val="0"/>
        <w:rPr>
          <w:rFonts w:hint="eastAsia"/>
          <w:lang w:val="en-US" w:eastAsia="zh-CN"/>
        </w:rPr>
      </w:pPr>
      <w:r>
        <w:rPr>
          <w:rFonts w:hint="eastAsia"/>
          <w:lang w:val="en-US" w:eastAsia="zh-CN"/>
        </w:rPr>
        <w:drawing>
          <wp:inline distT="0" distB="0" distL="114300" distR="114300">
            <wp:extent cx="5266055" cy="2963545"/>
            <wp:effectExtent l="0" t="0" r="17145" b="8255"/>
            <wp:docPr id="13" name="图片 13" descr="9c9e744aec3c9fddb64be5a33b62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c9e744aec3c9fddb64be5a33b6226ad"/>
                    <pic:cNvPicPr>
                      <a:picLocks noChangeAspect="1"/>
                    </pic:cNvPicPr>
                  </pic:nvPicPr>
                  <pic:blipFill>
                    <a:blip r:embed="rId7"/>
                    <a:stretch>
                      <a:fillRect/>
                    </a:stretch>
                  </pic:blipFill>
                  <pic:spPr>
                    <a:xfrm>
                      <a:off x="0" y="0"/>
                      <a:ext cx="5266055" cy="2963545"/>
                    </a:xfrm>
                    <a:prstGeom prst="rect">
                      <a:avLst/>
                    </a:prstGeom>
                  </pic:spPr>
                </pic:pic>
              </a:graphicData>
            </a:graphic>
          </wp:inline>
        </w:drawing>
      </w:r>
    </w:p>
    <w:p w14:paraId="199B0986">
      <w:pPr>
        <w:rPr>
          <w:rFonts w:hint="eastAsia" w:ascii="宋体" w:hAnsi="宋体" w:cs="宋体"/>
          <w:b/>
          <w:snapToGrid w:val="0"/>
          <w:color w:val="000000"/>
          <w:sz w:val="28"/>
          <w:szCs w:val="28"/>
          <w:lang w:val="en-US" w:eastAsia="zh-CN" w:bidi="ar-SA"/>
        </w:rPr>
      </w:pPr>
      <w:r>
        <w:rPr>
          <w:rFonts w:hint="eastAsia" w:ascii="宋体" w:hAnsi="宋体" w:cs="宋体"/>
          <w:b/>
          <w:snapToGrid w:val="0"/>
          <w:color w:val="000000"/>
          <w:sz w:val="28"/>
          <w:szCs w:val="28"/>
          <w:lang w:val="en-US" w:eastAsia="zh-CN" w:bidi="ar-SA"/>
        </w:rPr>
        <w:br w:type="page"/>
      </w:r>
    </w:p>
    <w:p w14:paraId="77AD3165">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cs="宋体"/>
          <w:b/>
          <w:snapToGrid w:val="0"/>
          <w:color w:val="000000"/>
          <w:sz w:val="28"/>
          <w:szCs w:val="28"/>
          <w:lang w:val="en-US" w:eastAsia="zh-CN" w:bidi="ar-SA"/>
        </w:rPr>
      </w:pPr>
      <w:bookmarkStart w:id="10" w:name="_Toc1573922196"/>
      <w:r>
        <w:rPr>
          <w:rFonts w:hint="eastAsia" w:ascii="宋体" w:hAnsi="宋体" w:cs="宋体"/>
          <w:b/>
          <w:snapToGrid w:val="0"/>
          <w:color w:val="000000"/>
          <w:sz w:val="28"/>
          <w:szCs w:val="28"/>
          <w:lang w:val="en-US" w:eastAsia="zh-CN" w:bidi="ar-SA"/>
        </w:rPr>
        <w:t>三</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建设方案</w:t>
      </w:r>
      <w:bookmarkEnd w:id="10"/>
    </w:p>
    <w:p w14:paraId="070300C1">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lang w:val="en-US" w:eastAsia="en-US"/>
        </w:rPr>
      </w:pPr>
      <w:bookmarkStart w:id="11" w:name="_Toc206784426"/>
      <w:r>
        <w:rPr>
          <w:rFonts w:hint="eastAsia" w:ascii="宋体" w:hAnsi="宋体" w:cs="宋体"/>
          <w:b/>
          <w:snapToGrid w:val="0"/>
          <w:color w:val="000000"/>
          <w:sz w:val="28"/>
          <w:szCs w:val="28"/>
          <w:lang w:val="en-US" w:eastAsia="zh-CN" w:bidi="ar-SA"/>
        </w:rPr>
        <w:t>3.1 线上委托登记与受理服务拓展</w:t>
      </w:r>
      <w:bookmarkEnd w:id="11"/>
    </w:p>
    <w:p w14:paraId="50624241">
      <w:pPr>
        <w:bidi w:val="0"/>
        <w:rPr>
          <w:rFonts w:hint="eastAsia"/>
          <w:lang w:val="en-US" w:eastAsia="zh-CN"/>
        </w:rPr>
      </w:pPr>
      <w:bookmarkStart w:id="12" w:name="_Toc62202856"/>
      <w:r>
        <w:rPr>
          <w:rFonts w:hint="default"/>
          <w:lang w:val="en-US" w:eastAsia="zh-CN"/>
        </w:rPr>
        <w:drawing>
          <wp:inline distT="0" distB="0" distL="114300" distR="114300">
            <wp:extent cx="5269230" cy="3564255"/>
            <wp:effectExtent l="0" t="0" r="13970" b="17145"/>
            <wp:docPr id="6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4"/>
                    <pic:cNvPicPr>
                      <a:picLocks noChangeAspect="1"/>
                    </pic:cNvPicPr>
                  </pic:nvPicPr>
                  <pic:blipFill>
                    <a:blip r:embed="rId8"/>
                    <a:stretch>
                      <a:fillRect/>
                    </a:stretch>
                  </pic:blipFill>
                  <pic:spPr>
                    <a:xfrm>
                      <a:off x="0" y="0"/>
                      <a:ext cx="5269230" cy="3564255"/>
                    </a:xfrm>
                    <a:prstGeom prst="rect">
                      <a:avLst/>
                    </a:prstGeom>
                    <a:noFill/>
                    <a:ln>
                      <a:noFill/>
                    </a:ln>
                  </pic:spPr>
                </pic:pic>
              </a:graphicData>
            </a:graphic>
          </wp:inline>
        </w:drawing>
      </w:r>
    </w:p>
    <w:p w14:paraId="74A7293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13" w:name="_Toc797306936"/>
      <w:r>
        <w:rPr>
          <w:rFonts w:hint="eastAsia" w:ascii="宋体" w:hAnsi="宋体" w:cs="宋体"/>
          <w:b/>
          <w:snapToGrid w:val="0"/>
          <w:color w:val="000000"/>
          <w:sz w:val="24"/>
          <w:szCs w:val="24"/>
          <w:lang w:val="en-US" w:eastAsia="zh-CN" w:bidi="ar-SA"/>
        </w:rPr>
        <w:t>3.1.1</w:t>
      </w:r>
      <w:r>
        <w:rPr>
          <w:rFonts w:hint="eastAsia" w:ascii="宋体" w:hAnsi="宋体" w:eastAsia="宋体" w:cs="宋体"/>
          <w:b/>
          <w:snapToGrid w:val="0"/>
          <w:color w:val="000000"/>
          <w:sz w:val="24"/>
          <w:szCs w:val="24"/>
          <w:lang w:val="en-US" w:eastAsia="zh-CN" w:bidi="ar-SA"/>
        </w:rPr>
        <w:t xml:space="preserve"> </w:t>
      </w:r>
      <w:bookmarkEnd w:id="12"/>
      <w:r>
        <w:rPr>
          <w:rFonts w:hint="eastAsia" w:ascii="宋体" w:hAnsi="宋体" w:cs="宋体"/>
          <w:b/>
          <w:snapToGrid w:val="0"/>
          <w:color w:val="000000"/>
          <w:sz w:val="24"/>
          <w:szCs w:val="24"/>
          <w:lang w:val="en-US" w:eastAsia="zh-CN" w:bidi="ar-SA"/>
        </w:rPr>
        <w:t>建设方向</w:t>
      </w:r>
      <w:bookmarkEnd w:id="13"/>
    </w:p>
    <w:p w14:paraId="1B19EB1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en-US" w:bidi="ar-SA"/>
        </w:rPr>
        <w:t>在二期内部委托办理功能基础上，为委托单位和委托人新增线上申请渠道。委托方可提前提交申请并在线补充资料，登记人员完成核验和受理后，在既有系统中形成正式委托及任务。线上申请不等同于正式受理，样品是否满足接收条件仍由浦江人员确认。</w:t>
      </w:r>
    </w:p>
    <w:p w14:paraId="07407B8F">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14" w:name="_Toc39716072"/>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1</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具体建设内容</w:t>
      </w:r>
      <w:bookmarkEnd w:id="14"/>
    </w:p>
    <w:p w14:paraId="080D63D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外部委托入口。建设面向委托人的委托登记小程序，设置“委托登记”“工程信息”“我的信息”三个入口。委托人先维护工程资料及常用的单位、联系人信息，再创建委托申请，选择已维护的工程，并填写检测要求、样品信息及检测项目。小程序面向外部客户自主申请，不重复开发二期已有的内部委托办理功能。</w:t>
      </w:r>
    </w:p>
    <w:p w14:paraId="46E29BC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申请资料</w:t>
      </w:r>
      <w:r>
        <w:rPr>
          <w:rFonts w:hint="eastAsia" w:ascii="宋体" w:hAnsi="宋体" w:cs="宋体"/>
          <w:snapToGrid w:val="0"/>
          <w:color w:val="000000"/>
          <w:sz w:val="24"/>
          <w:szCs w:val="24"/>
          <w:lang w:val="en-US" w:eastAsia="zh-CN" w:bidi="ar-SA"/>
        </w:rPr>
        <w:t>上传</w:t>
      </w:r>
      <w:r>
        <w:rPr>
          <w:rFonts w:hint="eastAsia" w:ascii="宋体" w:hAnsi="宋体" w:eastAsia="宋体" w:cs="宋体"/>
          <w:snapToGrid w:val="0"/>
          <w:color w:val="000000"/>
          <w:sz w:val="24"/>
          <w:szCs w:val="24"/>
          <w:lang w:val="en-US" w:eastAsia="en-US" w:bidi="ar-SA"/>
        </w:rPr>
        <w:t>与核验。根据浦江现行委托表单和真实受理样例，确认各类检测业务的申请字段、样品接收条件及所需附件。系统在申请提交前提示必要信息缺项；登记人员查看申请时，可核对已提交资料，并标记待补充或待确认的事项。预核验仅提示资料问题，不自动作出正式受理决定。</w:t>
      </w:r>
    </w:p>
    <w:p w14:paraId="288201F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申请转受理衔接。调用二期已有客户、工程、样品及检测项目信息，按受理规则将经确认的申请内容传入相应业务字段，减少重复录入。申请中的客户或工程与已有档案重复时，由登记人员确认对应关系，避免重复建档。正式委托及任务仍在二期系统中生成并流转。</w:t>
      </w:r>
    </w:p>
    <w:p w14:paraId="0C05651F">
      <w:pPr>
        <w:bidi w:val="0"/>
        <w:rPr>
          <w:rFonts w:hint="eastAsia"/>
          <w:lang w:val="en-US" w:eastAsia="en-US"/>
        </w:rPr>
      </w:pPr>
      <w:r>
        <w:drawing>
          <wp:inline distT="0" distB="0" distL="114300" distR="114300">
            <wp:extent cx="5257800" cy="1303020"/>
            <wp:effectExtent l="0" t="0" r="0" b="17780"/>
            <wp:docPr id="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6"/>
                    <pic:cNvPicPr>
                      <a:picLocks noChangeAspect="1"/>
                    </pic:cNvPicPr>
                  </pic:nvPicPr>
                  <pic:blipFill>
                    <a:blip r:embed="rId9"/>
                    <a:stretch>
                      <a:fillRect/>
                    </a:stretch>
                  </pic:blipFill>
                  <pic:spPr>
                    <a:xfrm>
                      <a:off x="0" y="0"/>
                      <a:ext cx="5257800" cy="1303020"/>
                    </a:xfrm>
                    <a:prstGeom prst="rect">
                      <a:avLst/>
                    </a:prstGeom>
                    <a:noFill/>
                    <a:ln>
                      <a:noFill/>
                    </a:ln>
                  </pic:spPr>
                </pic:pic>
              </a:graphicData>
            </a:graphic>
          </wp:inline>
        </w:drawing>
      </w:r>
    </w:p>
    <w:p w14:paraId="2D09715B">
      <w:pPr>
        <w:bidi w:val="0"/>
        <w:rPr>
          <w:rFonts w:hint="eastAsia"/>
          <w:lang w:val="en-US" w:eastAsia="en-US"/>
        </w:rPr>
      </w:pPr>
      <w:r>
        <w:drawing>
          <wp:inline distT="0" distB="0" distL="114300" distR="114300">
            <wp:extent cx="5257800" cy="1390650"/>
            <wp:effectExtent l="0" t="0" r="0" b="6350"/>
            <wp:docPr id="6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5"/>
                    <pic:cNvPicPr>
                      <a:picLocks noChangeAspect="1"/>
                    </pic:cNvPicPr>
                  </pic:nvPicPr>
                  <pic:blipFill>
                    <a:blip r:embed="rId10"/>
                    <a:stretch>
                      <a:fillRect/>
                    </a:stretch>
                  </pic:blipFill>
                  <pic:spPr>
                    <a:xfrm>
                      <a:off x="0" y="0"/>
                      <a:ext cx="5257800" cy="1390650"/>
                    </a:xfrm>
                    <a:prstGeom prst="rect">
                      <a:avLst/>
                    </a:prstGeom>
                    <a:noFill/>
                    <a:ln>
                      <a:noFill/>
                    </a:ln>
                  </pic:spPr>
                </pic:pic>
              </a:graphicData>
            </a:graphic>
          </wp:inline>
        </w:drawing>
      </w:r>
    </w:p>
    <w:p w14:paraId="1D6EF8A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反馈与样品送达准备</w:t>
      </w:r>
      <w:r>
        <w:rPr>
          <w:rFonts w:hint="eastAsia" w:ascii="宋体" w:hAnsi="宋体" w:eastAsia="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en-US" w:bidi="ar-SA"/>
        </w:rPr>
        <w:t>向委托人反馈资料补充要求和受理进度，提供适用的样品送达说明及交接信息。对于需要现场核查、补充样品或者签署委托文件的事项，明确后续办理要求，不把线上提交表述为取消所有线下环节。</w:t>
      </w:r>
    </w:p>
    <w:p w14:paraId="5FDDBA7C">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15" w:name="_Toc1788091534"/>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1</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15"/>
    </w:p>
    <w:p w14:paraId="2CE7587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委托方维护工程资料 → 委托方填写申请并选择样品 → 系统提示资料缺项 → 委托方补充并提交申请 → 登记人员核验及反馈 → 登记人员正式受理 → 进入二期委托任务流程。</w:t>
      </w:r>
    </w:p>
    <w:p w14:paraId="128F382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en-US" w:bidi="ar-SA"/>
        </w:rPr>
        <w:t>委托人可以提前完成资料准备，减少因信息不全而重复沟通；登记人员可以在正式受理前集中核验申请，减少资料整理和重复录入。具体受理决定及后续内部流程保持不变。</w:t>
      </w:r>
      <w:r>
        <w:rPr>
          <w:rFonts w:hint="eastAsia" w:ascii="宋体" w:hAnsi="宋体" w:cs="宋体"/>
          <w:snapToGrid w:val="0"/>
          <w:color w:val="000000"/>
          <w:sz w:val="24"/>
          <w:szCs w:val="24"/>
          <w:lang w:val="en-US" w:eastAsia="zh-CN" w:bidi="ar-SA"/>
        </w:rPr>
        <w:t>支持委托人远程线上进行委托登记，改变传统线下办理业务的模式。</w:t>
      </w:r>
    </w:p>
    <w:p w14:paraId="64536BAF">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cs="宋体"/>
          <w:b/>
          <w:snapToGrid w:val="0"/>
          <w:color w:val="000000"/>
          <w:sz w:val="28"/>
          <w:szCs w:val="28"/>
          <w:lang w:val="en-US" w:eastAsia="zh-CN" w:bidi="ar-SA"/>
        </w:rPr>
      </w:pPr>
      <w:bookmarkStart w:id="16" w:name="_Toc568255820"/>
      <w:r>
        <w:rPr>
          <w:rFonts w:hint="eastAsia" w:ascii="宋体" w:hAnsi="宋体" w:cs="宋体"/>
          <w:b/>
          <w:snapToGrid w:val="0"/>
          <w:color w:val="000000"/>
          <w:sz w:val="28"/>
          <w:szCs w:val="28"/>
          <w:lang w:val="en-US" w:eastAsia="zh-CN" w:bidi="ar-SA"/>
        </w:rPr>
        <w:t>3.2 试验室智能样品运输</w:t>
      </w:r>
      <w:bookmarkEnd w:id="16"/>
    </w:p>
    <w:p w14:paraId="75FB6322">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17" w:name="_Toc815788531"/>
      <w:r>
        <w:rPr>
          <w:rFonts w:hint="eastAsia" w:ascii="宋体" w:hAnsi="宋体" w:cs="宋体"/>
          <w:b/>
          <w:snapToGrid w:val="0"/>
          <w:color w:val="000000"/>
          <w:sz w:val="24"/>
          <w:szCs w:val="24"/>
          <w:lang w:val="en-US" w:eastAsia="zh-CN" w:bidi="ar-SA"/>
        </w:rPr>
        <w:t>3.2.1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17"/>
    </w:p>
    <w:p w14:paraId="7023C28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在确认适用的固定路线中引入样品运输机器人，并将运输及交接记录与委托检测任务关联。路线范围包括样品接收区、样品存放区、制样区及相关试验室之间的适用通道。建设重点是减少重复人工搬运，并明确交出人员、运输目的地及接收人员。</w:t>
      </w:r>
    </w:p>
    <w:p w14:paraId="1640BEC0">
      <w:pPr>
        <w:bidi w:val="0"/>
        <w:rPr>
          <w:rFonts w:hint="eastAsia"/>
          <w:lang w:val="en-US" w:eastAsia="zh-CN"/>
        </w:rPr>
      </w:pPr>
      <w:r>
        <w:drawing>
          <wp:inline distT="0" distB="0" distL="114300" distR="114300">
            <wp:extent cx="5267325" cy="1879600"/>
            <wp:effectExtent l="0" t="0" r="15875"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67325" cy="1879600"/>
                    </a:xfrm>
                    <a:prstGeom prst="rect">
                      <a:avLst/>
                    </a:prstGeom>
                    <a:noFill/>
                    <a:ln>
                      <a:noFill/>
                    </a:ln>
                  </pic:spPr>
                </pic:pic>
              </a:graphicData>
            </a:graphic>
          </wp:inline>
        </w:drawing>
      </w:r>
    </w:p>
    <w:p w14:paraId="7DEFAB99">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18" w:name="_Toc1422238069"/>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2</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具体建设内容</w:t>
      </w:r>
      <w:bookmarkEnd w:id="18"/>
    </w:p>
    <w:p w14:paraId="6F9143A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lang w:val="en-US" w:eastAsia="en-US"/>
        </w:rPr>
      </w:pPr>
      <w:r>
        <w:rPr>
          <w:rFonts w:hint="eastAsia" w:ascii="宋体" w:hAnsi="宋体" w:eastAsia="宋体" w:cs="宋体"/>
          <w:snapToGrid w:val="0"/>
          <w:color w:val="000000"/>
          <w:sz w:val="24"/>
          <w:szCs w:val="24"/>
          <w:lang w:val="en-US" w:eastAsia="en-US" w:bidi="ar-SA"/>
        </w:rPr>
        <w:t>样品与路线确认。勘查现有样品流转过程，确认样品类型、重量、尺寸及单批运输数量，明确容器和包装要求，并核对运输通道及交接点。优先选择包装完整、状态稳定的样品，在适合机器人通行的固定路线中试点。对于易泄漏、高温、易损、具有危险性或需要特殊保存条件的样品，应先确认安全运输要求；条件不满足时，按现有安全规程采用人工或专用运输方式。</w:t>
      </w:r>
    </w:p>
    <w:p w14:paraId="7A3A976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运输机器人与配套配置。针对目前人工运输样品的作业方式，按样品载荷、通道和装卸要求选择运输机器人，并配置适用的专用载具、托盘或固定装置。结合确认的运输路线开展安装、路线配置和调试，并对接二期样品及任务信息。本初版不预先确定机器人品牌、数量和载荷参数，具体配置在场景勘查及方案确认后确定。</w:t>
      </w:r>
    </w:p>
    <w:p w14:paraId="522E5044">
      <w:pPr>
        <w:bidi w:val="0"/>
      </w:pPr>
      <w:r>
        <w:drawing>
          <wp:inline distT="0" distB="0" distL="114300" distR="114300">
            <wp:extent cx="5264785" cy="2679065"/>
            <wp:effectExtent l="0" t="0" r="18415" b="133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264785" cy="2679065"/>
                    </a:xfrm>
                    <a:prstGeom prst="rect">
                      <a:avLst/>
                    </a:prstGeom>
                    <a:noFill/>
                    <a:ln>
                      <a:noFill/>
                    </a:ln>
                  </pic:spPr>
                </pic:pic>
              </a:graphicData>
            </a:graphic>
          </wp:inline>
        </w:drawing>
      </w:r>
    </w:p>
    <w:p w14:paraId="286385F3">
      <w:pPr>
        <w:bidi w:val="0"/>
      </w:pPr>
    </w:p>
    <w:p w14:paraId="75892A5D">
      <w:pPr>
        <w:bidi w:val="0"/>
        <w:rPr>
          <w:rFonts w:hint="eastAsia"/>
          <w:lang w:val="en-US" w:eastAsia="en-US"/>
        </w:rPr>
      </w:pPr>
      <w:r>
        <w:drawing>
          <wp:inline distT="0" distB="0" distL="114300" distR="114300">
            <wp:extent cx="5267960" cy="2533015"/>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rcRect t="13789"/>
                    <a:stretch>
                      <a:fillRect/>
                    </a:stretch>
                  </pic:blipFill>
                  <pic:spPr>
                    <a:xfrm>
                      <a:off x="0" y="0"/>
                      <a:ext cx="5267960" cy="2533015"/>
                    </a:xfrm>
                    <a:prstGeom prst="rect">
                      <a:avLst/>
                    </a:prstGeom>
                    <a:noFill/>
                    <a:ln>
                      <a:noFill/>
                    </a:ln>
                  </pic:spPr>
                </pic:pic>
              </a:graphicData>
            </a:graphic>
          </wp:inline>
        </w:drawing>
      </w:r>
    </w:p>
    <w:p w14:paraId="1972A61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运输任务与装载交接。通过已有样品编号关联装载清单，记录运输起点、目的地及接收岗位。交出人员核对样品和任务，通过标签核验或现场确认完成装载登记，再发起运输任务。机器人承担已确认路线上的运输工作；样品质量检查、分装、装载和卸载由责任人员完成，自动抓取及自动制样不纳入本初版建设范围。</w:t>
      </w:r>
    </w:p>
    <w:p w14:paraId="6C5133D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送达确认与异常处置。机器人到达指定点位后通知接收人员，由接收人员核对数量和样品状态，并记录接收结果。交出确认、运输到达和接收确认分别保存，机器人到达不能自动视为样品交接完成。路线阻塞、无人接收、定位异常、载具异常或低电量时，按确认规则暂停、通知并转人工处理，保留运输和交接记录。</w:t>
      </w:r>
    </w:p>
    <w:p w14:paraId="0DDFBB8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现场安全与业务试运行。在人机混行及转弯等场景下验证通行安全，核对坡度、门槛、门禁及跨楼层通行条件。跨楼层运输或自动通过门禁，仅在相关设备、授权和安全条件满足时纳入；条件不具备时，先实施同楼层固定路线。使用真实样品任务验证运输稳定性和交接准确性，并确认清洁要求得到满足后，再扩大应用范围。</w:t>
      </w:r>
    </w:p>
    <w:p w14:paraId="22335ABE">
      <w:pPr>
        <w:bidi w:val="0"/>
        <w:rPr>
          <w:rFonts w:hint="eastAsia"/>
          <w:lang w:val="en-US" w:eastAsia="en-US"/>
        </w:rPr>
      </w:pPr>
      <w:r>
        <w:drawing>
          <wp:inline distT="0" distB="0" distL="114300" distR="114300">
            <wp:extent cx="5267960" cy="2959100"/>
            <wp:effectExtent l="0" t="0" r="15240" b="1270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4"/>
                    <a:stretch>
                      <a:fillRect/>
                    </a:stretch>
                  </pic:blipFill>
                  <pic:spPr>
                    <a:xfrm>
                      <a:off x="0" y="0"/>
                      <a:ext cx="5267960" cy="2959100"/>
                    </a:xfrm>
                    <a:prstGeom prst="rect">
                      <a:avLst/>
                    </a:prstGeom>
                    <a:noFill/>
                    <a:ln>
                      <a:noFill/>
                    </a:ln>
                  </pic:spPr>
                </pic:pic>
              </a:graphicData>
            </a:graphic>
          </wp:inline>
        </w:drawing>
      </w:r>
    </w:p>
    <w:p w14:paraId="2091054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19" w:name="_Toc2062234573"/>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2</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19"/>
    </w:p>
    <w:p w14:paraId="125E18C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样品接收并关联委托 → 交出人员核对装载清单 → 发起运输任务 → 机器人执行确认路线 → 送达通知 → 接收人员核验确认 → 衔接后续制样或试验。</w:t>
      </w:r>
    </w:p>
    <w:p w14:paraId="114C5C2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eastAsia="宋体"/>
          <w:lang w:val="en-US" w:eastAsia="zh-CN"/>
        </w:rPr>
      </w:pPr>
      <w:r>
        <w:rPr>
          <w:rFonts w:hint="eastAsia" w:ascii="宋体" w:hAnsi="宋体" w:eastAsia="宋体" w:cs="宋体"/>
          <w:snapToGrid w:val="0"/>
          <w:color w:val="000000"/>
          <w:sz w:val="24"/>
          <w:szCs w:val="24"/>
          <w:lang w:val="en-US" w:eastAsia="en-US" w:bidi="ar-SA"/>
        </w:rPr>
        <w:t>样品管理人员和试验人员能够查看样品交接状态和运输记录，减少适用固定路线中的人工往返及样品位置查询。机器人仅承担运输，样品质量验收、试验操作和交接确认仍由相应人员负责。</w:t>
      </w:r>
    </w:p>
    <w:p w14:paraId="79EA6C80">
      <w:pPr>
        <w:pStyle w:val="2"/>
        <w:rPr>
          <w:rFonts w:hint="eastAsia" w:ascii="宋体" w:hAnsi="宋体" w:cs="宋体"/>
          <w:b/>
          <w:snapToGrid w:val="0"/>
          <w:color w:val="000000"/>
          <w:sz w:val="28"/>
          <w:szCs w:val="28"/>
          <w:lang w:val="en-US" w:eastAsia="zh-CN" w:bidi="ar-SA"/>
        </w:rPr>
      </w:pPr>
      <w:bookmarkStart w:id="20" w:name="_Toc1737889478"/>
      <w:r>
        <w:rPr>
          <w:rFonts w:hint="eastAsia" w:ascii="宋体" w:hAnsi="宋体" w:cs="宋体"/>
          <w:b/>
          <w:snapToGrid w:val="0"/>
          <w:color w:val="000000"/>
          <w:sz w:val="28"/>
          <w:szCs w:val="28"/>
          <w:lang w:val="en-US" w:eastAsia="zh-CN" w:bidi="ar-SA"/>
        </w:rPr>
        <w:t>3.3 试验设备网联拓展与数据贯通</w:t>
      </w:r>
      <w:bookmarkEnd w:id="20"/>
    </w:p>
    <w:p w14:paraId="58C03834">
      <w:r>
        <w:drawing>
          <wp:inline distT="0" distB="0" distL="114300" distR="114300">
            <wp:extent cx="5255260" cy="1470660"/>
            <wp:effectExtent l="0" t="0" r="2540" b="2540"/>
            <wp:docPr id="7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0"/>
                    <pic:cNvPicPr>
                      <a:picLocks noChangeAspect="1"/>
                    </pic:cNvPicPr>
                  </pic:nvPicPr>
                  <pic:blipFill>
                    <a:blip r:embed="rId15"/>
                    <a:stretch>
                      <a:fillRect/>
                    </a:stretch>
                  </pic:blipFill>
                  <pic:spPr>
                    <a:xfrm>
                      <a:off x="0" y="0"/>
                      <a:ext cx="5255260" cy="1470660"/>
                    </a:xfrm>
                    <a:prstGeom prst="rect">
                      <a:avLst/>
                    </a:prstGeom>
                    <a:noFill/>
                    <a:ln>
                      <a:noFill/>
                    </a:ln>
                  </pic:spPr>
                </pic:pic>
              </a:graphicData>
            </a:graphic>
          </wp:inline>
        </w:drawing>
      </w:r>
    </w:p>
    <w:p w14:paraId="16AA4959">
      <w:pPr>
        <w:bidi w:val="0"/>
        <w:rPr>
          <w:rFonts w:hint="eastAsia"/>
          <w:lang w:val="en-US" w:eastAsia="zh-CN"/>
        </w:rPr>
      </w:pPr>
      <w:r>
        <w:drawing>
          <wp:inline distT="0" distB="0" distL="114300" distR="114300">
            <wp:extent cx="5267325" cy="2054860"/>
            <wp:effectExtent l="0" t="0" r="15875" b="2540"/>
            <wp:docPr id="7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7"/>
                    <pic:cNvPicPr>
                      <a:picLocks noChangeAspect="1"/>
                    </pic:cNvPicPr>
                  </pic:nvPicPr>
                  <pic:blipFill>
                    <a:blip r:embed="rId16"/>
                    <a:stretch>
                      <a:fillRect/>
                    </a:stretch>
                  </pic:blipFill>
                  <pic:spPr>
                    <a:xfrm>
                      <a:off x="0" y="0"/>
                      <a:ext cx="5267325" cy="2054860"/>
                    </a:xfrm>
                    <a:prstGeom prst="rect">
                      <a:avLst/>
                    </a:prstGeom>
                    <a:noFill/>
                    <a:ln>
                      <a:noFill/>
                    </a:ln>
                  </pic:spPr>
                </pic:pic>
              </a:graphicData>
            </a:graphic>
          </wp:inline>
        </w:drawing>
      </w:r>
    </w:p>
    <w:p w14:paraId="640FFFA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21" w:name="_Toc783373899"/>
      <w:r>
        <w:rPr>
          <w:rFonts w:hint="eastAsia" w:ascii="宋体" w:hAnsi="宋体" w:cs="宋体"/>
          <w:b/>
          <w:snapToGrid w:val="0"/>
          <w:color w:val="000000"/>
          <w:sz w:val="24"/>
          <w:szCs w:val="24"/>
          <w:lang w:val="en-US" w:eastAsia="zh-CN" w:bidi="ar-SA"/>
        </w:rPr>
        <w:t>3.3.1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21"/>
    </w:p>
    <w:p w14:paraId="50E86FC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在二期设备接入和数据采集能力基础上，将采集范围拓展至其他试验室的新增设备，并覆盖相应检测项目。复用已有采集平台，使新增设备数据与实际试验任务关联，自动填入委托系统对应结果字段，并按适用规则供原始记录表引用。</w:t>
      </w:r>
    </w:p>
    <w:p w14:paraId="0B8E89B6">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22" w:name="_Toc2090364383"/>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具体建设内容</w:t>
      </w:r>
      <w:bookmarkEnd w:id="22"/>
    </w:p>
    <w:p w14:paraId="1670ED5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新增设备清单。逐台核对二期已接入设备和本期拟接入设备，在增量清单中记录设备编号、型号及所属试验室，并列明对应检测项目和可获取的数据字段。可评估的设备包括电液伺服万能试验机、电子万能试验机、液压万能试验机及其他具备数据输出条件的设备。这些名称仅为评估示例；已完成二期接入的设备不再次列为新增。</w:t>
      </w:r>
    </w:p>
    <w:p w14:paraId="27394B3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原厂数据获取与上传。核对设备原厂软件、数据输出接口、试验结果文件及使用授权。在不影响设备原有操作方式的前提下，读取可取得的结果、曲线和原始文件，并传入既有平台。对需通过原厂软件导出文件的设备，建立文件读取方式；暂不具备自动获取条件时采用受控导入，并明确人工步骤和适用边界</w:t>
      </w:r>
      <w:r>
        <w:rPr>
          <w:rFonts w:hint="eastAsia" w:ascii="宋体" w:hAnsi="宋体" w:eastAsia="宋体" w:cs="宋体"/>
          <w:snapToGrid w:val="0"/>
          <w:color w:val="000000"/>
          <w:sz w:val="24"/>
          <w:szCs w:val="24"/>
          <w:lang w:val="en-US" w:eastAsia="zh-CN" w:bidi="ar-SA"/>
        </w:rPr>
        <w:t>。</w:t>
      </w:r>
    </w:p>
    <w:p w14:paraId="008F47A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新增检测项目字段填充。根据新增设备和检测项目对应的原始记录表及二期录入字段，确认数据名称、单位、显示格式和处理规则。将设备数据同委托、样品、任务、检测项目、操作人员和设备关联，再填入现有业务位置。无法确定任务归属的数据进入待确认状态，由试验人员处理，不自动归入不明确的任务。</w:t>
      </w:r>
    </w:p>
    <w:p w14:paraId="7C1BF41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原始证据与异常数据管理。复用已有设备数据保存能力，保存新增设备的原始值、曲线及文件，同时记录采集时间和处理状态。对漏采、重复采集、计量单位不一致及数据不完整等情况提示核对，允许授权人员补充数据、更正关联关系或按规则作废，并保留操作原因及记录。根据实际接入方式，验证中断补传、重复上传识别和设备状态反馈功能。</w:t>
      </w:r>
    </w:p>
    <w:p w14:paraId="05E9A691">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23" w:name="_Toc2069203808"/>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23"/>
    </w:p>
    <w:p w14:paraId="022FD12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en-US" w:bidi="ar-SA"/>
        </w:rPr>
        <w:t>在二期系统中下达试验任务 → 现场确认样品及新增接入设备 → 使用设备开展试验 → 获取并上传设备数据 → 关联任务并校验数据 → 自动填入委托系统对应结果字段，按适用规则供原始记录表引用 → 试验人员核对确认。</w:t>
      </w:r>
    </w:p>
    <w:p w14:paraId="7E112DA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其他试验室中的新增设备完成接入后，可沿用二期已有的数据处理方式，减少相应检测项目的人工抄录和二次录入。新增试验数据与对应任务、原始文件之间建立可查询的关联关系。</w:t>
      </w:r>
    </w:p>
    <w:p w14:paraId="11CCBB2A">
      <w:pPr>
        <w:pStyle w:val="2"/>
        <w:rPr>
          <w:rFonts w:hint="default" w:ascii="宋体" w:hAnsi="宋体" w:cs="宋体"/>
          <w:b/>
          <w:snapToGrid w:val="0"/>
          <w:color w:val="000000"/>
          <w:sz w:val="28"/>
          <w:szCs w:val="28"/>
          <w:lang w:val="en-US" w:eastAsia="zh-CN" w:bidi="ar-SA"/>
        </w:rPr>
      </w:pPr>
      <w:bookmarkStart w:id="24" w:name="_Toc758221538"/>
      <w:r>
        <w:rPr>
          <w:rFonts w:hint="eastAsia" w:ascii="宋体" w:hAnsi="宋体" w:cs="宋体"/>
          <w:b/>
          <w:snapToGrid w:val="0"/>
          <w:color w:val="000000"/>
          <w:sz w:val="28"/>
          <w:szCs w:val="28"/>
          <w:lang w:val="en-US" w:eastAsia="zh-CN" w:bidi="ar-SA"/>
        </w:rPr>
        <w:t>3.4 原始数据无纸化记录</w:t>
      </w:r>
      <w:bookmarkEnd w:id="24"/>
    </w:p>
    <w:p w14:paraId="39E67350">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25" w:name="_Toc261427868"/>
      <w:r>
        <w:rPr>
          <w:rFonts w:hint="eastAsia" w:ascii="宋体" w:hAnsi="宋体" w:cs="宋体"/>
          <w:b/>
          <w:snapToGrid w:val="0"/>
          <w:color w:val="000000"/>
          <w:sz w:val="24"/>
          <w:szCs w:val="24"/>
          <w:lang w:val="en-US" w:eastAsia="zh-CN" w:bidi="ar-SA"/>
        </w:rPr>
        <w:t>3.4.1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25"/>
    </w:p>
    <w:p w14:paraId="3151C73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在既有系统中新增适用于检测试验现场的原始记录填写功能，将原先在纸质原始记录表上手写的作业方式改为在系统中填写。人员按照对应表单记录试验过程、观察结果、测量结果及相关说明，形成电子版原始记录表，并支持保存、确认、复核和查阅。</w:t>
      </w:r>
    </w:p>
    <w:p w14:paraId="18F7169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“无纸化”原始记录填写</w:t>
      </w:r>
      <w:r>
        <w:rPr>
          <w:rFonts w:hint="eastAsia" w:ascii="宋体" w:hAnsi="宋体" w:cs="宋体"/>
          <w:snapToGrid w:val="0"/>
          <w:color w:val="000000"/>
          <w:sz w:val="24"/>
          <w:szCs w:val="24"/>
          <w:lang w:val="en-US" w:eastAsia="zh-CN" w:bidi="ar-SA"/>
        </w:rPr>
        <w:t>意在代替传统手抄原始记录的形式</w:t>
      </w:r>
      <w:r>
        <w:rPr>
          <w:rFonts w:hint="eastAsia" w:ascii="宋体" w:hAnsi="宋体" w:eastAsia="宋体" w:cs="宋体"/>
          <w:snapToGrid w:val="0"/>
          <w:color w:val="000000"/>
          <w:sz w:val="24"/>
          <w:szCs w:val="24"/>
          <w:lang w:val="en-US" w:eastAsia="en-US" w:bidi="ar-SA"/>
        </w:rPr>
        <w:t>，并非取消纸质归档。系统保留原始记录表打印功能，经确认和复核的电子表单可按浦江归档要求打印，履行必要的签署手续后用于纸质归档。</w:t>
      </w:r>
    </w:p>
    <w:p w14:paraId="61F64BAC">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26" w:name="_Toc66635714"/>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4</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具体建设内容</w:t>
      </w:r>
      <w:bookmarkEnd w:id="26"/>
    </w:p>
    <w:p w14:paraId="4458631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适用记录与质量要求确认。选取本期新增设备对应检测项目和高频检测项目所用的原始记录表，区分可自动引用的内容和需要人员现场记录的内容。可自动引用的内容包括任务信息及设备数据。逐项确认试件信息、试验条件、计算过程和异常说明的记录要求，并明确人员确认和复核规则。复用二期已有模板，结合浦江质量管理要求、现场作业条件及委托要求，确认电子化适用范围。</w:t>
      </w:r>
    </w:p>
    <w:p w14:paraId="3925178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现场线上记录功能建设。按经确认的原始记录表结构，建设适用于移动设备或其他现场终端的线上记录页面，支持创建记录、记录试验过程、保存及查阅表单。人员选择任务及对应样品，调用适用模板后，按照实际作业情况记录试验条件、操作过程、观察结果、测量结果及异常说明。任务基础信息和可获取的设备数据可按确认规则引用，避免重复记录，但不能以模型生成内容替代真实原始记录。</w:t>
      </w:r>
    </w:p>
    <w:p w14:paraId="5EDAE0C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电子版原始记录表形成。将线上记录内容按照确认的原始记录表版式组织，形成对应任务和样品的电子版原始记录表。人员能够查看表内内容并确认记录完整性，后续复核和归档均以该表及其关联的原始依据为对象，不仅保存零散字段或任务结果数据。</w:t>
      </w:r>
    </w:p>
    <w:p w14:paraId="2D914AD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纸质打印与归档。按浦江现行原始记录表版式配置打印功能，保留表头、记录内容、人员签署栏及其他归档所需内容。经确认和复核后，人员可从系统中打印相应版本的原始记录表，按照既有要求完成签署及纸质归档。打印内容与所选电子表单版本保持一致，便于核对纸质记录和系统留存记录。</w:t>
      </w:r>
    </w:p>
    <w:p w14:paraId="08DFF91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记录检查与人员确认。检查必填内容及附件是否完整，核对计量单位、试验次数和数据前后一致性，提示缺项及待核验事项。记录人员确认后，由复核人员按照既有职责复核。电子确认形式及适用范围由双方依据浦江质量体系要求确定，普通页面点击或签名图片不能直接作为满足全部签署要求的依据。</w:t>
      </w:r>
    </w:p>
    <w:p w14:paraId="345D89C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记录保存与更正留痕。将电子版原始记录表与对应任务、样品和记录人员关联保存，保留创建、补充、更正、确认和复核过程。已确认记录的修改应说明原因并形成可追溯版本，便于后续查询原始内容及修改依据。需要向任务结果或报告传递内容时，按确认的业务规则衔接，不将保存原始记录表等同于完成委托系统的数据录入或报告审核。</w:t>
      </w:r>
    </w:p>
    <w:p w14:paraId="52EFD8AC">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27" w:name="_Toc1107465111"/>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4</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27"/>
    </w:p>
    <w:p w14:paraId="1D1F537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选择任务、样品及原始记录模板 → 现场在系统中填写记录 → 保存并形成电子版原始记录表 → 完整性检查及人员确认 → 按既有职责复核 → 电子表单保存与查阅；需要纸质归档时，打印相应表单并按要求签署归档。</w:t>
      </w:r>
    </w:p>
    <w:p w14:paraId="09E4479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试验人员可在检测试验现场直接填写系统表单，无需先手写纸质记录再扫描转换</w:t>
      </w:r>
      <w:r>
        <w:rPr>
          <w:rFonts w:hint="eastAsia" w:ascii="宋体" w:hAnsi="宋体" w:cs="宋体"/>
          <w:snapToGrid w:val="0"/>
          <w:color w:val="000000"/>
          <w:sz w:val="24"/>
          <w:szCs w:val="24"/>
          <w:lang w:val="en-US" w:eastAsia="zh-CN" w:bidi="ar-SA"/>
        </w:rPr>
        <w:t>，解决手写字体辨识度低、手写效率低等问题</w:t>
      </w:r>
      <w:r>
        <w:rPr>
          <w:rFonts w:hint="eastAsia" w:ascii="宋体" w:hAnsi="宋体" w:eastAsia="宋体" w:cs="宋体"/>
          <w:snapToGrid w:val="0"/>
          <w:color w:val="000000"/>
          <w:sz w:val="24"/>
          <w:szCs w:val="24"/>
          <w:lang w:val="en-US" w:eastAsia="zh-CN" w:bidi="ar-SA"/>
        </w:rPr>
        <w:t>。复核人员可查阅完整电子表单、相关依据及更正记录；归档人员可打印经确认的表单，满足纸质归档要求，实现一次填写、电子留存和按需打印。</w:t>
      </w:r>
    </w:p>
    <w:p w14:paraId="0AA4D188">
      <w:pPr>
        <w:pStyle w:val="2"/>
        <w:rPr>
          <w:rFonts w:hint="default" w:ascii="宋体" w:hAnsi="宋体" w:cs="宋体"/>
          <w:b/>
          <w:snapToGrid w:val="0"/>
          <w:color w:val="000000"/>
          <w:sz w:val="28"/>
          <w:szCs w:val="28"/>
          <w:lang w:val="en-US" w:eastAsia="zh-CN" w:bidi="ar-SA"/>
        </w:rPr>
      </w:pPr>
      <w:bookmarkStart w:id="28" w:name="_Toc925352028"/>
      <w:r>
        <w:rPr>
          <w:rFonts w:hint="eastAsia" w:ascii="宋体" w:hAnsi="宋体" w:cs="宋体"/>
          <w:b/>
          <w:snapToGrid w:val="0"/>
          <w:color w:val="000000"/>
          <w:sz w:val="28"/>
          <w:szCs w:val="28"/>
          <w:lang w:val="en-US" w:eastAsia="zh-CN" w:bidi="ar-SA"/>
        </w:rPr>
        <w:t>3.5 多结构复杂文档智能化生成</w:t>
      </w:r>
      <w:bookmarkEnd w:id="28"/>
    </w:p>
    <w:p w14:paraId="6FB113A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29" w:name="_Toc314963022"/>
      <w:r>
        <w:rPr>
          <w:rFonts w:hint="eastAsia" w:ascii="宋体" w:hAnsi="宋体" w:cs="宋体"/>
          <w:b/>
          <w:snapToGrid w:val="0"/>
          <w:color w:val="000000"/>
          <w:sz w:val="24"/>
          <w:szCs w:val="24"/>
          <w:lang w:val="en-US" w:eastAsia="zh-CN" w:bidi="ar-SA"/>
        </w:rPr>
        <w:t>3.5.1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29"/>
    </w:p>
    <w:p w14:paraId="76026BD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在既有检测结果输出能力基础上，新增复杂报告文档</w:t>
      </w:r>
      <w:r>
        <w:rPr>
          <w:rFonts w:hint="eastAsia" w:ascii="宋体" w:hAnsi="宋体" w:cs="宋体"/>
          <w:snapToGrid w:val="0"/>
          <w:color w:val="000000"/>
          <w:sz w:val="24"/>
          <w:szCs w:val="24"/>
          <w:lang w:val="en-US" w:eastAsia="zh-CN" w:bidi="ar-SA"/>
        </w:rPr>
        <w:t>智能生成生成的</w:t>
      </w:r>
      <w:r>
        <w:rPr>
          <w:rFonts w:hint="default" w:ascii="宋体" w:hAnsi="宋体" w:eastAsia="宋体" w:cs="宋体"/>
          <w:snapToGrid w:val="0"/>
          <w:color w:val="000000"/>
          <w:sz w:val="24"/>
          <w:szCs w:val="24"/>
          <w:lang w:val="en-US" w:eastAsia="zh-CN" w:bidi="ar-SA"/>
        </w:rPr>
        <w:t>功能。二期已支持</w:t>
      </w:r>
      <w:r>
        <w:rPr>
          <w:rFonts w:hint="eastAsia" w:ascii="宋体" w:hAnsi="宋体" w:cs="宋体"/>
          <w:snapToGrid w:val="0"/>
          <w:color w:val="000000"/>
          <w:sz w:val="24"/>
          <w:szCs w:val="24"/>
          <w:lang w:val="en-US" w:eastAsia="zh-CN" w:bidi="ar-SA"/>
        </w:rPr>
        <w:t>常规检测报告的</w:t>
      </w:r>
      <w:r>
        <w:rPr>
          <w:rFonts w:hint="default" w:ascii="宋体" w:hAnsi="宋体" w:eastAsia="宋体" w:cs="宋体"/>
          <w:snapToGrid w:val="0"/>
          <w:color w:val="000000"/>
          <w:sz w:val="24"/>
          <w:szCs w:val="24"/>
          <w:lang w:val="en-US" w:eastAsia="zh-CN" w:bidi="ar-SA"/>
        </w:rPr>
        <w:t>输出；本期重点面向桥梁专项检测报告、配合比设计报告等复杂文档，按章节组织多源资料和计算结果，编排图表、影像及附件，生成专业分析初稿，并支持</w:t>
      </w:r>
      <w:r>
        <w:rPr>
          <w:rFonts w:hint="eastAsia" w:ascii="宋体" w:hAnsi="宋体" w:cs="宋体"/>
          <w:snapToGrid w:val="0"/>
          <w:color w:val="000000"/>
          <w:sz w:val="24"/>
          <w:szCs w:val="24"/>
          <w:lang w:val="en-US" w:eastAsia="zh-CN" w:bidi="ar-SA"/>
        </w:rPr>
        <w:t>大模型对话的方式</w:t>
      </w:r>
      <w:r>
        <w:rPr>
          <w:rFonts w:hint="default" w:ascii="宋体" w:hAnsi="宋体" w:eastAsia="宋体" w:cs="宋体"/>
          <w:snapToGrid w:val="0"/>
          <w:color w:val="000000"/>
          <w:sz w:val="24"/>
          <w:szCs w:val="24"/>
          <w:lang w:val="en-US" w:eastAsia="zh-CN" w:bidi="ar-SA"/>
        </w:rPr>
        <w:t>协同修订</w:t>
      </w:r>
      <w:r>
        <w:rPr>
          <w:rFonts w:hint="eastAsia" w:ascii="宋体" w:hAnsi="宋体" w:cs="宋体"/>
          <w:snapToGrid w:val="0"/>
          <w:color w:val="000000"/>
          <w:sz w:val="24"/>
          <w:szCs w:val="24"/>
          <w:lang w:val="en-US" w:eastAsia="zh-CN" w:bidi="ar-SA"/>
        </w:rPr>
        <w:t>文档</w:t>
      </w:r>
      <w:r>
        <w:rPr>
          <w:rFonts w:hint="default" w:ascii="宋体" w:hAnsi="宋体" w:eastAsia="宋体" w:cs="宋体"/>
          <w:snapToGrid w:val="0"/>
          <w:color w:val="000000"/>
          <w:sz w:val="24"/>
          <w:szCs w:val="24"/>
          <w:lang w:val="en-US" w:eastAsia="zh-CN" w:bidi="ar-SA"/>
        </w:rPr>
        <w:t>。</w:t>
      </w:r>
    </w:p>
    <w:p w14:paraId="77121584">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ascii="宋体" w:hAnsi="宋体" w:eastAsia="宋体" w:cs="宋体"/>
          <w:snapToGrid w:val="0"/>
          <w:color w:val="000000"/>
          <w:sz w:val="24"/>
          <w:szCs w:val="24"/>
          <w:lang w:val="en-US" w:eastAsia="zh-CN" w:bidi="ar-SA"/>
        </w:rPr>
      </w:pPr>
      <w:r>
        <w:drawing>
          <wp:inline distT="0" distB="0" distL="114300" distR="114300">
            <wp:extent cx="5255260" cy="1466850"/>
            <wp:effectExtent l="0" t="0" r="2540" b="6350"/>
            <wp:docPr id="7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1"/>
                    <pic:cNvPicPr>
                      <a:picLocks noChangeAspect="1"/>
                    </pic:cNvPicPr>
                  </pic:nvPicPr>
                  <pic:blipFill>
                    <a:blip r:embed="rId17"/>
                    <a:stretch>
                      <a:fillRect/>
                    </a:stretch>
                  </pic:blipFill>
                  <pic:spPr>
                    <a:xfrm>
                      <a:off x="0" y="0"/>
                      <a:ext cx="5255260" cy="1466850"/>
                    </a:xfrm>
                    <a:prstGeom prst="rect">
                      <a:avLst/>
                    </a:prstGeom>
                    <a:noFill/>
                    <a:ln>
                      <a:noFill/>
                    </a:ln>
                  </pic:spPr>
                </pic:pic>
              </a:graphicData>
            </a:graphic>
          </wp:inline>
        </w:drawing>
      </w:r>
    </w:p>
    <w:p w14:paraId="60DC86B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lang w:val="en-US" w:eastAsia="zh-CN"/>
        </w:rPr>
      </w:pPr>
      <w:r>
        <w:rPr>
          <w:rFonts w:hint="eastAsia" w:ascii="宋体" w:hAnsi="宋体" w:eastAsia="宋体" w:cs="宋体"/>
          <w:snapToGrid w:val="0"/>
          <w:color w:val="000000"/>
          <w:sz w:val="24"/>
          <w:szCs w:val="24"/>
          <w:lang w:val="en-US" w:eastAsia="zh-CN" w:bidi="ar-SA"/>
        </w:rPr>
        <w:t>本项复用既有企业智能应用和</w:t>
      </w:r>
      <w:r>
        <w:rPr>
          <w:rFonts w:hint="eastAsia" w:ascii="宋体" w:hAnsi="宋体" w:cs="宋体"/>
          <w:snapToGrid w:val="0"/>
          <w:color w:val="000000"/>
          <w:sz w:val="24"/>
          <w:szCs w:val="24"/>
          <w:lang w:val="en-US" w:eastAsia="zh-CN" w:bidi="ar-SA"/>
        </w:rPr>
        <w:t>基础</w:t>
      </w:r>
      <w:r>
        <w:rPr>
          <w:rFonts w:hint="eastAsia" w:ascii="宋体" w:hAnsi="宋体" w:eastAsia="宋体" w:cs="宋体"/>
          <w:snapToGrid w:val="0"/>
          <w:color w:val="000000"/>
          <w:sz w:val="24"/>
          <w:szCs w:val="24"/>
          <w:lang w:val="en-US" w:eastAsia="zh-CN" w:bidi="ar-SA"/>
        </w:rPr>
        <w:t>报告处理能力，交付面向复杂报告</w:t>
      </w:r>
      <w:r>
        <w:rPr>
          <w:rFonts w:hint="eastAsia" w:ascii="宋体" w:hAnsi="宋体" w:cs="宋体"/>
          <w:snapToGrid w:val="0"/>
          <w:color w:val="000000"/>
          <w:sz w:val="24"/>
          <w:szCs w:val="24"/>
          <w:lang w:val="en-US" w:eastAsia="zh-CN" w:bidi="ar-SA"/>
        </w:rPr>
        <w:t>生成</w:t>
      </w:r>
      <w:r>
        <w:rPr>
          <w:rFonts w:hint="eastAsia" w:ascii="宋体" w:hAnsi="宋体" w:eastAsia="宋体" w:cs="宋体"/>
          <w:snapToGrid w:val="0"/>
          <w:color w:val="000000"/>
          <w:sz w:val="24"/>
          <w:szCs w:val="24"/>
          <w:lang w:val="en-US" w:eastAsia="zh-CN" w:bidi="ar-SA"/>
        </w:rPr>
        <w:t>与分析的业务</w:t>
      </w:r>
      <w:r>
        <w:rPr>
          <w:rFonts w:hint="eastAsia" w:ascii="宋体" w:hAnsi="宋体" w:cs="宋体"/>
          <w:snapToGrid w:val="0"/>
          <w:color w:val="000000"/>
          <w:sz w:val="24"/>
          <w:szCs w:val="24"/>
          <w:lang w:val="en-US" w:eastAsia="zh-CN" w:bidi="ar-SA"/>
        </w:rPr>
        <w:t>功能</w:t>
      </w:r>
      <w:r>
        <w:rPr>
          <w:rFonts w:hint="eastAsia" w:ascii="宋体" w:hAnsi="宋体" w:eastAsia="宋体" w:cs="宋体"/>
          <w:snapToGrid w:val="0"/>
          <w:color w:val="000000"/>
          <w:sz w:val="24"/>
          <w:szCs w:val="24"/>
          <w:lang w:val="en-US" w:eastAsia="zh-CN" w:bidi="ar-SA"/>
        </w:rPr>
        <w:t>，不重新建设通用智能体平台。应用重点支持完整报告文档的形成、编辑和复核。</w:t>
      </w:r>
    </w:p>
    <w:p w14:paraId="7CE6119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30" w:name="_Toc36320899"/>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5</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w:t>
      </w:r>
      <w:bookmarkEnd w:id="30"/>
    </w:p>
    <w:p w14:paraId="537D6F7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复杂文档范围与样稿</w:t>
      </w:r>
      <w:r>
        <w:rPr>
          <w:rFonts w:hint="eastAsia" w:ascii="宋体" w:hAnsi="宋体" w:cs="宋体"/>
          <w:snapToGrid w:val="0"/>
          <w:color w:val="000000"/>
          <w:sz w:val="24"/>
          <w:szCs w:val="24"/>
          <w:lang w:val="en-US" w:eastAsia="zh-CN" w:bidi="ar-SA"/>
        </w:rPr>
        <w:t>。</w:t>
      </w:r>
      <w:r>
        <w:rPr>
          <w:rFonts w:hint="default" w:ascii="宋体" w:hAnsi="宋体" w:eastAsia="宋体" w:cs="宋体"/>
          <w:snapToGrid w:val="0"/>
          <w:color w:val="000000"/>
          <w:sz w:val="24"/>
          <w:szCs w:val="24"/>
          <w:lang w:val="en-US" w:eastAsia="zh-CN" w:bidi="ar-SA"/>
        </w:rPr>
        <w:t>与浦江确认首批报告类型，核对现行模板、历史样例和章节结构，明确交付格式，形成用于验收对照的样稿。分别梳理各章节所需数据、计算方法及文字编制要求，并确认表格、图表、图片和附件的编排规则，不以单一结果表填充方式处理整份复杂文档。报告类型及实施批次按业务优先级和资料条件确认，示例类型不全部纳入本期承诺范围。</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35"/>
        <w:gridCol w:w="1107"/>
        <w:gridCol w:w="2831"/>
        <w:gridCol w:w="3872"/>
      </w:tblGrid>
      <w:tr w14:paraId="0C25AE30">
        <w:trPr>
          <w:cantSplit/>
          <w:tblHeader/>
          <w:jc w:val="center"/>
        </w:trPr>
        <w:tc>
          <w:tcPr>
            <w:tcW w:w="0" w:type="auto"/>
            <w:shd w:val="clear" w:color="auto" w:fill="17365D"/>
            <w:tcMar>
              <w:top w:w="100" w:type="dxa"/>
              <w:left w:w="120" w:type="dxa"/>
              <w:bottom w:w="100" w:type="dxa"/>
              <w:right w:w="120" w:type="dxa"/>
            </w:tcMar>
            <w:vAlign w:val="center"/>
          </w:tcPr>
          <w:p w14:paraId="4264ABA1">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类别</w:t>
            </w:r>
          </w:p>
        </w:tc>
        <w:tc>
          <w:tcPr>
            <w:tcW w:w="0" w:type="auto"/>
            <w:shd w:val="clear" w:color="auto" w:fill="17365D"/>
            <w:tcMar>
              <w:top w:w="100" w:type="dxa"/>
              <w:left w:w="120" w:type="dxa"/>
              <w:bottom w:w="100" w:type="dxa"/>
              <w:right w:w="120" w:type="dxa"/>
            </w:tcMar>
            <w:vAlign w:val="center"/>
          </w:tcPr>
          <w:p w14:paraId="53FBB379">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报告名称</w:t>
            </w:r>
          </w:p>
        </w:tc>
        <w:tc>
          <w:tcPr>
            <w:tcW w:w="0" w:type="auto"/>
            <w:shd w:val="clear" w:color="auto" w:fill="17365D"/>
            <w:tcMar>
              <w:top w:w="100" w:type="dxa"/>
              <w:left w:w="120" w:type="dxa"/>
              <w:bottom w:w="100" w:type="dxa"/>
              <w:right w:w="120" w:type="dxa"/>
            </w:tcMar>
            <w:vAlign w:val="center"/>
          </w:tcPr>
          <w:p w14:paraId="0EFD2654">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使用场景</w:t>
            </w:r>
          </w:p>
        </w:tc>
        <w:tc>
          <w:tcPr>
            <w:tcW w:w="0" w:type="auto"/>
            <w:shd w:val="clear" w:color="auto" w:fill="17365D"/>
            <w:tcMar>
              <w:top w:w="100" w:type="dxa"/>
              <w:left w:w="120" w:type="dxa"/>
              <w:bottom w:w="100" w:type="dxa"/>
              <w:right w:w="120" w:type="dxa"/>
            </w:tcMar>
            <w:vAlign w:val="center"/>
          </w:tcPr>
          <w:p w14:paraId="015F7CFA">
            <w:pPr>
              <w:spacing w:before="0" w:after="0" w:line="269" w:lineRule="auto"/>
              <w:jc w:val="center"/>
              <w:rPr>
                <w:rFonts w:hint="default" w:ascii="宋体" w:hAnsi="宋体" w:cs="宋体"/>
                <w:lang w:val="en-US" w:eastAsia="zh-CN"/>
              </w:rPr>
            </w:pPr>
            <w:r>
              <w:rPr>
                <w:rFonts w:hint="eastAsia" w:ascii="宋体" w:hAnsi="宋体" w:cs="宋体"/>
                <w:lang w:val="en-US" w:eastAsia="zh-CN"/>
              </w:rPr>
              <w:t>报告生成重点</w:t>
            </w:r>
          </w:p>
        </w:tc>
      </w:tr>
      <w:tr w14:paraId="2AE0C737">
        <w:trPr>
          <w:cantSplit/>
          <w:jc w:val="center"/>
        </w:trPr>
        <w:tc>
          <w:tcPr>
            <w:tcW w:w="0" w:type="auto"/>
            <w:shd w:val="clear" w:color="auto" w:fill="F5F9FC"/>
            <w:tcMar>
              <w:top w:w="100" w:type="dxa"/>
              <w:left w:w="120" w:type="dxa"/>
              <w:bottom w:w="100" w:type="dxa"/>
              <w:right w:w="120" w:type="dxa"/>
            </w:tcMar>
            <w:vAlign w:val="center"/>
          </w:tcPr>
          <w:p w14:paraId="2C8367B1">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试验设计类</w:t>
            </w:r>
          </w:p>
        </w:tc>
        <w:tc>
          <w:tcPr>
            <w:tcW w:w="0" w:type="auto"/>
            <w:shd w:val="clear" w:color="auto" w:fill="F5F9FC"/>
            <w:tcMar>
              <w:top w:w="100" w:type="dxa"/>
              <w:left w:w="120" w:type="dxa"/>
              <w:bottom w:w="100" w:type="dxa"/>
              <w:right w:w="120" w:type="dxa"/>
            </w:tcMar>
            <w:vAlign w:val="center"/>
          </w:tcPr>
          <w:p w14:paraId="376D9AF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配合比设计报告</w:t>
            </w:r>
          </w:p>
        </w:tc>
        <w:tc>
          <w:tcPr>
            <w:tcW w:w="0" w:type="auto"/>
            <w:shd w:val="clear" w:color="auto" w:fill="F5F9FC"/>
            <w:tcMar>
              <w:top w:w="100" w:type="dxa"/>
              <w:left w:w="120" w:type="dxa"/>
              <w:bottom w:w="100" w:type="dxa"/>
              <w:right w:w="120" w:type="dxa"/>
            </w:tcMar>
            <w:vAlign w:val="center"/>
          </w:tcPr>
          <w:p w14:paraId="027FA23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根据原材料试验、设计要求和计算过程形成配合比设计成果</w:t>
            </w:r>
          </w:p>
        </w:tc>
        <w:tc>
          <w:tcPr>
            <w:tcW w:w="0" w:type="auto"/>
            <w:shd w:val="clear" w:color="auto" w:fill="F5F9FC"/>
            <w:tcMar>
              <w:top w:w="100" w:type="dxa"/>
              <w:left w:w="120" w:type="dxa"/>
              <w:bottom w:w="100" w:type="dxa"/>
              <w:right w:w="120" w:type="dxa"/>
            </w:tcMar>
            <w:vAlign w:val="center"/>
          </w:tcPr>
          <w:p w14:paraId="0DB4644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汇集原材料参数、设计条件、计算过程、试配结果和最终建议值，保证数据与计算过程一致</w:t>
            </w:r>
          </w:p>
        </w:tc>
      </w:tr>
      <w:tr w14:paraId="55696F1C">
        <w:trPr>
          <w:cantSplit/>
          <w:jc w:val="center"/>
        </w:trPr>
        <w:tc>
          <w:tcPr>
            <w:tcW w:w="0" w:type="auto"/>
            <w:shd w:val="clear" w:color="auto" w:fill="F5F9FC"/>
            <w:tcMar>
              <w:top w:w="100" w:type="dxa"/>
              <w:left w:w="120" w:type="dxa"/>
              <w:bottom w:w="100" w:type="dxa"/>
              <w:right w:w="120" w:type="dxa"/>
            </w:tcMar>
            <w:vAlign w:val="center"/>
          </w:tcPr>
          <w:p w14:paraId="05A273C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110A4447">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桥梁专项检测报告</w:t>
            </w:r>
          </w:p>
        </w:tc>
        <w:tc>
          <w:tcPr>
            <w:tcW w:w="0" w:type="auto"/>
            <w:shd w:val="clear" w:color="auto" w:fill="F5F9FC"/>
            <w:tcMar>
              <w:top w:w="100" w:type="dxa"/>
              <w:left w:w="120" w:type="dxa"/>
              <w:bottom w:w="100" w:type="dxa"/>
              <w:right w:w="120" w:type="dxa"/>
            </w:tcMar>
            <w:vAlign w:val="center"/>
          </w:tcPr>
          <w:p w14:paraId="6186C48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对受检桥梁的基础信息、构件、病害、检测数据和评定结果进行系统分析</w:t>
            </w:r>
          </w:p>
        </w:tc>
        <w:tc>
          <w:tcPr>
            <w:tcW w:w="0" w:type="auto"/>
            <w:shd w:val="clear" w:color="auto" w:fill="F5F9FC"/>
            <w:tcMar>
              <w:top w:w="100" w:type="dxa"/>
              <w:left w:w="120" w:type="dxa"/>
              <w:bottom w:w="100" w:type="dxa"/>
              <w:right w:w="120" w:type="dxa"/>
            </w:tcMar>
            <w:vAlign w:val="center"/>
          </w:tcPr>
          <w:p w14:paraId="0896CC2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调用桥梁检测数据管理系统中的受检桥梁信息、病害记录、影像资料和规范计算结果，形成完整专项报告</w:t>
            </w:r>
          </w:p>
        </w:tc>
      </w:tr>
      <w:tr w14:paraId="71CB6DBC">
        <w:trPr>
          <w:cantSplit/>
          <w:jc w:val="center"/>
        </w:trPr>
        <w:tc>
          <w:tcPr>
            <w:tcW w:w="0" w:type="auto"/>
            <w:shd w:val="clear" w:color="auto" w:fill="F5F9FC"/>
            <w:tcMar>
              <w:top w:w="100" w:type="dxa"/>
              <w:left w:w="120" w:type="dxa"/>
              <w:bottom w:w="100" w:type="dxa"/>
              <w:right w:w="120" w:type="dxa"/>
            </w:tcMar>
            <w:vAlign w:val="center"/>
          </w:tcPr>
          <w:p w14:paraId="54A9CF5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76FAEB8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管道专项检测报告</w:t>
            </w:r>
          </w:p>
        </w:tc>
        <w:tc>
          <w:tcPr>
            <w:tcW w:w="0" w:type="auto"/>
            <w:shd w:val="clear" w:color="auto" w:fill="F5F9FC"/>
            <w:tcMar>
              <w:top w:w="100" w:type="dxa"/>
              <w:left w:w="120" w:type="dxa"/>
              <w:bottom w:w="100" w:type="dxa"/>
              <w:right w:w="120" w:type="dxa"/>
            </w:tcMar>
            <w:vAlign w:val="center"/>
          </w:tcPr>
          <w:p w14:paraId="167D348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汇总管道基本信息、现场检测记录、缺陷信息、影像资料和检测结论</w:t>
            </w:r>
          </w:p>
        </w:tc>
        <w:tc>
          <w:tcPr>
            <w:tcW w:w="0" w:type="auto"/>
            <w:shd w:val="clear" w:color="auto" w:fill="F5F9FC"/>
            <w:tcMar>
              <w:top w:w="100" w:type="dxa"/>
              <w:left w:w="120" w:type="dxa"/>
              <w:bottom w:w="100" w:type="dxa"/>
              <w:right w:w="120" w:type="dxa"/>
            </w:tcMar>
            <w:vAlign w:val="center"/>
          </w:tcPr>
          <w:p w14:paraId="1FBAB07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组织检测范围、缺陷位置、检测数据、图片或视频成果、判定依据和结论</w:t>
            </w:r>
          </w:p>
        </w:tc>
      </w:tr>
      <w:tr w14:paraId="0DF830BE">
        <w:trPr>
          <w:cantSplit/>
          <w:jc w:val="center"/>
        </w:trPr>
        <w:tc>
          <w:tcPr>
            <w:tcW w:w="0" w:type="auto"/>
            <w:shd w:val="clear" w:color="auto" w:fill="F5F9FC"/>
            <w:tcMar>
              <w:top w:w="100" w:type="dxa"/>
              <w:left w:w="120" w:type="dxa"/>
              <w:bottom w:w="100" w:type="dxa"/>
              <w:right w:w="120" w:type="dxa"/>
            </w:tcMar>
            <w:vAlign w:val="center"/>
          </w:tcPr>
          <w:p w14:paraId="46D7039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773A967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隧道专项检测报告</w:t>
            </w:r>
          </w:p>
        </w:tc>
        <w:tc>
          <w:tcPr>
            <w:tcW w:w="0" w:type="auto"/>
            <w:shd w:val="clear" w:color="auto" w:fill="F5F9FC"/>
            <w:tcMar>
              <w:top w:w="100" w:type="dxa"/>
              <w:left w:w="120" w:type="dxa"/>
              <w:bottom w:w="100" w:type="dxa"/>
              <w:right w:w="120" w:type="dxa"/>
            </w:tcMar>
            <w:vAlign w:val="center"/>
          </w:tcPr>
          <w:p w14:paraId="3B7B675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汇总隧道结构信息、现场检测数据、病害记录和专项分析结果</w:t>
            </w:r>
          </w:p>
        </w:tc>
        <w:tc>
          <w:tcPr>
            <w:tcW w:w="0" w:type="auto"/>
            <w:shd w:val="clear" w:color="auto" w:fill="F5F9FC"/>
            <w:tcMar>
              <w:top w:w="100" w:type="dxa"/>
              <w:left w:w="120" w:type="dxa"/>
              <w:bottom w:w="100" w:type="dxa"/>
              <w:right w:w="120" w:type="dxa"/>
            </w:tcMar>
            <w:vAlign w:val="center"/>
          </w:tcPr>
          <w:p w14:paraId="2318966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组织检测对象、部位、病害、影像资料、计算或评定结果及结论</w:t>
            </w:r>
          </w:p>
        </w:tc>
      </w:tr>
      <w:tr w14:paraId="4FABF137">
        <w:trPr>
          <w:cantSplit/>
          <w:jc w:val="center"/>
        </w:trPr>
        <w:tc>
          <w:tcPr>
            <w:tcW w:w="0" w:type="auto"/>
            <w:shd w:val="clear" w:color="auto" w:fill="F5F9FC"/>
            <w:tcMar>
              <w:top w:w="100" w:type="dxa"/>
              <w:left w:w="120" w:type="dxa"/>
              <w:bottom w:w="100" w:type="dxa"/>
              <w:right w:w="120" w:type="dxa"/>
            </w:tcMar>
            <w:vAlign w:val="center"/>
          </w:tcPr>
          <w:p w14:paraId="4E095DC5">
            <w:pPr>
              <w:spacing w:before="0" w:after="0" w:line="269" w:lineRule="auto"/>
              <w:jc w:val="left"/>
              <w:rPr>
                <w:rFonts w:hint="eastAsia" w:ascii="宋体" w:hAnsi="宋体" w:eastAsia="宋体" w:cs="宋体"/>
                <w:color w:val="000000"/>
                <w:sz w:val="18"/>
                <w:lang w:eastAsia="zh-CN"/>
              </w:rPr>
            </w:pPr>
            <w:r>
              <w:rPr>
                <w:rFonts w:hint="eastAsia" w:ascii="宋体" w:hAnsi="宋体" w:eastAsia="宋体" w:cs="宋体"/>
                <w:color w:val="000000"/>
                <w:sz w:val="18"/>
              </w:rPr>
              <w:t>综合检测类</w:t>
            </w:r>
          </w:p>
        </w:tc>
        <w:tc>
          <w:tcPr>
            <w:tcW w:w="0" w:type="auto"/>
            <w:shd w:val="clear" w:color="auto" w:fill="F5F9FC"/>
            <w:tcMar>
              <w:top w:w="100" w:type="dxa"/>
              <w:left w:w="120" w:type="dxa"/>
              <w:bottom w:w="100" w:type="dxa"/>
              <w:right w:w="120" w:type="dxa"/>
            </w:tcMar>
            <w:vAlign w:val="center"/>
          </w:tcPr>
          <w:p w14:paraId="1D14DD6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工程质量综合检测报告</w:t>
            </w:r>
          </w:p>
        </w:tc>
        <w:tc>
          <w:tcPr>
            <w:tcW w:w="0" w:type="auto"/>
            <w:shd w:val="clear" w:color="auto" w:fill="F5F9FC"/>
            <w:tcMar>
              <w:top w:w="100" w:type="dxa"/>
              <w:left w:w="120" w:type="dxa"/>
              <w:bottom w:w="100" w:type="dxa"/>
              <w:right w:w="120" w:type="dxa"/>
            </w:tcMar>
            <w:vAlign w:val="center"/>
          </w:tcPr>
          <w:p w14:paraId="3113B6B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对同一工程中多个检测项目或多类检测成果进行综合汇总</w:t>
            </w:r>
          </w:p>
        </w:tc>
        <w:tc>
          <w:tcPr>
            <w:tcW w:w="0" w:type="auto"/>
            <w:shd w:val="clear" w:color="auto" w:fill="F5F9FC"/>
            <w:tcMar>
              <w:top w:w="100" w:type="dxa"/>
              <w:left w:w="120" w:type="dxa"/>
              <w:bottom w:w="100" w:type="dxa"/>
              <w:right w:w="120" w:type="dxa"/>
            </w:tcMar>
            <w:vAlign w:val="center"/>
          </w:tcPr>
          <w:p w14:paraId="68BAD6D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统一项目基本信息和检测范围，汇集多项检测结果，形成分项结论和综合说明</w:t>
            </w:r>
          </w:p>
        </w:tc>
      </w:tr>
    </w:tbl>
    <w:p w14:paraId="173EAE63">
      <w:pPr>
        <w:bidi w:val="0"/>
        <w:rPr>
          <w:rFonts w:hint="default"/>
          <w:lang w:val="en-US" w:eastAsia="zh-CN"/>
        </w:rPr>
      </w:pPr>
    </w:p>
    <w:p w14:paraId="0A797A4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多源资料获取与任务关联。调用二期委托、工程、样品及检测项目信息，获取对应任务中经确认的试验数据，并汇集设备文件、电子原始记录表、现场资料和历史成果。用户可以补充图片、计算表、说明文件及其他附件。系统先核对资料归属和完整性，再进入报告编制；资料缺失时列明待补充内容，不生成无依据的事实描述。</w:t>
      </w:r>
    </w:p>
    <w:p w14:paraId="7DECC77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按模块填充模板。依据模板划分封面、项目信息、检测或设计方法、结果呈现、计算与评定、结论与建议、附件等模块，明确各模块对应的数据来源、文字内容及图表编排要求。固定字段直接引用真实数据，计算结果按已确认规则生成，分析文字依据任务资料和适用专业依据组织。模板更新后，同步核对字段映射和章节对应关系，确保内容填充位置准确。</w:t>
      </w:r>
    </w:p>
    <w:p w14:paraId="513F4D8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专项数据整理与专业计算。为桥梁报告补充受检桥梁及结构构件信息管理功能，关联病害记录、检测影像和历次成果，并提供技术状况评定所需计算功能。报告可按受检桥梁及检测项目调用资料。相关计算依据经浦江确认的桥梁评定规范执行，保存输入数据、计算过程和结果，由专业人员复核。配合比业务按确认方法关联原材料数据、试配记录及计算资料。专题管理服务于受托检测和报告生产，不扩展为桥梁资产运营管理；具体页面及模块形式在设计阶段确认。</w:t>
      </w:r>
    </w:p>
    <w:p w14:paraId="52F44B6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完整文档组织与协同修改。按模板生成目录和章节，编排表格、图表、图片及附件，统一相应编号，形成可编辑报告初稿。工作页面采用左侧会话窗口、右侧成果工作区的形式，编制人员可选定章节、段落、表格或图片，并通过对话提出补充、调整、核对或重新编排要求。右侧展示建议修改内容及版本差异，由人员确认采用。本期新增复杂文档协同编制能力，不重复建设基础行业问答入口。</w:t>
      </w:r>
    </w:p>
    <w:p w14:paraId="66869D78">
      <w:pPr>
        <w:bidi w:val="0"/>
        <w:rPr>
          <w:rFonts w:hint="default"/>
          <w:lang w:val="en-US" w:eastAsia="zh-CN"/>
        </w:rPr>
      </w:pPr>
      <w:r>
        <w:drawing>
          <wp:inline distT="0" distB="0" distL="114300" distR="114300">
            <wp:extent cx="5254625" cy="3300730"/>
            <wp:effectExtent l="0" t="0" r="3175" b="1270"/>
            <wp:docPr id="7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8"/>
                    <pic:cNvPicPr>
                      <a:picLocks noChangeAspect="1"/>
                    </pic:cNvPicPr>
                  </pic:nvPicPr>
                  <pic:blipFill>
                    <a:blip r:embed="rId18"/>
                    <a:stretch>
                      <a:fillRect/>
                    </a:stretch>
                  </pic:blipFill>
                  <pic:spPr>
                    <a:xfrm>
                      <a:off x="0" y="0"/>
                      <a:ext cx="5254625" cy="3300730"/>
                    </a:xfrm>
                    <a:prstGeom prst="rect">
                      <a:avLst/>
                    </a:prstGeom>
                    <a:noFill/>
                    <a:ln>
                      <a:noFill/>
                    </a:ln>
                  </pic:spPr>
                </pic:pic>
              </a:graphicData>
            </a:graphic>
          </wp:inline>
        </w:drawing>
      </w:r>
    </w:p>
    <w:p w14:paraId="389B5AD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报告后分析与历史复用。基于经确认的报告，辅助生成摘要、主要问题清单和技术建议，并根据用户要求形成方案对比材料。报告事实和计算结果应关联原始来源，技术建议应列明依据及适用条件；缺少可靠的成本、工期或效果数据时，仅提示所需补充资料，不生成无依据数值。历史案例按权限及适用条件检索引用，不直接复制其他项目的结论。</w:t>
      </w:r>
    </w:p>
    <w:p w14:paraId="6A3E4ABB">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31" w:name="_Toc559993745"/>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5</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31"/>
    </w:p>
    <w:p w14:paraId="6C8B0A2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选择任务与复杂报告类型 → 调用对应模板 → 获取并检查资料 → 按模块填充数据与计算结果 → 编写章节并编排图表、影像及附件 → 形成可编辑初稿 → 编制人员协同修订 → 按既有流程审核签发 → 按需生成总结和建议辅助材料。</w:t>
      </w:r>
    </w:p>
    <w:p w14:paraId="0EEF38C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编制人员获得的</w:t>
      </w:r>
      <w:r>
        <w:rPr>
          <w:rFonts w:hint="eastAsia" w:ascii="宋体" w:hAnsi="宋体" w:cs="宋体"/>
          <w:snapToGrid w:val="0"/>
          <w:color w:val="000000"/>
          <w:sz w:val="24"/>
          <w:szCs w:val="24"/>
          <w:lang w:val="en-US" w:eastAsia="zh-CN" w:bidi="ar-SA"/>
        </w:rPr>
        <w:t>不单单</w:t>
      </w:r>
      <w:r>
        <w:rPr>
          <w:rFonts w:hint="eastAsia" w:ascii="宋体" w:hAnsi="宋体" w:eastAsia="宋体" w:cs="宋体"/>
          <w:snapToGrid w:val="0"/>
          <w:color w:val="000000"/>
          <w:sz w:val="24"/>
          <w:szCs w:val="24"/>
          <w:lang w:val="en-US" w:eastAsia="zh-CN" w:bidi="ar-SA"/>
        </w:rPr>
        <w:t>只是</w:t>
      </w:r>
      <w:r>
        <w:rPr>
          <w:rFonts w:hint="eastAsia" w:ascii="宋体" w:hAnsi="宋体" w:cs="宋体"/>
          <w:snapToGrid w:val="0"/>
          <w:color w:val="000000"/>
          <w:sz w:val="24"/>
          <w:szCs w:val="24"/>
          <w:lang w:val="en-US" w:eastAsia="zh-CN" w:bidi="ar-SA"/>
        </w:rPr>
        <w:t>常规检测报告表</w:t>
      </w:r>
      <w:r>
        <w:rPr>
          <w:rFonts w:hint="eastAsia" w:ascii="宋体" w:hAnsi="宋体" w:eastAsia="宋体" w:cs="宋体"/>
          <w:snapToGrid w:val="0"/>
          <w:color w:val="000000"/>
          <w:sz w:val="24"/>
          <w:szCs w:val="24"/>
          <w:lang w:val="en-US" w:eastAsia="zh-CN" w:bidi="ar-SA"/>
        </w:rPr>
        <w:t>，</w:t>
      </w:r>
      <w:r>
        <w:rPr>
          <w:rFonts w:hint="eastAsia" w:ascii="宋体" w:hAnsi="宋体" w:cs="宋体"/>
          <w:snapToGrid w:val="0"/>
          <w:color w:val="000000"/>
          <w:sz w:val="24"/>
          <w:szCs w:val="24"/>
          <w:lang w:val="en-US" w:eastAsia="zh-CN" w:bidi="ar-SA"/>
        </w:rPr>
        <w:t>可根据业务需求智能化生成多结构、多形式（图片、图表等）的</w:t>
      </w:r>
      <w:r>
        <w:rPr>
          <w:rFonts w:hint="eastAsia" w:ascii="宋体" w:hAnsi="宋体" w:eastAsia="宋体" w:cs="宋体"/>
          <w:snapToGrid w:val="0"/>
          <w:color w:val="000000"/>
          <w:sz w:val="24"/>
          <w:szCs w:val="24"/>
          <w:lang w:val="en-US" w:eastAsia="zh-CN" w:bidi="ar-SA"/>
        </w:rPr>
        <w:t>报告文档</w:t>
      </w:r>
      <w:r>
        <w:rPr>
          <w:rFonts w:hint="eastAsia" w:ascii="宋体" w:hAnsi="宋体" w:cs="宋体"/>
          <w:snapToGrid w:val="0"/>
          <w:color w:val="000000"/>
          <w:sz w:val="24"/>
          <w:szCs w:val="24"/>
          <w:lang w:val="en-US" w:eastAsia="zh-CN" w:bidi="ar-SA"/>
        </w:rPr>
        <w:t>（如桥检报告、配合比设计报告、管道检测报告等）</w:t>
      </w:r>
      <w:r>
        <w:rPr>
          <w:rFonts w:hint="eastAsia" w:ascii="宋体" w:hAnsi="宋体" w:eastAsia="宋体" w:cs="宋体"/>
          <w:snapToGrid w:val="0"/>
          <w:color w:val="000000"/>
          <w:sz w:val="24"/>
          <w:szCs w:val="24"/>
          <w:lang w:val="en-US" w:eastAsia="zh-CN" w:bidi="ar-SA"/>
        </w:rPr>
        <w:t>；审核人员能够查看章节所用数据、计算依据和修改情况</w:t>
      </w:r>
      <w:r>
        <w:rPr>
          <w:rFonts w:hint="eastAsia" w:ascii="宋体" w:hAnsi="宋体" w:cs="宋体"/>
          <w:snapToGrid w:val="0"/>
          <w:color w:val="000000"/>
          <w:sz w:val="24"/>
          <w:szCs w:val="24"/>
          <w:lang w:val="en-US" w:eastAsia="zh-CN" w:bidi="ar-SA"/>
        </w:rPr>
        <w:t>，并通过自然语言模型对话的方式对文档进行协同修改</w:t>
      </w:r>
      <w:r>
        <w:rPr>
          <w:rFonts w:hint="eastAsia" w:ascii="宋体" w:hAnsi="宋体" w:eastAsia="宋体" w:cs="宋体"/>
          <w:snapToGrid w:val="0"/>
          <w:color w:val="000000"/>
          <w:sz w:val="24"/>
          <w:szCs w:val="24"/>
          <w:lang w:val="en-US" w:eastAsia="zh-CN" w:bidi="ar-SA"/>
        </w:rPr>
        <w:t>。</w:t>
      </w:r>
    </w:p>
    <w:p w14:paraId="4A9EC60E">
      <w:pPr>
        <w:pStyle w:val="2"/>
        <w:rPr>
          <w:rFonts w:hint="eastAsia" w:ascii="宋体" w:hAnsi="宋体" w:cs="宋体"/>
          <w:b/>
          <w:snapToGrid w:val="0"/>
          <w:color w:val="000000"/>
          <w:sz w:val="28"/>
          <w:szCs w:val="28"/>
          <w:lang w:val="en-US" w:eastAsia="zh-CN" w:bidi="ar-SA"/>
        </w:rPr>
      </w:pPr>
      <w:bookmarkStart w:id="32" w:name="_Toc1541531061"/>
      <w:r>
        <w:rPr>
          <w:rFonts w:hint="eastAsia" w:ascii="宋体" w:hAnsi="宋体" w:cs="宋体"/>
          <w:b/>
          <w:snapToGrid w:val="0"/>
          <w:color w:val="000000"/>
          <w:sz w:val="28"/>
          <w:szCs w:val="28"/>
          <w:lang w:val="en-US" w:eastAsia="zh-CN" w:bidi="ar-SA"/>
        </w:rPr>
        <w:t>3.6 专项知识库补充与模型深化训练</w:t>
      </w:r>
      <w:bookmarkEnd w:id="32"/>
    </w:p>
    <w:p w14:paraId="6E44661A">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33" w:name="_Toc1269824819"/>
      <w:r>
        <w:rPr>
          <w:rFonts w:hint="eastAsia" w:ascii="宋体" w:hAnsi="宋体" w:cs="宋体"/>
          <w:b/>
          <w:snapToGrid w:val="0"/>
          <w:color w:val="000000"/>
          <w:sz w:val="24"/>
          <w:szCs w:val="24"/>
          <w:lang w:val="en-US" w:eastAsia="zh-CN" w:bidi="ar-SA"/>
        </w:rPr>
        <w:t>3.6.1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33"/>
    </w:p>
    <w:p w14:paraId="7DB368D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在二期公路检测行业知识库和既有模型</w:t>
      </w:r>
      <w:r>
        <w:rPr>
          <w:rFonts w:hint="eastAsia" w:ascii="宋体" w:hAnsi="宋体" w:cs="宋体"/>
          <w:snapToGrid w:val="0"/>
          <w:color w:val="000000"/>
          <w:sz w:val="24"/>
          <w:szCs w:val="24"/>
          <w:lang w:val="en-US" w:eastAsia="zh-CN" w:bidi="ar-SA"/>
        </w:rPr>
        <w:t>能力的</w:t>
      </w:r>
      <w:r>
        <w:rPr>
          <w:rFonts w:hint="eastAsia" w:ascii="宋体" w:hAnsi="宋体" w:eastAsia="宋体" w:cs="宋体"/>
          <w:snapToGrid w:val="0"/>
          <w:color w:val="000000"/>
          <w:sz w:val="24"/>
          <w:szCs w:val="24"/>
          <w:lang w:val="en-US" w:eastAsia="zh-CN" w:bidi="ar-SA"/>
        </w:rPr>
        <w:t>基础上，补充桥梁专项检测、配合比设计及其他专项业务的专业资料，并围绕</w:t>
      </w:r>
      <w:r>
        <w:rPr>
          <w:rFonts w:hint="eastAsia" w:ascii="宋体" w:hAnsi="宋体" w:cs="宋体"/>
          <w:snapToGrid w:val="0"/>
          <w:color w:val="000000"/>
          <w:sz w:val="24"/>
          <w:szCs w:val="24"/>
          <w:lang w:val="en-US" w:eastAsia="zh-CN" w:bidi="ar-SA"/>
        </w:rPr>
        <w:t>对</w:t>
      </w:r>
      <w:r>
        <w:rPr>
          <w:rFonts w:hint="eastAsia" w:ascii="宋体" w:hAnsi="宋体" w:eastAsia="宋体" w:cs="宋体"/>
          <w:snapToGrid w:val="0"/>
          <w:color w:val="000000"/>
          <w:sz w:val="24"/>
          <w:szCs w:val="24"/>
          <w:lang w:val="en-US" w:eastAsia="zh-CN" w:bidi="ar-SA"/>
        </w:rPr>
        <w:t>复杂报告资料</w:t>
      </w:r>
      <w:r>
        <w:rPr>
          <w:rFonts w:hint="eastAsia" w:ascii="宋体" w:hAnsi="宋体" w:cs="宋体"/>
          <w:snapToGrid w:val="0"/>
          <w:color w:val="000000"/>
          <w:sz w:val="24"/>
          <w:szCs w:val="24"/>
          <w:lang w:val="en-US" w:eastAsia="zh-CN" w:bidi="ar-SA"/>
        </w:rPr>
        <w:t>的</w:t>
      </w:r>
      <w:r>
        <w:rPr>
          <w:rFonts w:hint="eastAsia" w:ascii="宋体" w:hAnsi="宋体" w:eastAsia="宋体" w:cs="宋体"/>
          <w:snapToGrid w:val="0"/>
          <w:color w:val="000000"/>
          <w:sz w:val="24"/>
          <w:szCs w:val="24"/>
          <w:lang w:val="en-US" w:eastAsia="zh-CN" w:bidi="ar-SA"/>
        </w:rPr>
        <w:t>理解、结果分析、问题归纳和建议生成开展模型深化训练</w:t>
      </w:r>
      <w:r>
        <w:rPr>
          <w:rFonts w:hint="eastAsia" w:ascii="宋体" w:hAnsi="宋体" w:cs="宋体"/>
          <w:snapToGrid w:val="0"/>
          <w:color w:val="000000"/>
          <w:sz w:val="24"/>
          <w:szCs w:val="24"/>
          <w:lang w:val="en-US" w:eastAsia="zh-CN" w:bidi="ar-SA"/>
        </w:rPr>
        <w:t>，提升模型应用能力（主要包括复杂文档的生成、决策建议的回复质量等）</w:t>
      </w:r>
      <w:r>
        <w:rPr>
          <w:rFonts w:hint="eastAsia" w:ascii="宋体" w:hAnsi="宋体" w:eastAsia="宋体" w:cs="宋体"/>
          <w:snapToGrid w:val="0"/>
          <w:color w:val="000000"/>
          <w:sz w:val="24"/>
          <w:szCs w:val="24"/>
          <w:lang w:val="en-US" w:eastAsia="zh-CN" w:bidi="ar-SA"/>
        </w:rPr>
        <w:t>。</w:t>
      </w:r>
    </w:p>
    <w:p w14:paraId="4FF4F2C7">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34" w:name="_Toc253249047"/>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6</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w:t>
      </w:r>
      <w:bookmarkEnd w:id="34"/>
    </w:p>
    <w:p w14:paraId="02287DC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专项知识库内容补充。先核对二期已有知识库中的文档及版本，再按首批报告范围补充缺失资料。桥梁专项检测重点补充结构与构件分类资料、病害识别案例、检测方法说明、技术状况评定规范、计算依据及养护维修案例，并注明建议适用条件；配合比设计重点补充设计条件说明、原材料性能及影响分析资料、试配验证记录、结果分析说明和参数调整案例；管道专项检测按首批范围补充检测方法说明、缺陷分类资料、判定依据和报告编制要求。各类资料均在既有知识库中分类增补，不将相同规范的重复导入计为新增工作量。</w:t>
      </w:r>
    </w:p>
    <w:p w14:paraId="5BC7156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复杂报告编审经验沉淀。将浦江已确认的报告模板、章节样例、典型计算说明、专业术语、审核意见和修订案例补充至既有知识库。资料按报告类型和业务用途分类，记录版本及适用条件，便于业务人员查阅，并供报告应用检索引用。</w:t>
      </w:r>
    </w:p>
    <w:p w14:paraId="0C89F9F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深化训练样本整理。从经授权的历史复杂报告、专业人员修改稿、审核意见和已确认的分析建议中选取样本，完成筛选、脱敏、去重和质量确认。围绕资料汇总、章节编写、问题与依据关联、结论一致性检查，以及条件不足时的答复和建议边界说明等任务组织样本，不将未经复核的系统输出直接用于训练。</w:t>
      </w:r>
    </w:p>
    <w:p w14:paraId="18C501B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分任务深化训练与业务验证。在二期既有模型基础上，利用经确认的专项报告、分析案例、人员修改稿和审核意见开展增量训练。训练任务包括理解多源资料并组织章节、分析桥梁检测和配合比试配结果、总结报告并归纳问题、理解审核意见并辅助修订报告，以及生成养护维修或参数调整建议、组织方案对比材料。每批使用未参与训练的业务样例进行验证，比较训练前后事实引用的准确性、专业表达的适用性、问题归纳的完整性及建议依据的充分性，再由浦江专业人员确认应用范围。根据专项任务验证结果和可用算力，确定是否升级基础模型或更新模型版本，不仅以参数规模判断能力提升。</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581"/>
        <w:gridCol w:w="3160"/>
        <w:gridCol w:w="3804"/>
      </w:tblGrid>
      <w:tr w14:paraId="1CA25EF1">
        <w:trPr>
          <w:cantSplit/>
          <w:tblHeader/>
          <w:jc w:val="center"/>
        </w:trPr>
        <w:tc>
          <w:tcPr>
            <w:tcW w:w="0" w:type="auto"/>
            <w:shd w:val="clear" w:color="auto" w:fill="17365D"/>
            <w:tcMar>
              <w:top w:w="100" w:type="dxa"/>
              <w:left w:w="120" w:type="dxa"/>
              <w:bottom w:w="100" w:type="dxa"/>
              <w:right w:w="120" w:type="dxa"/>
            </w:tcMar>
            <w:vAlign w:val="center"/>
          </w:tcPr>
          <w:p w14:paraId="1FCE9E1A">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深化任务</w:t>
            </w:r>
          </w:p>
        </w:tc>
        <w:tc>
          <w:tcPr>
            <w:tcW w:w="0" w:type="auto"/>
            <w:shd w:val="clear" w:color="auto" w:fill="17365D"/>
            <w:tcMar>
              <w:top w:w="100" w:type="dxa"/>
              <w:left w:w="120" w:type="dxa"/>
              <w:bottom w:w="100" w:type="dxa"/>
              <w:right w:w="120" w:type="dxa"/>
            </w:tcMar>
            <w:vAlign w:val="center"/>
          </w:tcPr>
          <w:p w14:paraId="2FBEA058">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主要样本来源</w:t>
            </w:r>
          </w:p>
        </w:tc>
        <w:tc>
          <w:tcPr>
            <w:tcW w:w="0" w:type="auto"/>
            <w:shd w:val="clear" w:color="auto" w:fill="17365D"/>
            <w:tcMar>
              <w:top w:w="100" w:type="dxa"/>
              <w:left w:w="120" w:type="dxa"/>
              <w:bottom w:w="100" w:type="dxa"/>
              <w:right w:w="120" w:type="dxa"/>
            </w:tcMar>
            <w:vAlign w:val="center"/>
          </w:tcPr>
          <w:p w14:paraId="7CEC6EAE">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预期可见变化</w:t>
            </w:r>
          </w:p>
        </w:tc>
      </w:tr>
      <w:tr w14:paraId="387D458D">
        <w:trPr>
          <w:cantSplit/>
          <w:jc w:val="center"/>
        </w:trPr>
        <w:tc>
          <w:tcPr>
            <w:tcW w:w="0" w:type="auto"/>
            <w:shd w:val="clear" w:color="auto" w:fill="F5F9FC"/>
            <w:tcMar>
              <w:top w:w="100" w:type="dxa"/>
              <w:left w:w="120" w:type="dxa"/>
              <w:bottom w:w="100" w:type="dxa"/>
              <w:right w:w="120" w:type="dxa"/>
            </w:tcMar>
            <w:vAlign w:val="center"/>
          </w:tcPr>
          <w:p w14:paraId="6BF68E30">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多资料理解与章节组织</w:t>
            </w:r>
          </w:p>
        </w:tc>
        <w:tc>
          <w:tcPr>
            <w:tcW w:w="0" w:type="auto"/>
            <w:shd w:val="clear" w:color="auto" w:fill="F5F9FC"/>
            <w:tcMar>
              <w:top w:w="100" w:type="dxa"/>
              <w:left w:w="120" w:type="dxa"/>
              <w:bottom w:w="100" w:type="dxa"/>
              <w:right w:w="120" w:type="dxa"/>
            </w:tcMar>
            <w:vAlign w:val="center"/>
          </w:tcPr>
          <w:p w14:paraId="1F2960C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历史复杂报告及其对应数据、图片、表格和附件</w:t>
            </w:r>
          </w:p>
        </w:tc>
        <w:tc>
          <w:tcPr>
            <w:tcW w:w="0" w:type="auto"/>
            <w:shd w:val="clear" w:color="auto" w:fill="F5F9FC"/>
            <w:tcMar>
              <w:top w:w="100" w:type="dxa"/>
              <w:left w:w="120" w:type="dxa"/>
              <w:bottom w:w="100" w:type="dxa"/>
              <w:right w:w="120" w:type="dxa"/>
            </w:tcMar>
            <w:vAlign w:val="center"/>
          </w:tcPr>
          <w:p w14:paraId="4B82268A">
            <w:pPr>
              <w:spacing w:before="0" w:after="0" w:line="269" w:lineRule="auto"/>
              <w:jc w:val="left"/>
              <w:rPr>
                <w:rFonts w:hint="eastAsia" w:ascii="宋体" w:hAnsi="宋体" w:eastAsia="宋体" w:cs="宋体"/>
                <w:b/>
                <w:bCs/>
                <w:color w:val="000000"/>
                <w:sz w:val="18"/>
              </w:rPr>
            </w:pPr>
            <w:r>
              <w:rPr>
                <w:rFonts w:hint="eastAsia" w:ascii="宋体" w:hAnsi="宋体" w:cs="宋体"/>
                <w:b/>
                <w:bCs/>
                <w:color w:val="000000"/>
                <w:sz w:val="18"/>
                <w:lang w:val="en-US" w:eastAsia="zh-CN"/>
              </w:rPr>
              <w:t>模型</w:t>
            </w:r>
            <w:r>
              <w:rPr>
                <w:rFonts w:hint="eastAsia" w:ascii="宋体" w:hAnsi="宋体" w:eastAsia="宋体" w:cs="宋体"/>
                <w:b/>
                <w:bCs/>
                <w:color w:val="000000"/>
                <w:sz w:val="18"/>
              </w:rPr>
              <w:t>能按照报告结构整理资料，减少漏项和章节混用</w:t>
            </w:r>
          </w:p>
        </w:tc>
      </w:tr>
      <w:tr w14:paraId="5EB3D604">
        <w:trPr>
          <w:cantSplit/>
          <w:jc w:val="center"/>
        </w:trPr>
        <w:tc>
          <w:tcPr>
            <w:tcW w:w="0" w:type="auto"/>
            <w:shd w:val="clear" w:color="auto" w:fill="F5F9FC"/>
            <w:tcMar>
              <w:top w:w="100" w:type="dxa"/>
              <w:left w:w="120" w:type="dxa"/>
              <w:bottom w:w="100" w:type="dxa"/>
              <w:right w:w="120" w:type="dxa"/>
            </w:tcMar>
            <w:vAlign w:val="center"/>
          </w:tcPr>
          <w:p w14:paraId="2F86CA8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专项结果分析</w:t>
            </w:r>
          </w:p>
        </w:tc>
        <w:tc>
          <w:tcPr>
            <w:tcW w:w="0" w:type="auto"/>
            <w:shd w:val="clear" w:color="auto" w:fill="F5F9FC"/>
            <w:tcMar>
              <w:top w:w="100" w:type="dxa"/>
              <w:left w:w="120" w:type="dxa"/>
              <w:bottom w:w="100" w:type="dxa"/>
              <w:right w:w="120" w:type="dxa"/>
            </w:tcMar>
            <w:vAlign w:val="center"/>
          </w:tcPr>
          <w:p w14:paraId="53D2518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桥梁病害、评定说明、配合比试配及结果分析案例</w:t>
            </w:r>
          </w:p>
        </w:tc>
        <w:tc>
          <w:tcPr>
            <w:tcW w:w="0" w:type="auto"/>
            <w:shd w:val="clear" w:color="auto" w:fill="F5F9FC"/>
            <w:tcMar>
              <w:top w:w="100" w:type="dxa"/>
              <w:left w:w="120" w:type="dxa"/>
              <w:bottom w:w="100" w:type="dxa"/>
              <w:right w:w="120" w:type="dxa"/>
            </w:tcMar>
            <w:vAlign w:val="center"/>
          </w:tcPr>
          <w:p w14:paraId="6C71667A">
            <w:pPr>
              <w:spacing w:before="0" w:after="0" w:line="269" w:lineRule="auto"/>
              <w:jc w:val="left"/>
              <w:rPr>
                <w:rFonts w:hint="eastAsia" w:ascii="宋体" w:hAnsi="宋体" w:eastAsia="宋体" w:cs="宋体"/>
                <w:b/>
                <w:bCs/>
                <w:color w:val="000000"/>
                <w:sz w:val="18"/>
              </w:rPr>
            </w:pPr>
            <w:r>
              <w:rPr>
                <w:rFonts w:hint="eastAsia" w:ascii="宋体" w:hAnsi="宋体" w:cs="宋体"/>
                <w:b/>
                <w:bCs/>
                <w:color w:val="000000"/>
                <w:sz w:val="18"/>
                <w:lang w:val="en-US" w:eastAsia="zh-CN"/>
              </w:rPr>
              <w:t>模型</w:t>
            </w:r>
            <w:r>
              <w:rPr>
                <w:rFonts w:hint="eastAsia" w:ascii="宋体" w:hAnsi="宋体" w:eastAsia="宋体" w:cs="宋体"/>
                <w:b/>
                <w:bCs/>
                <w:color w:val="000000"/>
                <w:sz w:val="18"/>
              </w:rPr>
              <w:t>能结合已确认数据组织结果解读及分析说明</w:t>
            </w:r>
          </w:p>
        </w:tc>
      </w:tr>
      <w:tr w14:paraId="6887804B">
        <w:trPr>
          <w:cantSplit/>
          <w:jc w:val="center"/>
        </w:trPr>
        <w:tc>
          <w:tcPr>
            <w:tcW w:w="0" w:type="auto"/>
            <w:shd w:val="clear" w:color="auto" w:fill="F5F9FC"/>
            <w:tcMar>
              <w:top w:w="100" w:type="dxa"/>
              <w:left w:w="120" w:type="dxa"/>
              <w:bottom w:w="100" w:type="dxa"/>
              <w:right w:w="120" w:type="dxa"/>
            </w:tcMar>
            <w:vAlign w:val="center"/>
          </w:tcPr>
          <w:p w14:paraId="0D21746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报告总结与问题归纳</w:t>
            </w:r>
          </w:p>
        </w:tc>
        <w:tc>
          <w:tcPr>
            <w:tcW w:w="0" w:type="auto"/>
            <w:shd w:val="clear" w:color="auto" w:fill="F5F9FC"/>
            <w:tcMar>
              <w:top w:w="100" w:type="dxa"/>
              <w:left w:w="120" w:type="dxa"/>
              <w:bottom w:w="100" w:type="dxa"/>
              <w:right w:w="120" w:type="dxa"/>
            </w:tcMar>
            <w:vAlign w:val="center"/>
          </w:tcPr>
          <w:p w14:paraId="27A5953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经确认的报告摘要、结论、问题清单及其对应正文</w:t>
            </w:r>
          </w:p>
        </w:tc>
        <w:tc>
          <w:tcPr>
            <w:tcW w:w="0" w:type="auto"/>
            <w:shd w:val="clear" w:color="auto" w:fill="F5F9FC"/>
            <w:tcMar>
              <w:top w:w="100" w:type="dxa"/>
              <w:left w:w="120" w:type="dxa"/>
              <w:bottom w:w="100" w:type="dxa"/>
              <w:right w:w="120" w:type="dxa"/>
            </w:tcMar>
            <w:vAlign w:val="center"/>
          </w:tcPr>
          <w:p w14:paraId="1337AD30">
            <w:pPr>
              <w:spacing w:before="0" w:after="0" w:line="269" w:lineRule="auto"/>
              <w:jc w:val="left"/>
              <w:rPr>
                <w:rFonts w:hint="eastAsia" w:ascii="宋体" w:hAnsi="宋体" w:eastAsia="宋体" w:cs="宋体"/>
                <w:b/>
                <w:bCs/>
                <w:color w:val="000000"/>
                <w:sz w:val="18"/>
              </w:rPr>
            </w:pPr>
            <w:r>
              <w:rPr>
                <w:rFonts w:hint="eastAsia" w:ascii="宋体" w:hAnsi="宋体" w:cs="宋体"/>
                <w:b/>
                <w:bCs/>
                <w:color w:val="000000"/>
                <w:sz w:val="18"/>
                <w:lang w:val="en-US" w:eastAsia="zh-CN"/>
              </w:rPr>
              <w:t>模型总结突出实际检测结果，问题与正文事实对应</w:t>
            </w:r>
          </w:p>
        </w:tc>
      </w:tr>
      <w:tr w14:paraId="08FD32B7">
        <w:trPr>
          <w:cantSplit/>
          <w:jc w:val="center"/>
        </w:trPr>
        <w:tc>
          <w:tcPr>
            <w:tcW w:w="0" w:type="auto"/>
            <w:shd w:val="clear" w:color="auto" w:fill="F5F9FC"/>
            <w:tcMar>
              <w:top w:w="100" w:type="dxa"/>
              <w:left w:w="120" w:type="dxa"/>
              <w:bottom w:w="100" w:type="dxa"/>
              <w:right w:w="120" w:type="dxa"/>
            </w:tcMar>
            <w:vAlign w:val="center"/>
          </w:tcPr>
          <w:p w14:paraId="24DED26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编审表达与意见修订</w:t>
            </w:r>
          </w:p>
        </w:tc>
        <w:tc>
          <w:tcPr>
            <w:tcW w:w="0" w:type="auto"/>
            <w:shd w:val="clear" w:color="auto" w:fill="F5F9FC"/>
            <w:tcMar>
              <w:top w:w="100" w:type="dxa"/>
              <w:left w:w="120" w:type="dxa"/>
              <w:bottom w:w="100" w:type="dxa"/>
              <w:right w:w="120" w:type="dxa"/>
            </w:tcMar>
            <w:vAlign w:val="center"/>
          </w:tcPr>
          <w:p w14:paraId="52AEBE0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人员修订稿、审核意见和确认版本</w:t>
            </w:r>
          </w:p>
        </w:tc>
        <w:tc>
          <w:tcPr>
            <w:tcW w:w="0" w:type="auto"/>
            <w:shd w:val="clear" w:color="auto" w:fill="F5F9FC"/>
            <w:tcMar>
              <w:top w:w="100" w:type="dxa"/>
              <w:left w:w="120" w:type="dxa"/>
              <w:bottom w:w="100" w:type="dxa"/>
              <w:right w:w="120" w:type="dxa"/>
            </w:tcMar>
            <w:vAlign w:val="center"/>
          </w:tcPr>
          <w:p w14:paraId="0EDB7BD1">
            <w:pPr>
              <w:spacing w:before="0" w:after="0" w:line="269" w:lineRule="auto"/>
              <w:jc w:val="left"/>
              <w:rPr>
                <w:rFonts w:hint="eastAsia" w:ascii="宋体" w:hAnsi="宋体" w:eastAsia="宋体" w:cs="宋体"/>
                <w:b/>
                <w:bCs/>
                <w:color w:val="000000"/>
                <w:sz w:val="18"/>
              </w:rPr>
            </w:pPr>
            <w:r>
              <w:rPr>
                <w:rFonts w:hint="eastAsia" w:ascii="宋体" w:hAnsi="宋体" w:cs="宋体"/>
                <w:b/>
                <w:bCs/>
                <w:color w:val="000000"/>
                <w:sz w:val="18"/>
                <w:lang w:val="en-US" w:eastAsia="zh-CN"/>
              </w:rPr>
              <w:t>模型表达更接近浦江实际报告要求，能针对审核意见调整内容</w:t>
            </w:r>
          </w:p>
        </w:tc>
      </w:tr>
      <w:tr w14:paraId="0D309FD9">
        <w:trPr>
          <w:cantSplit/>
          <w:jc w:val="center"/>
        </w:trPr>
        <w:tc>
          <w:tcPr>
            <w:tcW w:w="0" w:type="auto"/>
            <w:shd w:val="clear" w:color="auto" w:fill="F5F9FC"/>
            <w:tcMar>
              <w:top w:w="100" w:type="dxa"/>
              <w:left w:w="120" w:type="dxa"/>
              <w:bottom w:w="100" w:type="dxa"/>
              <w:right w:w="120" w:type="dxa"/>
            </w:tcMar>
            <w:vAlign w:val="center"/>
          </w:tcPr>
          <w:p w14:paraId="7E86A723">
            <w:pPr>
              <w:spacing w:before="0" w:after="0" w:line="269" w:lineRule="auto"/>
              <w:jc w:val="left"/>
              <w:rPr>
                <w:rFonts w:hint="eastAsia" w:ascii="宋体" w:hAnsi="宋体" w:eastAsia="宋体" w:cs="宋体"/>
                <w:color w:val="000000"/>
                <w:sz w:val="18"/>
                <w:lang w:eastAsia="zh-CN"/>
              </w:rPr>
            </w:pPr>
            <w:r>
              <w:rPr>
                <w:rFonts w:hint="eastAsia" w:ascii="宋体" w:hAnsi="宋体" w:eastAsia="宋体" w:cs="宋体"/>
                <w:color w:val="000000"/>
                <w:sz w:val="18"/>
              </w:rPr>
              <w:t>技术建议与方案比较</w:t>
            </w:r>
          </w:p>
        </w:tc>
        <w:tc>
          <w:tcPr>
            <w:tcW w:w="0" w:type="auto"/>
            <w:shd w:val="clear" w:color="auto" w:fill="F5F9FC"/>
            <w:tcMar>
              <w:top w:w="100" w:type="dxa"/>
              <w:left w:w="120" w:type="dxa"/>
              <w:bottom w:w="100" w:type="dxa"/>
              <w:right w:w="120" w:type="dxa"/>
            </w:tcMar>
            <w:vAlign w:val="center"/>
          </w:tcPr>
          <w:p w14:paraId="3726FE4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经确认的建议、案例和适用条件</w:t>
            </w:r>
          </w:p>
        </w:tc>
        <w:tc>
          <w:tcPr>
            <w:tcW w:w="0" w:type="auto"/>
            <w:shd w:val="clear" w:color="auto" w:fill="F5F9FC"/>
            <w:tcMar>
              <w:top w:w="100" w:type="dxa"/>
              <w:left w:w="120" w:type="dxa"/>
              <w:bottom w:w="100" w:type="dxa"/>
              <w:right w:w="120" w:type="dxa"/>
            </w:tcMar>
            <w:vAlign w:val="center"/>
          </w:tcPr>
          <w:p w14:paraId="13C2FF1D">
            <w:pPr>
              <w:spacing w:before="0" w:after="0" w:line="269" w:lineRule="auto"/>
              <w:jc w:val="left"/>
              <w:rPr>
                <w:rFonts w:hint="eastAsia" w:ascii="宋体" w:hAnsi="宋体" w:eastAsia="宋体" w:cs="宋体"/>
                <w:b/>
                <w:bCs/>
                <w:color w:val="000000"/>
                <w:sz w:val="18"/>
              </w:rPr>
            </w:pPr>
            <w:r>
              <w:rPr>
                <w:rFonts w:hint="eastAsia" w:ascii="宋体" w:hAnsi="宋体" w:cs="宋体"/>
                <w:b/>
                <w:bCs/>
                <w:color w:val="000000"/>
                <w:sz w:val="18"/>
                <w:lang w:val="en-US" w:eastAsia="zh-CN"/>
              </w:rPr>
              <w:t>模型能按问题、依据、建议和限制条件组织辅助材料</w:t>
            </w:r>
          </w:p>
        </w:tc>
      </w:tr>
    </w:tbl>
    <w:p w14:paraId="20F46034">
      <w:pPr>
        <w:bidi w:val="0"/>
        <w:rPr>
          <w:rFonts w:hint="eastAsia"/>
          <w:lang w:val="en-US" w:eastAsia="zh-CN"/>
        </w:rPr>
      </w:pPr>
    </w:p>
    <w:p w14:paraId="7BEA4D8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知识更新与模型发布。通过既有知识及配置管理功能，更新规范文档、计算规则和报告模板，并保留版本信息，不以模型记忆替代现行依据。保存训练所用样本范围、模型版本、测试结果及专业确认记录，经确认后发布模型；如应用效果明显下降，可恢复上一可用版本。结合服务器升级方案，统筹安排模型训练与日常服务的资源使用。</w:t>
      </w:r>
    </w:p>
    <w:p w14:paraId="174AAC95">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35" w:name="_Toc44144575"/>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6</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35"/>
    </w:p>
    <w:p w14:paraId="2B531AA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cs="宋体"/>
          <w:b/>
          <w:snapToGrid w:val="0"/>
          <w:color w:val="000000"/>
          <w:sz w:val="28"/>
          <w:szCs w:val="28"/>
          <w:lang w:val="en-US" w:eastAsia="zh-CN" w:bidi="ar-SA"/>
        </w:rPr>
      </w:pPr>
      <w:r>
        <w:rPr>
          <w:rFonts w:hint="eastAsia" w:ascii="宋体" w:hAnsi="宋体" w:eastAsia="宋体" w:cs="宋体"/>
          <w:snapToGrid w:val="0"/>
          <w:color w:val="000000"/>
          <w:sz w:val="24"/>
          <w:szCs w:val="24"/>
          <w:lang w:val="en-US" w:eastAsia="zh-CN" w:bidi="ar-SA"/>
        </w:rPr>
        <w:t>业务人员可查阅专项报告适用依据，并获得符合报告编制要求的文字表达建议；专业人员可基于报告中的已确认事实，形成摘要、问题清单和技术建议</w:t>
      </w:r>
      <w:r>
        <w:rPr>
          <w:rFonts w:hint="eastAsia" w:ascii="宋体" w:hAnsi="宋体" w:cs="宋体"/>
          <w:snapToGrid w:val="0"/>
          <w:color w:val="000000"/>
          <w:sz w:val="24"/>
          <w:szCs w:val="24"/>
          <w:lang w:val="en-US" w:eastAsia="zh-CN" w:bidi="ar-SA"/>
        </w:rPr>
        <w:t>等</w:t>
      </w:r>
      <w:r>
        <w:rPr>
          <w:rFonts w:hint="eastAsia" w:ascii="宋体" w:hAnsi="宋体" w:eastAsia="宋体" w:cs="宋体"/>
          <w:snapToGrid w:val="0"/>
          <w:color w:val="000000"/>
          <w:sz w:val="24"/>
          <w:szCs w:val="24"/>
          <w:lang w:val="en-US" w:eastAsia="zh-CN" w:bidi="ar-SA"/>
        </w:rPr>
        <w:t>辅助材料。模型深化训练用于提高</w:t>
      </w:r>
      <w:r>
        <w:rPr>
          <w:rFonts w:hint="eastAsia" w:ascii="宋体" w:hAnsi="宋体" w:cs="宋体"/>
          <w:snapToGrid w:val="0"/>
          <w:color w:val="000000"/>
          <w:sz w:val="24"/>
          <w:szCs w:val="24"/>
          <w:lang w:val="en-US" w:eastAsia="zh-CN" w:bidi="ar-SA"/>
        </w:rPr>
        <w:t>模型对</w:t>
      </w:r>
      <w:r>
        <w:rPr>
          <w:rFonts w:hint="eastAsia" w:ascii="宋体" w:hAnsi="宋体" w:eastAsia="宋体" w:cs="宋体"/>
          <w:snapToGrid w:val="0"/>
          <w:color w:val="000000"/>
          <w:sz w:val="24"/>
          <w:szCs w:val="24"/>
          <w:lang w:val="en-US" w:eastAsia="zh-CN" w:bidi="ar-SA"/>
        </w:rPr>
        <w:t>资料</w:t>
      </w:r>
      <w:r>
        <w:rPr>
          <w:rFonts w:hint="eastAsia" w:ascii="宋体" w:hAnsi="宋体" w:cs="宋体"/>
          <w:snapToGrid w:val="0"/>
          <w:color w:val="000000"/>
          <w:sz w:val="24"/>
          <w:szCs w:val="24"/>
          <w:lang w:val="en-US" w:eastAsia="zh-CN" w:bidi="ar-SA"/>
        </w:rPr>
        <w:t>的</w:t>
      </w:r>
      <w:r>
        <w:rPr>
          <w:rFonts w:hint="eastAsia" w:ascii="宋体" w:hAnsi="宋体" w:eastAsia="宋体" w:cs="宋体"/>
          <w:snapToGrid w:val="0"/>
          <w:color w:val="000000"/>
          <w:sz w:val="24"/>
          <w:szCs w:val="24"/>
          <w:lang w:val="en-US" w:eastAsia="zh-CN" w:bidi="ar-SA"/>
        </w:rPr>
        <w:t>理解、分析及表达能力，不替代规范计算、真实测量或正式专业判断。</w:t>
      </w:r>
    </w:p>
    <w:p w14:paraId="2513F9A6">
      <w:pPr>
        <w:pStyle w:val="2"/>
        <w:rPr>
          <w:rFonts w:hint="eastAsia" w:ascii="宋体" w:hAnsi="宋体" w:cs="宋体"/>
          <w:b/>
          <w:snapToGrid w:val="0"/>
          <w:color w:val="000000"/>
          <w:sz w:val="28"/>
          <w:szCs w:val="28"/>
          <w:lang w:val="en-US" w:eastAsia="zh-CN" w:bidi="ar-SA"/>
        </w:rPr>
      </w:pPr>
      <w:bookmarkStart w:id="36" w:name="_Toc1056013810"/>
      <w:r>
        <w:rPr>
          <w:rFonts w:hint="eastAsia" w:ascii="宋体" w:hAnsi="宋体" w:cs="宋体"/>
          <w:b/>
          <w:snapToGrid w:val="0"/>
          <w:color w:val="000000"/>
          <w:sz w:val="28"/>
          <w:szCs w:val="28"/>
          <w:lang w:val="en-US" w:eastAsia="zh-CN" w:bidi="ar-SA"/>
        </w:rPr>
        <w:t>3.7 服务器设施升级建设与算力提升</w:t>
      </w:r>
      <w:bookmarkEnd w:id="36"/>
    </w:p>
    <w:p w14:paraId="56BEB6A4">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37" w:name="_Toc1619245862"/>
      <w:r>
        <w:rPr>
          <w:rFonts w:hint="eastAsia" w:ascii="宋体" w:hAnsi="宋体" w:cs="宋体"/>
          <w:b/>
          <w:snapToGrid w:val="0"/>
          <w:color w:val="000000"/>
          <w:sz w:val="24"/>
          <w:szCs w:val="24"/>
          <w:lang w:val="en-US" w:eastAsia="zh-CN" w:bidi="ar-SA"/>
        </w:rPr>
        <w:t>3.7.1</w:t>
      </w:r>
      <w:r>
        <w:rPr>
          <w:rFonts w:hint="eastAsia" w:ascii="宋体" w:hAnsi="宋体" w:eastAsia="宋体" w:cs="宋体"/>
          <w:b/>
          <w:snapToGrid w:val="0"/>
          <w:color w:val="000000"/>
          <w:sz w:val="24"/>
          <w:szCs w:val="24"/>
          <w:lang w:val="en-US" w:eastAsia="zh-CN" w:bidi="ar-SA"/>
        </w:rPr>
        <w:t xml:space="preserve"> </w:t>
      </w:r>
      <w:r>
        <w:rPr>
          <w:rFonts w:hint="eastAsia" w:ascii="宋体" w:hAnsi="宋体" w:cs="宋体"/>
          <w:b/>
          <w:snapToGrid w:val="0"/>
          <w:color w:val="000000"/>
          <w:sz w:val="24"/>
          <w:szCs w:val="24"/>
          <w:lang w:val="en-US" w:eastAsia="zh-CN" w:bidi="ar-SA"/>
        </w:rPr>
        <w:t>建设方向</w:t>
      </w:r>
      <w:bookmarkEnd w:id="37"/>
    </w:p>
    <w:p w14:paraId="3B45B18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专项模型深化训练需要更多计算资源。模型能力提升后，报告资料理解、专项分析、总结及建议生成等任务也对算力提出更高要求；多用户同时使用时，计算需求进一步增加。因此，三期在现有服务器基础上补充必要计算设备，提高可用算力，并配套存储、网络、供电和散热设施，支撑模型训练及日常报告应用。相关设备仅供浦江内部业务使用，不开展对外资源租赁、计费交易或社会服务业务。</w:t>
      </w:r>
    </w:p>
    <w:p w14:paraId="2ACE284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本期计算能力初步按约4—10P规划。选型阶段应统一计算精度和统计口径，核对现有可用算力，确定新增算力及整体配置；不同口径的设备标称值不能直接相加。根据报告并发量、文档规模及拟使用模型的资源需求，结合训练任务开展适配验证，再确定设备型号、数量、显存容量，以及存储和网络配置。该范围是初步规划，不等同于已经核定的硬件配置或业务性能承诺。</w:t>
      </w:r>
    </w:p>
    <w:p w14:paraId="11A89EBB">
      <w:pPr>
        <w:bidi w:val="0"/>
        <w:rPr>
          <w:rFonts w:hint="eastAsia"/>
          <w:lang w:val="en-US" w:eastAsia="zh-CN"/>
        </w:rPr>
      </w:pPr>
      <w:r>
        <w:drawing>
          <wp:inline distT="0" distB="0" distL="114300" distR="114300">
            <wp:extent cx="5262880" cy="2246630"/>
            <wp:effectExtent l="0" t="0" r="20320" b="1397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9"/>
                    <a:stretch>
                      <a:fillRect/>
                    </a:stretch>
                  </pic:blipFill>
                  <pic:spPr>
                    <a:xfrm>
                      <a:off x="0" y="0"/>
                      <a:ext cx="5262880" cy="2246630"/>
                    </a:xfrm>
                    <a:prstGeom prst="rect">
                      <a:avLst/>
                    </a:prstGeom>
                    <a:noFill/>
                    <a:ln>
                      <a:noFill/>
                    </a:ln>
                  </pic:spPr>
                </pic:pic>
              </a:graphicData>
            </a:graphic>
          </wp:inline>
        </w:drawing>
      </w:r>
    </w:p>
    <w:p w14:paraId="3BE8A72A">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38" w:name="_Toc1752427850"/>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7</w:t>
      </w:r>
      <w:r>
        <w:rPr>
          <w:rFonts w:hint="eastAsia" w:ascii="宋体" w:hAnsi="宋体" w:cs="宋体"/>
          <w:b/>
          <w:snapToGrid w:val="0"/>
          <w:color w:val="000000"/>
          <w:sz w:val="24"/>
          <w:szCs w:val="24"/>
          <w:lang w:val="en-US" w:eastAsia="en-US" w:bidi="ar-SA"/>
        </w:rPr>
        <w:t xml:space="preserve">.2 </w:t>
      </w:r>
      <w:r>
        <w:rPr>
          <w:rFonts w:hint="eastAsia" w:ascii="宋体" w:hAnsi="宋体" w:cs="宋体"/>
          <w:b/>
          <w:snapToGrid w:val="0"/>
          <w:color w:val="000000"/>
          <w:sz w:val="24"/>
          <w:szCs w:val="24"/>
          <w:lang w:val="en-US" w:eastAsia="zh-CN" w:bidi="ar-SA"/>
        </w:rPr>
        <w:t>具体建设内</w:t>
      </w:r>
      <w:bookmarkEnd w:id="38"/>
    </w:p>
    <w:p w14:paraId="0066F9B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现有资源与业务负载核验。核对二期服务器及配套设施的配置，检查网络、供电和散热条件，区分可继续使用、需要扩容及确需新增的部分。使用包含图片和表格的真实复杂报告开展处理测试，并测试模型应用及训练任务，分别评估日常服务、批量文档处理和阶段性训练的资源需求，据此确定配置，不预设固定扩容倍数。</w:t>
      </w:r>
    </w:p>
    <w:p w14:paraId="02133D9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计算服务器升级与算力扩展。根据专项模型训练任务和业务测试结果，确定现有设备可承担的工作及新增算力需求，配置适用的计算服务器和必要配套，提高模型训练、复杂报告分析及多用户应用的计算能力。日常业务与训练区分资源和执行时段，优先保障委托检测服务。无法满足既定周期或模型规模的训练任务，应调整样本批次、训练方式或配置，不直接承诺支持任意规模模型。</w:t>
      </w:r>
    </w:p>
    <w:p w14:paraId="40041A2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业务数据与训练资料存储。复用既有业务数据库和文件管理功能，根据新增设备数据、原始记录表、影像、复杂报告及训练样本的预计增长量配置必要存储。业务定稿资料、训练样本、模型文件和临时处理文件分别管理，明确访问权限、保留期限及备份恢复要求。存储容量按实际业务需求测算，不直接采用其他方案的更大规模配置。</w:t>
      </w:r>
    </w:p>
    <w:p w14:paraId="04A0F2C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网络、供电与环境配套。根据新增服务器负载，核验网络传输能力和供电容量，检查不间断供电设备、散热设施、机柜及现场安装条件，并对不足部分编制改造清单。优先复用现有场地和设施，机房改造、专线配置及电力扩容是否需要实施，由核验结果确定。相关场地改造和设备采购均按实际建设内容履行集团管理程序。</w:t>
      </w:r>
    </w:p>
    <w:p w14:paraId="414B6DA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运行管理与应用验证。补充资源使用监测、设备状态监测、故障告警、备份及权限管理功能，并与现有运维要求衔接。使用真实报告和训练任务开展联调，验证多用户应用、批量文档处理及模型训练并行时的资源使用和服务响应，形成配置及测试记录。部署前确认网络隔离要求、数据访问范围及外部连接权限，运行数据按浦江要求管理。</w:t>
      </w:r>
    </w:p>
    <w:p w14:paraId="43861E1E">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39" w:name="_Toc316656345"/>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7</w:t>
      </w:r>
      <w:r>
        <w:rPr>
          <w:rFonts w:hint="eastAsia" w:ascii="宋体" w:hAnsi="宋体" w:cs="宋体"/>
          <w:b/>
          <w:snapToGrid w:val="0"/>
          <w:color w:val="000000"/>
          <w:sz w:val="24"/>
          <w:szCs w:val="24"/>
          <w:lang w:val="en-US" w:eastAsia="en-US" w:bidi="ar-SA"/>
        </w:rPr>
        <w:t>.</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业务流程与成效</w:t>
      </w:r>
      <w:bookmarkEnd w:id="39"/>
    </w:p>
    <w:p w14:paraId="7F0EB00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通过服务器设施升级提高可用算力，为专项模型深化训练及日常报告应用提供计算支撑。合理配置资源，使训练任务可按计划分批开展，并为业务人员使用报告分析、总结及建议辅助功能提供运行保障。算力提升不直接等同于报告质量提升，应用效果需综合知识资料、业务数据和模型能力，通过真实业务样例验证。</w:t>
      </w:r>
      <w:r>
        <w:rPr>
          <w:rFonts w:hint="eastAsia" w:ascii="宋体" w:hAnsi="宋体" w:eastAsia="宋体" w:cs="宋体"/>
          <w:snapToGrid w:val="0"/>
          <w:color w:val="000000"/>
          <w:sz w:val="24"/>
          <w:szCs w:val="24"/>
          <w:lang w:val="en-US" w:eastAsia="zh-CN" w:bidi="ar-SA"/>
        </w:rPr>
        <w:br w:type="page"/>
      </w:r>
    </w:p>
    <w:p w14:paraId="53B9FFA4">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eastAsia="宋体" w:cs="宋体"/>
          <w:b/>
          <w:snapToGrid w:val="0"/>
          <w:color w:val="000000"/>
          <w:sz w:val="28"/>
          <w:szCs w:val="28"/>
          <w:lang w:val="en-US" w:eastAsia="zh-CN" w:bidi="ar-SA"/>
        </w:rPr>
      </w:pPr>
      <w:bookmarkStart w:id="40" w:name="_Toc578713149"/>
      <w:r>
        <w:rPr>
          <w:rFonts w:hint="eastAsia" w:ascii="宋体" w:hAnsi="宋体" w:cs="宋体"/>
          <w:b/>
          <w:snapToGrid w:val="0"/>
          <w:color w:val="000000"/>
          <w:sz w:val="28"/>
          <w:szCs w:val="28"/>
          <w:lang w:val="en-US" w:eastAsia="zh-CN" w:bidi="ar-SA"/>
        </w:rPr>
        <w:t>四</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项目计划与预期成果</w:t>
      </w:r>
      <w:bookmarkEnd w:id="40"/>
    </w:p>
    <w:p w14:paraId="7CD1779A">
      <w:pPr>
        <w:pStyle w:val="2"/>
        <w:rPr>
          <w:rFonts w:hint="eastAsia" w:ascii="宋体" w:hAnsi="宋体" w:cs="宋体"/>
          <w:b/>
          <w:snapToGrid w:val="0"/>
          <w:color w:val="000000"/>
          <w:sz w:val="28"/>
          <w:szCs w:val="28"/>
          <w:lang w:val="en-US" w:eastAsia="zh-CN" w:bidi="ar-SA"/>
        </w:rPr>
      </w:pPr>
      <w:bookmarkStart w:id="41" w:name="_Toc478457980"/>
      <w:r>
        <w:rPr>
          <w:rFonts w:hint="eastAsia" w:ascii="宋体" w:hAnsi="宋体" w:cs="宋体"/>
          <w:b/>
          <w:snapToGrid w:val="0"/>
          <w:color w:val="000000"/>
          <w:sz w:val="28"/>
          <w:szCs w:val="28"/>
          <w:lang w:val="en-US" w:eastAsia="zh-CN" w:bidi="ar-SA"/>
        </w:rPr>
        <w:t>4.1 工作安排</w:t>
      </w:r>
      <w:bookmarkEnd w:id="41"/>
    </w:p>
    <w:p w14:paraId="20DBDB7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项目初步按24周规划。确认范围并取得真实业务样例后，分别推进软件功能建设、设备接入适配、机器人配置与路线实施、专项知识补充与模型训练，以及服务器设施升级。各项业务功能与二期委托任务衔接，并按实际适用流程验证。若设备到货、现场施工、厂家授权或集团审批进度发生变化，应据实调整相关实施批次和计划，仅将实际完成并通过验证的事项计入阶段成果。</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74"/>
        <w:gridCol w:w="913"/>
        <w:gridCol w:w="4269"/>
        <w:gridCol w:w="2589"/>
      </w:tblGrid>
      <w:tr w14:paraId="62E6F276">
        <w:trPr>
          <w:cantSplit/>
          <w:tblHeader/>
          <w:jc w:val="center"/>
        </w:trPr>
        <w:tc>
          <w:tcPr>
            <w:tcW w:w="0" w:type="auto"/>
            <w:shd w:val="clear" w:color="auto" w:fill="17365D"/>
            <w:tcMar>
              <w:top w:w="100" w:type="dxa"/>
              <w:left w:w="120" w:type="dxa"/>
              <w:bottom w:w="100" w:type="dxa"/>
              <w:right w:w="120" w:type="dxa"/>
            </w:tcMar>
            <w:vAlign w:val="center"/>
          </w:tcPr>
          <w:p w14:paraId="753CD434">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阶段</w:t>
            </w:r>
          </w:p>
        </w:tc>
        <w:tc>
          <w:tcPr>
            <w:tcW w:w="0" w:type="auto"/>
            <w:shd w:val="clear" w:color="auto" w:fill="17365D"/>
            <w:tcMar>
              <w:top w:w="100" w:type="dxa"/>
              <w:left w:w="120" w:type="dxa"/>
              <w:bottom w:w="100" w:type="dxa"/>
              <w:right w:w="120" w:type="dxa"/>
            </w:tcMar>
            <w:vAlign w:val="center"/>
          </w:tcPr>
          <w:p w14:paraId="54F0238B">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周期</w:t>
            </w:r>
          </w:p>
        </w:tc>
        <w:tc>
          <w:tcPr>
            <w:tcW w:w="0" w:type="auto"/>
            <w:shd w:val="clear" w:color="auto" w:fill="17365D"/>
            <w:tcMar>
              <w:top w:w="100" w:type="dxa"/>
              <w:left w:w="120" w:type="dxa"/>
              <w:bottom w:w="100" w:type="dxa"/>
              <w:right w:w="120" w:type="dxa"/>
            </w:tcMar>
            <w:vAlign w:val="center"/>
          </w:tcPr>
          <w:p w14:paraId="2CD93FE0">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主要工作</w:t>
            </w:r>
          </w:p>
        </w:tc>
        <w:tc>
          <w:tcPr>
            <w:tcW w:w="0" w:type="auto"/>
            <w:shd w:val="clear" w:color="auto" w:fill="17365D"/>
            <w:tcMar>
              <w:top w:w="100" w:type="dxa"/>
              <w:left w:w="120" w:type="dxa"/>
              <w:bottom w:w="100" w:type="dxa"/>
              <w:right w:w="120" w:type="dxa"/>
            </w:tcMar>
            <w:vAlign w:val="center"/>
          </w:tcPr>
          <w:p w14:paraId="3D80A95E">
            <w:pPr>
              <w:spacing w:before="0" w:after="0" w:line="269" w:lineRule="auto"/>
              <w:jc w:val="center"/>
              <w:rPr>
                <w:rFonts w:hint="default" w:ascii="宋体" w:hAnsi="宋体" w:cs="宋体"/>
                <w:b/>
                <w:color w:val="FFFFFF"/>
                <w:sz w:val="18"/>
                <w:lang w:val="en-US" w:eastAsia="zh-CN"/>
              </w:rPr>
            </w:pPr>
            <w:r>
              <w:rPr>
                <w:rFonts w:hint="eastAsia" w:ascii="宋体" w:hAnsi="宋体" w:cs="宋体"/>
                <w:b/>
                <w:color w:val="FFFFFF"/>
                <w:sz w:val="18"/>
                <w:lang w:val="en-US" w:eastAsia="zh-CN"/>
              </w:rPr>
              <w:t>阶段成果</w:t>
            </w:r>
          </w:p>
        </w:tc>
      </w:tr>
      <w:tr w14:paraId="3114930A">
        <w:trPr>
          <w:cantSplit/>
          <w:jc w:val="center"/>
        </w:trPr>
        <w:tc>
          <w:tcPr>
            <w:tcW w:w="0" w:type="auto"/>
            <w:tcMar>
              <w:top w:w="100" w:type="dxa"/>
              <w:left w:w="120" w:type="dxa"/>
              <w:bottom w:w="100" w:type="dxa"/>
              <w:right w:w="120" w:type="dxa"/>
            </w:tcMar>
            <w:vAlign w:val="center"/>
          </w:tcPr>
          <w:p w14:paraId="675850B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启动与二期边界确认</w:t>
            </w:r>
          </w:p>
        </w:tc>
        <w:tc>
          <w:tcPr>
            <w:tcW w:w="0" w:type="auto"/>
            <w:tcMar>
              <w:top w:w="100" w:type="dxa"/>
              <w:left w:w="120" w:type="dxa"/>
              <w:bottom w:w="100" w:type="dxa"/>
              <w:right w:w="120" w:type="dxa"/>
            </w:tcMar>
            <w:vAlign w:val="center"/>
          </w:tcPr>
          <w:p w14:paraId="77670E2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第1—2周</w:t>
            </w:r>
          </w:p>
        </w:tc>
        <w:tc>
          <w:tcPr>
            <w:tcW w:w="0" w:type="auto"/>
            <w:tcMar>
              <w:top w:w="100" w:type="dxa"/>
              <w:left w:w="120" w:type="dxa"/>
              <w:bottom w:w="100" w:type="dxa"/>
              <w:right w:w="120" w:type="dxa"/>
            </w:tcMar>
            <w:vAlign w:val="center"/>
          </w:tcPr>
          <w:p w14:paraId="764E438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核对二期验收资料及运行功能，调研各业务环节的作业方式，核验设备、知识资料和服务器条件，确定试点及新增范围</w:t>
            </w:r>
          </w:p>
        </w:tc>
        <w:tc>
          <w:tcPr>
            <w:tcW w:w="0" w:type="auto"/>
            <w:tcMar>
              <w:top w:w="100" w:type="dxa"/>
              <w:left w:w="120" w:type="dxa"/>
              <w:bottom w:w="100" w:type="dxa"/>
              <w:right w:w="120" w:type="dxa"/>
            </w:tcMar>
            <w:vAlign w:val="center"/>
          </w:tcPr>
          <w:p w14:paraId="2B8D57D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形成复用与新增清单，明确建设优先级、配合要求及试点业务，避免重复立项和采购</w:t>
            </w:r>
          </w:p>
        </w:tc>
      </w:tr>
      <w:tr w14:paraId="42A515F7">
        <w:trPr>
          <w:cantSplit/>
          <w:jc w:val="center"/>
        </w:trPr>
        <w:tc>
          <w:tcPr>
            <w:tcW w:w="0" w:type="auto"/>
            <w:shd w:val="clear" w:color="auto" w:fill="F5F9FC"/>
            <w:tcMar>
              <w:top w:w="100" w:type="dxa"/>
              <w:left w:w="120" w:type="dxa"/>
              <w:bottom w:w="100" w:type="dxa"/>
              <w:right w:w="120" w:type="dxa"/>
            </w:tcMar>
            <w:vAlign w:val="center"/>
          </w:tcPr>
          <w:p w14:paraId="57F0F80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业务设计与样稿确认</w:t>
            </w:r>
          </w:p>
        </w:tc>
        <w:tc>
          <w:tcPr>
            <w:tcW w:w="0" w:type="auto"/>
            <w:shd w:val="clear" w:color="auto" w:fill="F5F9FC"/>
            <w:tcMar>
              <w:top w:w="100" w:type="dxa"/>
              <w:left w:w="120" w:type="dxa"/>
              <w:bottom w:w="100" w:type="dxa"/>
              <w:right w:w="120" w:type="dxa"/>
            </w:tcMar>
            <w:vAlign w:val="center"/>
          </w:tcPr>
          <w:p w14:paraId="43E21A4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第3—5周</w:t>
            </w:r>
          </w:p>
        </w:tc>
        <w:tc>
          <w:tcPr>
            <w:tcW w:w="0" w:type="auto"/>
            <w:shd w:val="clear" w:color="auto" w:fill="F5F9FC"/>
            <w:tcMar>
              <w:top w:w="100" w:type="dxa"/>
              <w:left w:w="120" w:type="dxa"/>
              <w:bottom w:w="100" w:type="dxa"/>
              <w:right w:w="120" w:type="dxa"/>
            </w:tcMar>
            <w:vAlign w:val="center"/>
          </w:tcPr>
          <w:p w14:paraId="5F0B12B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确认外部申请流程、运输路线、设备字段映射、原始记录模板及复杂报告模板；核定专项知识补充清单、模型训练任务和样本要求；确认服务器配置及采购条件</w:t>
            </w:r>
          </w:p>
        </w:tc>
        <w:tc>
          <w:tcPr>
            <w:tcW w:w="0" w:type="auto"/>
            <w:shd w:val="clear" w:color="auto" w:fill="F5F9FC"/>
            <w:tcMar>
              <w:top w:w="100" w:type="dxa"/>
              <w:left w:w="120" w:type="dxa"/>
              <w:bottom w:w="100" w:type="dxa"/>
              <w:right w:w="120" w:type="dxa"/>
            </w:tcMar>
            <w:vAlign w:val="center"/>
          </w:tcPr>
          <w:p w14:paraId="2D35786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客户可查看页面原型、路线方案、记录表及报告样稿，明确知识补充范围、模型训练任务和服务器升级内容</w:t>
            </w:r>
          </w:p>
        </w:tc>
      </w:tr>
      <w:tr w14:paraId="26E71297">
        <w:trPr>
          <w:cantSplit/>
          <w:jc w:val="center"/>
        </w:trPr>
        <w:tc>
          <w:tcPr>
            <w:tcW w:w="0" w:type="auto"/>
            <w:shd w:val="clear" w:color="auto" w:fill="F5F9FC"/>
            <w:tcMar>
              <w:top w:w="100" w:type="dxa"/>
              <w:left w:w="120" w:type="dxa"/>
              <w:bottom w:w="100" w:type="dxa"/>
              <w:right w:w="120" w:type="dxa"/>
            </w:tcMar>
            <w:vAlign w:val="center"/>
          </w:tcPr>
          <w:p w14:paraId="0DD9985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分批建设与配置实施</w:t>
            </w:r>
          </w:p>
        </w:tc>
        <w:tc>
          <w:tcPr>
            <w:tcW w:w="0" w:type="auto"/>
            <w:shd w:val="clear" w:color="auto" w:fill="F5F9FC"/>
            <w:tcMar>
              <w:top w:w="100" w:type="dxa"/>
              <w:left w:w="120" w:type="dxa"/>
              <w:bottom w:w="100" w:type="dxa"/>
              <w:right w:w="120" w:type="dxa"/>
            </w:tcMar>
            <w:vAlign w:val="center"/>
          </w:tcPr>
          <w:p w14:paraId="19A1DF18">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第6—14周</w:t>
            </w:r>
          </w:p>
        </w:tc>
        <w:tc>
          <w:tcPr>
            <w:tcW w:w="0" w:type="auto"/>
            <w:shd w:val="clear" w:color="auto" w:fill="F5F9FC"/>
            <w:tcMar>
              <w:top w:w="100" w:type="dxa"/>
              <w:left w:w="120" w:type="dxa"/>
              <w:bottom w:w="100" w:type="dxa"/>
              <w:right w:w="120" w:type="dxa"/>
            </w:tcMar>
            <w:vAlign w:val="center"/>
          </w:tcPr>
          <w:p w14:paraId="6AEADAE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建设外部申请入口及既有系统新增功能，分批接入新增设备；配置机器人及载具，升级服务器；补充专项知识，整理样本，并在训练条件具备后开展首批模型深化训练</w:t>
            </w:r>
          </w:p>
        </w:tc>
        <w:tc>
          <w:tcPr>
            <w:tcW w:w="0" w:type="auto"/>
            <w:shd w:val="clear" w:color="auto" w:fill="F5F9FC"/>
            <w:tcMar>
              <w:top w:w="100" w:type="dxa"/>
              <w:left w:w="120" w:type="dxa"/>
              <w:bottom w:w="100" w:type="dxa"/>
              <w:right w:w="120" w:type="dxa"/>
            </w:tcMar>
            <w:vAlign w:val="center"/>
          </w:tcPr>
          <w:p w14:paraId="21D27EA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软件功能形成可测试版本，专项知识可检索；硬件按到货条件完成安装，首批训练成果具备业务验证条件</w:t>
            </w:r>
          </w:p>
        </w:tc>
      </w:tr>
      <w:tr w14:paraId="5B1BA437">
        <w:trPr>
          <w:cantSplit/>
          <w:jc w:val="center"/>
        </w:trPr>
        <w:tc>
          <w:tcPr>
            <w:tcW w:w="0" w:type="auto"/>
            <w:shd w:val="clear" w:color="auto" w:fill="F5F9FC"/>
            <w:tcMar>
              <w:top w:w="100" w:type="dxa"/>
              <w:left w:w="120" w:type="dxa"/>
              <w:bottom w:w="100" w:type="dxa"/>
              <w:right w:w="120" w:type="dxa"/>
            </w:tcMar>
            <w:vAlign w:val="center"/>
          </w:tcPr>
          <w:p w14:paraId="71A4E4B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集成联调与业务测试</w:t>
            </w:r>
          </w:p>
        </w:tc>
        <w:tc>
          <w:tcPr>
            <w:tcW w:w="0" w:type="auto"/>
            <w:shd w:val="clear" w:color="auto" w:fill="F5F9FC"/>
            <w:tcMar>
              <w:top w:w="100" w:type="dxa"/>
              <w:left w:w="120" w:type="dxa"/>
              <w:bottom w:w="100" w:type="dxa"/>
              <w:right w:w="120" w:type="dxa"/>
            </w:tcMar>
            <w:vAlign w:val="center"/>
          </w:tcPr>
          <w:p w14:paraId="713F6AC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第15—18周</w:t>
            </w:r>
          </w:p>
        </w:tc>
        <w:tc>
          <w:tcPr>
            <w:tcW w:w="0" w:type="auto"/>
            <w:shd w:val="clear" w:color="auto" w:fill="F5F9FC"/>
            <w:tcMar>
              <w:top w:w="100" w:type="dxa"/>
              <w:left w:w="120" w:type="dxa"/>
              <w:bottom w:w="100" w:type="dxa"/>
              <w:right w:w="120" w:type="dxa"/>
            </w:tcMar>
            <w:vAlign w:val="center"/>
          </w:tcPr>
          <w:p w14:paraId="2A470BD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将线上申请、运输任务、设备数据、原始记录表及复杂报告与二期任务关联，验证业务衔接和机器人异常处理；使用未参与训练的样例比较模型效果，测试服务器对训练及多用户应用的支撑能力</w:t>
            </w:r>
          </w:p>
        </w:tc>
        <w:tc>
          <w:tcPr>
            <w:tcW w:w="0" w:type="auto"/>
            <w:shd w:val="clear" w:color="auto" w:fill="F5F9FC"/>
            <w:tcMar>
              <w:top w:w="100" w:type="dxa"/>
              <w:left w:w="120" w:type="dxa"/>
              <w:bottom w:w="100" w:type="dxa"/>
              <w:right w:w="120" w:type="dxa"/>
            </w:tcMar>
            <w:vAlign w:val="center"/>
          </w:tcPr>
          <w:p w14:paraId="49DBF1E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真实任务可贯通适用环节，形成模型效果对照记录、服务器及应用测试记录和整改清单</w:t>
            </w:r>
          </w:p>
        </w:tc>
      </w:tr>
      <w:tr w14:paraId="7AEEC195">
        <w:trPr>
          <w:cantSplit/>
          <w:jc w:val="center"/>
        </w:trPr>
        <w:tc>
          <w:tcPr>
            <w:tcW w:w="0" w:type="auto"/>
            <w:shd w:val="clear" w:color="auto" w:fill="F5F9FC"/>
            <w:tcMar>
              <w:top w:w="100" w:type="dxa"/>
              <w:left w:w="120" w:type="dxa"/>
              <w:bottom w:w="100" w:type="dxa"/>
              <w:right w:w="120" w:type="dxa"/>
            </w:tcMar>
            <w:vAlign w:val="center"/>
          </w:tcPr>
          <w:p w14:paraId="0FA8855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真实业务试运行</w:t>
            </w:r>
          </w:p>
        </w:tc>
        <w:tc>
          <w:tcPr>
            <w:tcW w:w="0" w:type="auto"/>
            <w:shd w:val="clear" w:color="auto" w:fill="F5F9FC"/>
            <w:tcMar>
              <w:top w:w="100" w:type="dxa"/>
              <w:left w:w="120" w:type="dxa"/>
              <w:bottom w:w="100" w:type="dxa"/>
              <w:right w:w="120" w:type="dxa"/>
            </w:tcMar>
            <w:vAlign w:val="center"/>
          </w:tcPr>
          <w:p w14:paraId="6639079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第19—22周</w:t>
            </w:r>
          </w:p>
        </w:tc>
        <w:tc>
          <w:tcPr>
            <w:tcW w:w="0" w:type="auto"/>
            <w:shd w:val="clear" w:color="auto" w:fill="F5F9FC"/>
            <w:tcMar>
              <w:top w:w="100" w:type="dxa"/>
              <w:left w:w="120" w:type="dxa"/>
              <w:bottom w:w="100" w:type="dxa"/>
              <w:right w:w="120" w:type="dxa"/>
            </w:tcMar>
            <w:vAlign w:val="center"/>
          </w:tcPr>
          <w:p w14:paraId="7E8A444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验证真实任务中的运输交接、设备数据处理、线上记录及复杂报告编制功能；由专业人员复核专项知识和模型输出；验证训练与日常服务的资源安排，按反馈优化</w:t>
            </w:r>
          </w:p>
        </w:tc>
        <w:tc>
          <w:tcPr>
            <w:tcW w:w="0" w:type="auto"/>
            <w:shd w:val="clear" w:color="auto" w:fill="F5F9FC"/>
            <w:tcMar>
              <w:top w:w="100" w:type="dxa"/>
              <w:left w:w="120" w:type="dxa"/>
              <w:bottom w:w="100" w:type="dxa"/>
              <w:right w:w="120" w:type="dxa"/>
            </w:tcMar>
            <w:vAlign w:val="center"/>
          </w:tcPr>
          <w:p w14:paraId="2E0AE9A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一线人员可实际使用新增功能，专业输出和服务器运行效果完成业务验证，发现的问题得到跟踪整改</w:t>
            </w:r>
          </w:p>
        </w:tc>
      </w:tr>
      <w:tr w14:paraId="5F226832">
        <w:trPr>
          <w:cantSplit/>
          <w:jc w:val="center"/>
        </w:trPr>
        <w:tc>
          <w:tcPr>
            <w:tcW w:w="0" w:type="auto"/>
            <w:shd w:val="clear" w:color="auto" w:fill="F5F9FC"/>
            <w:tcMar>
              <w:top w:w="100" w:type="dxa"/>
              <w:left w:w="120" w:type="dxa"/>
              <w:bottom w:w="100" w:type="dxa"/>
              <w:right w:w="120" w:type="dxa"/>
            </w:tcMar>
            <w:vAlign w:val="center"/>
          </w:tcPr>
          <w:p w14:paraId="127D0F3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验收与成果移交</w:t>
            </w:r>
          </w:p>
        </w:tc>
        <w:tc>
          <w:tcPr>
            <w:tcW w:w="0" w:type="auto"/>
            <w:shd w:val="clear" w:color="auto" w:fill="F5F9FC"/>
            <w:tcMar>
              <w:top w:w="100" w:type="dxa"/>
              <w:left w:w="120" w:type="dxa"/>
              <w:bottom w:w="100" w:type="dxa"/>
              <w:right w:w="120" w:type="dxa"/>
            </w:tcMar>
            <w:vAlign w:val="center"/>
          </w:tcPr>
          <w:p w14:paraId="55E9C7D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第23—24周</w:t>
            </w:r>
          </w:p>
        </w:tc>
        <w:tc>
          <w:tcPr>
            <w:tcW w:w="0" w:type="auto"/>
            <w:shd w:val="clear" w:color="auto" w:fill="F5F9FC"/>
            <w:tcMar>
              <w:top w:w="100" w:type="dxa"/>
              <w:left w:w="120" w:type="dxa"/>
              <w:bottom w:w="100" w:type="dxa"/>
              <w:right w:w="120" w:type="dxa"/>
            </w:tcMar>
            <w:vAlign w:val="center"/>
          </w:tcPr>
          <w:p w14:paraId="7E8B785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清点新增功能及设备、配置资料、专项知识和模型成果；完成业务验证、用户培训及运维交接，整理验收材料</w:t>
            </w:r>
          </w:p>
        </w:tc>
        <w:tc>
          <w:tcPr>
            <w:tcW w:w="0" w:type="auto"/>
            <w:shd w:val="clear" w:color="auto" w:fill="F5F9FC"/>
            <w:tcMar>
              <w:top w:w="100" w:type="dxa"/>
              <w:left w:w="120" w:type="dxa"/>
              <w:bottom w:w="100" w:type="dxa"/>
              <w:right w:w="120" w:type="dxa"/>
            </w:tcMar>
            <w:vAlign w:val="center"/>
          </w:tcPr>
          <w:p w14:paraId="2F38641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客户取得可运行的软件应用及新增功能、硬件设备和配套资料，相关人员掌握使用与管理方法</w:t>
            </w:r>
          </w:p>
        </w:tc>
      </w:tr>
    </w:tbl>
    <w:p w14:paraId="620A6D7B">
      <w:pPr>
        <w:bidi w:val="0"/>
        <w:rPr>
          <w:rFonts w:hint="default"/>
          <w:lang w:val="en-US" w:eastAsia="zh-CN"/>
        </w:rPr>
      </w:pPr>
    </w:p>
    <w:p w14:paraId="150AE2C0">
      <w:pPr>
        <w:bidi w:val="0"/>
        <w:rPr>
          <w:rFonts w:hint="default"/>
          <w:lang w:val="en-US" w:eastAsia="zh-CN"/>
        </w:rPr>
      </w:pPr>
    </w:p>
    <w:p w14:paraId="57E0855F">
      <w:pPr>
        <w:bidi w:val="0"/>
        <w:rPr>
          <w:rFonts w:hint="default"/>
          <w:lang w:val="en-US" w:eastAsia="zh-CN"/>
        </w:rPr>
      </w:pPr>
    </w:p>
    <w:p w14:paraId="0B74FBD3">
      <w:pPr>
        <w:bidi w:val="0"/>
        <w:rPr>
          <w:rFonts w:hint="default"/>
          <w:lang w:val="en-US" w:eastAsia="zh-CN"/>
        </w:rPr>
      </w:pPr>
    </w:p>
    <w:p w14:paraId="2A90F9A7">
      <w:pPr>
        <w:bidi w:val="0"/>
        <w:rPr>
          <w:rFonts w:hint="default"/>
          <w:lang w:val="en-US" w:eastAsia="zh-CN"/>
        </w:rPr>
      </w:pPr>
    </w:p>
    <w:p w14:paraId="3D8FDAF2">
      <w:pPr>
        <w:bidi w:val="0"/>
        <w:rPr>
          <w:rFonts w:hint="eastAsia"/>
          <w:lang w:val="en-US" w:eastAsia="zh-CN"/>
        </w:rPr>
      </w:pPr>
    </w:p>
    <w:p w14:paraId="04C735E2">
      <w:pPr>
        <w:pStyle w:val="2"/>
        <w:rPr>
          <w:rFonts w:hint="eastAsia" w:ascii="宋体" w:hAnsi="宋体" w:cs="宋体"/>
          <w:b/>
          <w:snapToGrid w:val="0"/>
          <w:color w:val="000000"/>
          <w:sz w:val="28"/>
          <w:szCs w:val="28"/>
          <w:lang w:val="en-US" w:eastAsia="zh-CN" w:bidi="ar-SA"/>
        </w:rPr>
      </w:pPr>
      <w:bookmarkStart w:id="43" w:name="_GoBack"/>
      <w:bookmarkEnd w:id="43"/>
      <w:bookmarkStart w:id="42" w:name="_Toc1264495492"/>
      <w:r>
        <w:rPr>
          <w:rFonts w:hint="eastAsia" w:ascii="宋体" w:hAnsi="宋体" w:cs="宋体"/>
          <w:b/>
          <w:snapToGrid w:val="0"/>
          <w:color w:val="000000"/>
          <w:sz w:val="28"/>
          <w:szCs w:val="28"/>
          <w:lang w:val="en-US" w:eastAsia="zh-CN" w:bidi="ar-SA"/>
        </w:rPr>
        <w:t>4.2 预期成果</w:t>
      </w:r>
      <w:bookmarkEnd w:id="42"/>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806"/>
        <w:gridCol w:w="1822"/>
        <w:gridCol w:w="5917"/>
      </w:tblGrid>
      <w:tr w14:paraId="529857F5">
        <w:trPr>
          <w:cantSplit/>
          <w:tblHeader/>
          <w:jc w:val="center"/>
        </w:trPr>
        <w:tc>
          <w:tcPr>
            <w:tcW w:w="0" w:type="auto"/>
            <w:shd w:val="clear" w:color="auto" w:fill="17365D"/>
            <w:tcMar>
              <w:top w:w="100" w:type="dxa"/>
              <w:left w:w="120" w:type="dxa"/>
              <w:bottom w:w="100" w:type="dxa"/>
              <w:right w:w="120" w:type="dxa"/>
            </w:tcMar>
            <w:vAlign w:val="center"/>
          </w:tcPr>
          <w:p w14:paraId="6A0376EE">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成果类别</w:t>
            </w:r>
          </w:p>
        </w:tc>
        <w:tc>
          <w:tcPr>
            <w:tcW w:w="0" w:type="auto"/>
            <w:shd w:val="clear" w:color="auto" w:fill="17365D"/>
            <w:tcMar>
              <w:top w:w="100" w:type="dxa"/>
              <w:left w:w="120" w:type="dxa"/>
              <w:bottom w:w="100" w:type="dxa"/>
              <w:right w:w="120" w:type="dxa"/>
            </w:tcMar>
            <w:vAlign w:val="center"/>
          </w:tcPr>
          <w:p w14:paraId="137CD78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交付成果</w:t>
            </w:r>
          </w:p>
        </w:tc>
        <w:tc>
          <w:tcPr>
            <w:tcW w:w="0" w:type="auto"/>
            <w:shd w:val="clear" w:color="auto" w:fill="17365D"/>
            <w:tcMar>
              <w:top w:w="100" w:type="dxa"/>
              <w:left w:w="120" w:type="dxa"/>
              <w:bottom w:w="100" w:type="dxa"/>
              <w:right w:w="120" w:type="dxa"/>
            </w:tcMar>
            <w:vAlign w:val="center"/>
          </w:tcPr>
          <w:p w14:paraId="6F3CFE2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主要内容</w:t>
            </w:r>
          </w:p>
        </w:tc>
      </w:tr>
      <w:tr w14:paraId="14F5C7BC">
        <w:trPr>
          <w:cantSplit/>
          <w:jc w:val="center"/>
        </w:trPr>
        <w:tc>
          <w:tcPr>
            <w:tcW w:w="0" w:type="auto"/>
            <w:tcMar>
              <w:top w:w="100" w:type="dxa"/>
              <w:left w:w="120" w:type="dxa"/>
              <w:bottom w:w="100" w:type="dxa"/>
              <w:right w:w="120" w:type="dxa"/>
            </w:tcMar>
            <w:vAlign w:val="center"/>
          </w:tcPr>
          <w:p w14:paraId="2C377EE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服务入口拓展</w:t>
            </w:r>
          </w:p>
        </w:tc>
        <w:tc>
          <w:tcPr>
            <w:tcW w:w="0" w:type="auto"/>
            <w:tcMar>
              <w:top w:w="100" w:type="dxa"/>
              <w:left w:w="120" w:type="dxa"/>
              <w:bottom w:w="100" w:type="dxa"/>
              <w:right w:w="120" w:type="dxa"/>
            </w:tcMar>
            <w:vAlign w:val="center"/>
          </w:tcPr>
          <w:p w14:paraId="0DB1427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委托登记小程序及受理衔接功能</w:t>
            </w:r>
          </w:p>
        </w:tc>
        <w:tc>
          <w:tcPr>
            <w:tcW w:w="0" w:type="auto"/>
            <w:tcMar>
              <w:top w:w="100" w:type="dxa"/>
              <w:left w:w="120" w:type="dxa"/>
              <w:bottom w:w="100" w:type="dxa"/>
              <w:right w:w="120" w:type="dxa"/>
            </w:tcMar>
            <w:vAlign w:val="center"/>
          </w:tcPr>
          <w:p w14:paraId="567D2E0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工程与常用信息维护、委托申请、资料预核验、补充反馈及申请转受理功能</w:t>
            </w:r>
          </w:p>
        </w:tc>
      </w:tr>
      <w:tr w14:paraId="6D2DCC91">
        <w:trPr>
          <w:cantSplit/>
          <w:jc w:val="center"/>
        </w:trPr>
        <w:tc>
          <w:tcPr>
            <w:tcW w:w="0" w:type="auto"/>
            <w:shd w:val="clear" w:color="auto" w:fill="F5F9FC"/>
            <w:tcMar>
              <w:top w:w="100" w:type="dxa"/>
              <w:left w:w="120" w:type="dxa"/>
              <w:bottom w:w="100" w:type="dxa"/>
              <w:right w:w="120" w:type="dxa"/>
            </w:tcMar>
            <w:vAlign w:val="center"/>
          </w:tcPr>
          <w:p w14:paraId="72000AC1">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样品运输协同</w:t>
            </w:r>
          </w:p>
        </w:tc>
        <w:tc>
          <w:tcPr>
            <w:tcW w:w="0" w:type="auto"/>
            <w:shd w:val="clear" w:color="auto" w:fill="F5F9FC"/>
            <w:tcMar>
              <w:top w:w="100" w:type="dxa"/>
              <w:left w:w="120" w:type="dxa"/>
              <w:bottom w:w="100" w:type="dxa"/>
              <w:right w:w="120" w:type="dxa"/>
            </w:tcMar>
            <w:vAlign w:val="center"/>
          </w:tcPr>
          <w:p w14:paraId="721DA48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样品运输及交接功能，经确认的运输机器人及配套</w:t>
            </w:r>
          </w:p>
        </w:tc>
        <w:tc>
          <w:tcPr>
            <w:tcW w:w="0" w:type="auto"/>
            <w:shd w:val="clear" w:color="auto" w:fill="F5F9FC"/>
            <w:tcMar>
              <w:top w:w="100" w:type="dxa"/>
              <w:left w:w="120" w:type="dxa"/>
              <w:bottom w:w="100" w:type="dxa"/>
              <w:right w:w="120" w:type="dxa"/>
            </w:tcMar>
            <w:vAlign w:val="center"/>
          </w:tcPr>
          <w:p w14:paraId="6787E82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运输任务关联、装载登记、送达接收及异常处理功能，运输路线配置，以及按清单交付的机器人和载具</w:t>
            </w:r>
          </w:p>
        </w:tc>
      </w:tr>
      <w:tr w14:paraId="10A3E172">
        <w:trPr>
          <w:cantSplit/>
          <w:jc w:val="center"/>
        </w:trPr>
        <w:tc>
          <w:tcPr>
            <w:tcW w:w="0" w:type="auto"/>
            <w:shd w:val="clear" w:color="auto" w:fill="F5F9FC"/>
            <w:tcMar>
              <w:top w:w="100" w:type="dxa"/>
              <w:left w:w="120" w:type="dxa"/>
              <w:bottom w:w="100" w:type="dxa"/>
              <w:right w:w="120" w:type="dxa"/>
            </w:tcMar>
            <w:vAlign w:val="center"/>
          </w:tcPr>
          <w:p w14:paraId="066524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设备接入拓展</w:t>
            </w:r>
          </w:p>
        </w:tc>
        <w:tc>
          <w:tcPr>
            <w:tcW w:w="0" w:type="auto"/>
            <w:shd w:val="clear" w:color="auto" w:fill="F5F9FC"/>
            <w:tcMar>
              <w:top w:w="100" w:type="dxa"/>
              <w:left w:w="120" w:type="dxa"/>
              <w:bottom w:w="100" w:type="dxa"/>
              <w:right w:w="120" w:type="dxa"/>
            </w:tcMar>
            <w:vAlign w:val="center"/>
          </w:tcPr>
          <w:p w14:paraId="53A812A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新增设备数据采集、上传与填充功能</w:t>
            </w:r>
          </w:p>
        </w:tc>
        <w:tc>
          <w:tcPr>
            <w:tcW w:w="0" w:type="auto"/>
            <w:shd w:val="clear" w:color="auto" w:fill="F5F9FC"/>
            <w:tcMar>
              <w:top w:w="100" w:type="dxa"/>
              <w:left w:w="120" w:type="dxa"/>
              <w:bottom w:w="100" w:type="dxa"/>
              <w:right w:w="120" w:type="dxa"/>
            </w:tcMar>
            <w:vAlign w:val="center"/>
          </w:tcPr>
          <w:p w14:paraId="13B4FE4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经确认的新增设备接入配置，以及字段映射、任务关联、数据校验、结果填充和原始文件保存功能</w:t>
            </w:r>
          </w:p>
        </w:tc>
      </w:tr>
      <w:tr w14:paraId="5245361E">
        <w:trPr>
          <w:cantSplit/>
          <w:jc w:val="center"/>
        </w:trPr>
        <w:tc>
          <w:tcPr>
            <w:tcW w:w="0" w:type="auto"/>
            <w:shd w:val="clear" w:color="auto" w:fill="F5F9FC"/>
            <w:tcMar>
              <w:top w:w="100" w:type="dxa"/>
              <w:left w:w="120" w:type="dxa"/>
              <w:bottom w:w="100" w:type="dxa"/>
              <w:right w:w="120" w:type="dxa"/>
            </w:tcMar>
            <w:vAlign w:val="center"/>
          </w:tcPr>
          <w:p w14:paraId="5D751A5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原始记录无纸化</w:t>
            </w:r>
          </w:p>
        </w:tc>
        <w:tc>
          <w:tcPr>
            <w:tcW w:w="0" w:type="auto"/>
            <w:shd w:val="clear" w:color="auto" w:fill="F5F9FC"/>
            <w:tcMar>
              <w:top w:w="100" w:type="dxa"/>
              <w:left w:w="120" w:type="dxa"/>
              <w:bottom w:w="100" w:type="dxa"/>
              <w:right w:w="120" w:type="dxa"/>
            </w:tcMar>
            <w:vAlign w:val="center"/>
          </w:tcPr>
          <w:p w14:paraId="76BCA44D">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现场原始记录</w:t>
            </w:r>
            <w:r>
              <w:rPr>
                <w:rFonts w:hint="eastAsia" w:ascii="宋体" w:hAnsi="宋体" w:cs="宋体"/>
                <w:color w:val="000000"/>
                <w:sz w:val="18"/>
                <w:lang w:val="en-US" w:eastAsia="zh-CN"/>
              </w:rPr>
              <w:t>线上填写功能</w:t>
            </w:r>
          </w:p>
        </w:tc>
        <w:tc>
          <w:tcPr>
            <w:tcW w:w="0" w:type="auto"/>
            <w:shd w:val="clear" w:color="auto" w:fill="F5F9FC"/>
            <w:tcMar>
              <w:top w:w="100" w:type="dxa"/>
              <w:left w:w="120" w:type="dxa"/>
              <w:bottom w:w="100" w:type="dxa"/>
              <w:right w:w="120" w:type="dxa"/>
            </w:tcMar>
            <w:vAlign w:val="center"/>
          </w:tcPr>
          <w:p w14:paraId="34C238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记录创建、系统填写、电子表单形成、保存查阅、人员确认、复核及更正留痕功能，以及满足纸质归档要求的打印功能</w:t>
            </w:r>
          </w:p>
        </w:tc>
      </w:tr>
      <w:tr w14:paraId="16B59103">
        <w:trPr>
          <w:cantSplit/>
          <w:jc w:val="center"/>
        </w:trPr>
        <w:tc>
          <w:tcPr>
            <w:tcW w:w="0" w:type="auto"/>
            <w:shd w:val="clear" w:color="auto" w:fill="F5F9FC"/>
            <w:tcMar>
              <w:top w:w="100" w:type="dxa"/>
              <w:left w:w="120" w:type="dxa"/>
              <w:bottom w:w="100" w:type="dxa"/>
              <w:right w:w="120" w:type="dxa"/>
            </w:tcMar>
            <w:vAlign w:val="center"/>
          </w:tcPr>
          <w:p w14:paraId="6360DDF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复杂文档成果</w:t>
            </w:r>
          </w:p>
        </w:tc>
        <w:tc>
          <w:tcPr>
            <w:tcW w:w="0" w:type="auto"/>
            <w:shd w:val="clear" w:color="auto" w:fill="F5F9FC"/>
            <w:tcMar>
              <w:top w:w="100" w:type="dxa"/>
              <w:left w:w="120" w:type="dxa"/>
              <w:bottom w:w="100" w:type="dxa"/>
              <w:right w:w="120" w:type="dxa"/>
            </w:tcMar>
            <w:vAlign w:val="center"/>
          </w:tcPr>
          <w:p w14:paraId="58B6B7D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复杂报告编制与分析应用，含协同工作区</w:t>
            </w:r>
          </w:p>
        </w:tc>
        <w:tc>
          <w:tcPr>
            <w:tcW w:w="0" w:type="auto"/>
            <w:shd w:val="clear" w:color="auto" w:fill="F5F9FC"/>
            <w:tcMar>
              <w:top w:w="100" w:type="dxa"/>
              <w:left w:w="120" w:type="dxa"/>
              <w:bottom w:w="100" w:type="dxa"/>
              <w:right w:w="120" w:type="dxa"/>
            </w:tcMar>
            <w:vAlign w:val="center"/>
          </w:tcPr>
          <w:p w14:paraId="3029720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首批报告模板配置，以及模块填充、专业计算、章节编写、图文编排、文档编辑、对话修订、分析总结、版本及来源展示功能</w:t>
            </w:r>
          </w:p>
        </w:tc>
      </w:tr>
      <w:tr w14:paraId="0E261D4A">
        <w:trPr>
          <w:cantSplit/>
          <w:jc w:val="center"/>
        </w:trPr>
        <w:tc>
          <w:tcPr>
            <w:tcW w:w="0" w:type="auto"/>
            <w:shd w:val="clear" w:color="auto" w:fill="F5F9FC"/>
            <w:tcMar>
              <w:top w:w="100" w:type="dxa"/>
              <w:left w:w="120" w:type="dxa"/>
              <w:bottom w:w="100" w:type="dxa"/>
              <w:right w:w="120" w:type="dxa"/>
            </w:tcMar>
            <w:vAlign w:val="center"/>
          </w:tcPr>
          <w:p w14:paraId="7FD79DA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专项知识成果</w:t>
            </w:r>
          </w:p>
        </w:tc>
        <w:tc>
          <w:tcPr>
            <w:tcW w:w="0" w:type="auto"/>
            <w:shd w:val="clear" w:color="auto" w:fill="F5F9FC"/>
            <w:tcMar>
              <w:top w:w="100" w:type="dxa"/>
              <w:left w:w="120" w:type="dxa"/>
              <w:bottom w:w="100" w:type="dxa"/>
              <w:right w:w="120" w:type="dxa"/>
            </w:tcMar>
            <w:vAlign w:val="center"/>
          </w:tcPr>
          <w:p w14:paraId="1AE6196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二期知识库的专项扩建内容</w:t>
            </w:r>
          </w:p>
        </w:tc>
        <w:tc>
          <w:tcPr>
            <w:tcW w:w="0" w:type="auto"/>
            <w:shd w:val="clear" w:color="auto" w:fill="F5F9FC"/>
            <w:tcMar>
              <w:top w:w="100" w:type="dxa"/>
              <w:left w:w="120" w:type="dxa"/>
              <w:bottom w:w="100" w:type="dxa"/>
              <w:right w:w="120" w:type="dxa"/>
            </w:tcMar>
            <w:vAlign w:val="center"/>
          </w:tcPr>
          <w:p w14:paraId="0838A1A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桥梁构件与病害资料、检测评定及计算依据、养护维修案例；配合比设计说明、原材料资料、试配及调整案例；首批管道检测资料；复杂报告模板、章节样例及编审修订案例，附版本及适用范围说明</w:t>
            </w:r>
          </w:p>
        </w:tc>
      </w:tr>
      <w:tr w14:paraId="0B0B8E8A">
        <w:trPr>
          <w:cantSplit/>
          <w:jc w:val="center"/>
        </w:trPr>
        <w:tc>
          <w:tcPr>
            <w:tcW w:w="0" w:type="auto"/>
            <w:shd w:val="clear" w:color="auto" w:fill="F5F9FC"/>
            <w:tcMar>
              <w:top w:w="100" w:type="dxa"/>
              <w:left w:w="120" w:type="dxa"/>
              <w:bottom w:w="100" w:type="dxa"/>
              <w:right w:w="120" w:type="dxa"/>
            </w:tcMar>
            <w:vAlign w:val="center"/>
          </w:tcPr>
          <w:p w14:paraId="47FF544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模型深化成果</w:t>
            </w:r>
          </w:p>
        </w:tc>
        <w:tc>
          <w:tcPr>
            <w:tcW w:w="0" w:type="auto"/>
            <w:shd w:val="clear" w:color="auto" w:fill="F5F9FC"/>
            <w:tcMar>
              <w:top w:w="100" w:type="dxa"/>
              <w:left w:w="120" w:type="dxa"/>
              <w:bottom w:w="100" w:type="dxa"/>
              <w:right w:w="120" w:type="dxa"/>
            </w:tcMar>
            <w:vAlign w:val="center"/>
          </w:tcPr>
          <w:p w14:paraId="48E9967A">
            <w:pPr>
              <w:spacing w:before="0" w:after="0" w:line="269" w:lineRule="auto"/>
              <w:jc w:val="left"/>
              <w:rPr>
                <w:rFonts w:hint="eastAsia" w:ascii="宋体" w:hAnsi="宋体" w:eastAsia="宋体" w:cs="宋体"/>
                <w:color w:val="000000"/>
                <w:sz w:val="18"/>
                <w:lang w:eastAsia="zh-CN"/>
              </w:rPr>
            </w:pPr>
            <w:r>
              <w:rPr>
                <w:rFonts w:hint="eastAsia" w:ascii="宋体" w:hAnsi="宋体" w:eastAsia="宋体" w:cs="宋体"/>
                <w:color w:val="000000"/>
                <w:sz w:val="18"/>
              </w:rPr>
              <w:t>经专项业务验证的模型深化版本</w:t>
            </w:r>
          </w:p>
        </w:tc>
        <w:tc>
          <w:tcPr>
            <w:tcW w:w="0" w:type="auto"/>
            <w:shd w:val="clear" w:color="auto" w:fill="F5F9FC"/>
            <w:tcMar>
              <w:top w:w="100" w:type="dxa"/>
              <w:left w:w="120" w:type="dxa"/>
              <w:bottom w:w="100" w:type="dxa"/>
              <w:right w:w="120" w:type="dxa"/>
            </w:tcMar>
            <w:vAlign w:val="center"/>
          </w:tcPr>
          <w:p w14:paraId="74D6D6A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多源资料理解与章节组织、专项结果分析、报告总结与问题归纳、审核意见修订、技术建议及方案对比等任务的训练样本、训练结果和独立样例验证记录</w:t>
            </w:r>
          </w:p>
        </w:tc>
      </w:tr>
      <w:tr w14:paraId="312AC277">
        <w:trPr>
          <w:cantSplit/>
          <w:jc w:val="center"/>
        </w:trPr>
        <w:tc>
          <w:tcPr>
            <w:tcW w:w="0" w:type="auto"/>
            <w:shd w:val="clear" w:color="auto" w:fill="F5F9FC"/>
            <w:tcMar>
              <w:top w:w="100" w:type="dxa"/>
              <w:left w:w="120" w:type="dxa"/>
              <w:bottom w:w="100" w:type="dxa"/>
              <w:right w:w="120" w:type="dxa"/>
            </w:tcMar>
            <w:vAlign w:val="center"/>
          </w:tcPr>
          <w:p w14:paraId="6B382B5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服务器设施成果</w:t>
            </w:r>
          </w:p>
        </w:tc>
        <w:tc>
          <w:tcPr>
            <w:tcW w:w="0" w:type="auto"/>
            <w:shd w:val="clear" w:color="auto" w:fill="F5F9FC"/>
            <w:tcMar>
              <w:top w:w="100" w:type="dxa"/>
              <w:left w:w="120" w:type="dxa"/>
              <w:bottom w:w="100" w:type="dxa"/>
              <w:right w:w="120" w:type="dxa"/>
            </w:tcMar>
            <w:vAlign w:val="center"/>
          </w:tcPr>
          <w:p w14:paraId="7CF66C9E">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升级后的计算服务器及必要配套设施</w:t>
            </w:r>
          </w:p>
        </w:tc>
        <w:tc>
          <w:tcPr>
            <w:tcW w:w="0" w:type="auto"/>
            <w:shd w:val="clear" w:color="auto" w:fill="F5F9FC"/>
            <w:tcMar>
              <w:top w:w="100" w:type="dxa"/>
              <w:left w:w="120" w:type="dxa"/>
              <w:bottom w:w="100" w:type="dxa"/>
              <w:right w:w="120" w:type="dxa"/>
            </w:tcMar>
            <w:vAlign w:val="center"/>
          </w:tcPr>
          <w:p w14:paraId="041DD53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初步按统一口径约4—10P规划的计算设备，以及必要存储、网络、供电和散热配套，附配置说明、模型训练及报告应用测试记录</w:t>
            </w:r>
          </w:p>
        </w:tc>
      </w:tr>
      <w:tr w14:paraId="32F1B9A1">
        <w:trPr>
          <w:cantSplit/>
          <w:jc w:val="center"/>
        </w:trPr>
        <w:tc>
          <w:tcPr>
            <w:tcW w:w="0" w:type="auto"/>
            <w:shd w:val="clear" w:color="auto" w:fill="F5F9FC"/>
            <w:tcMar>
              <w:top w:w="100" w:type="dxa"/>
              <w:left w:w="120" w:type="dxa"/>
              <w:bottom w:w="100" w:type="dxa"/>
              <w:right w:w="120" w:type="dxa"/>
            </w:tcMar>
            <w:vAlign w:val="center"/>
          </w:tcPr>
          <w:p w14:paraId="67AB5DC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配置与文档成果</w:t>
            </w:r>
          </w:p>
        </w:tc>
        <w:tc>
          <w:tcPr>
            <w:tcW w:w="0" w:type="auto"/>
            <w:shd w:val="clear" w:color="auto" w:fill="F5F9FC"/>
            <w:tcMar>
              <w:top w:w="100" w:type="dxa"/>
              <w:left w:w="120" w:type="dxa"/>
              <w:bottom w:w="100" w:type="dxa"/>
              <w:right w:w="120" w:type="dxa"/>
            </w:tcMar>
            <w:vAlign w:val="center"/>
          </w:tcPr>
          <w:p w14:paraId="7E07342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功能配置资料、业务清单及交付运行文档</w:t>
            </w:r>
          </w:p>
        </w:tc>
        <w:tc>
          <w:tcPr>
            <w:tcW w:w="0" w:type="auto"/>
            <w:shd w:val="clear" w:color="auto" w:fill="F5F9FC"/>
            <w:tcMar>
              <w:top w:w="100" w:type="dxa"/>
              <w:left w:w="120" w:type="dxa"/>
              <w:bottom w:w="100" w:type="dxa"/>
              <w:right w:w="120" w:type="dxa"/>
            </w:tcMar>
            <w:vAlign w:val="center"/>
          </w:tcPr>
          <w:p w14:paraId="594E075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新增范围清单、模板与字段配置说明、运输路线方案、数据字典、测试及试运行记录、部署运维文档、操作培训资料和验收材料</w:t>
            </w:r>
          </w:p>
        </w:tc>
      </w:tr>
      <w:tr w14:paraId="4C6CFA91">
        <w:trPr>
          <w:cantSplit/>
          <w:jc w:val="center"/>
        </w:trPr>
        <w:tc>
          <w:tcPr>
            <w:tcW w:w="0" w:type="auto"/>
            <w:shd w:val="clear" w:color="auto" w:fill="F5F9FC"/>
            <w:tcMar>
              <w:top w:w="100" w:type="dxa"/>
              <w:left w:w="120" w:type="dxa"/>
              <w:bottom w:w="100" w:type="dxa"/>
              <w:right w:w="120" w:type="dxa"/>
            </w:tcMar>
            <w:vAlign w:val="center"/>
          </w:tcPr>
          <w:p w14:paraId="1FD6433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知识产权成果</w:t>
            </w:r>
          </w:p>
        </w:tc>
        <w:tc>
          <w:tcPr>
            <w:tcW w:w="0" w:type="auto"/>
            <w:shd w:val="clear" w:color="auto" w:fill="F5F9FC"/>
            <w:tcMar>
              <w:top w:w="100" w:type="dxa"/>
              <w:left w:w="120" w:type="dxa"/>
              <w:bottom w:w="100" w:type="dxa"/>
              <w:right w:w="120" w:type="dxa"/>
            </w:tcMar>
            <w:vAlign w:val="center"/>
          </w:tcPr>
          <w:p w14:paraId="41BD77E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经权属确认的软件著作权申报材料</w:t>
            </w:r>
          </w:p>
        </w:tc>
        <w:tc>
          <w:tcPr>
            <w:tcW w:w="0" w:type="auto"/>
            <w:shd w:val="clear" w:color="auto" w:fill="F5F9FC"/>
            <w:tcMar>
              <w:top w:w="100" w:type="dxa"/>
              <w:left w:w="120" w:type="dxa"/>
              <w:bottom w:w="100" w:type="dxa"/>
              <w:right w:w="120" w:type="dxa"/>
            </w:tcMar>
            <w:vAlign w:val="center"/>
          </w:tcPr>
          <w:p w14:paraId="20CC4CB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对可独立申报的新增软件成果整理名称、版本、功能说明、源程序及操作资料</w:t>
            </w:r>
          </w:p>
        </w:tc>
      </w:tr>
    </w:tbl>
    <w:p w14:paraId="7F8134E7">
      <w:pPr>
        <w:bidi w:val="0"/>
        <w:rPr>
          <w:rFonts w:hint="default"/>
          <w:lang w:val="en-US" w:eastAsia="zh-CN"/>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B2D94">
    <w:pPr>
      <w:pStyle w:val="9"/>
      <w:pBdr>
        <w:bottom w:val="single" w:color="auto" w:sz="4" w:space="1"/>
      </w:pBdr>
      <w:jc w:val="left"/>
    </w:pPr>
    <w:r>
      <w:drawing>
        <wp:inline distT="0" distB="0" distL="114300" distR="114300">
          <wp:extent cx="1403350" cy="313055"/>
          <wp:effectExtent l="0" t="0" r="19050" b="17145"/>
          <wp:docPr id="7" name="图片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34CE">
    <w:pPr>
      <w:keepNext w:val="0"/>
      <w:keepLines w:val="0"/>
      <w:widowControl/>
      <w:suppressLineNumbers w:val="0"/>
      <w:jc w:val="left"/>
      <w:rPr>
        <w:rFonts w:hint="eastAsia" w:ascii="Arial" w:hAnsi="Arial" w:eastAsia="Arial" w:cs="Arial"/>
        <w:snapToGrid w:val="0"/>
        <w:color w:val="000000"/>
        <w:sz w:val="18"/>
        <w:szCs w:val="21"/>
        <w:lang w:val="en-US" w:eastAsia="en-US" w:bidi="ar-SA"/>
      </w:rPr>
    </w:pPr>
    <w:r>
      <w:drawing>
        <wp:inline distT="0" distB="0" distL="114300" distR="114300">
          <wp:extent cx="1403350" cy="313055"/>
          <wp:effectExtent l="0" t="0" r="19050" b="17145"/>
          <wp:docPr id="6" name="图片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p w14:paraId="38C6142A">
    <w:pPr>
      <w:pStyle w:val="9"/>
      <w:pBdr>
        <w:bottom w:val="single" w:color="auto" w:sz="4"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2696F"/>
    <w:multiLevelType w:val="singleLevel"/>
    <w:tmpl w:val="FFF2696F"/>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30333"/>
    <w:rsid w:val="1EDF220B"/>
    <w:rsid w:val="1F33375E"/>
    <w:rsid w:val="2FF94483"/>
    <w:rsid w:val="327DCF2F"/>
    <w:rsid w:val="33DED774"/>
    <w:rsid w:val="375F5D7E"/>
    <w:rsid w:val="379F861E"/>
    <w:rsid w:val="37FF6126"/>
    <w:rsid w:val="3AFF6272"/>
    <w:rsid w:val="3BB5970A"/>
    <w:rsid w:val="3BD61ED1"/>
    <w:rsid w:val="3BFBB2CE"/>
    <w:rsid w:val="3D1710B2"/>
    <w:rsid w:val="3FEF810B"/>
    <w:rsid w:val="47F2881C"/>
    <w:rsid w:val="4DF67666"/>
    <w:rsid w:val="4EF3D872"/>
    <w:rsid w:val="4FBFE9E7"/>
    <w:rsid w:val="4FED1B77"/>
    <w:rsid w:val="4FF85545"/>
    <w:rsid w:val="537FD392"/>
    <w:rsid w:val="53F7EDA9"/>
    <w:rsid w:val="56FF190F"/>
    <w:rsid w:val="592C72C2"/>
    <w:rsid w:val="5953B797"/>
    <w:rsid w:val="5BE49703"/>
    <w:rsid w:val="5EDF6142"/>
    <w:rsid w:val="5F7F938E"/>
    <w:rsid w:val="5FF7E1AC"/>
    <w:rsid w:val="673F6C1B"/>
    <w:rsid w:val="67FC8D19"/>
    <w:rsid w:val="67FDE435"/>
    <w:rsid w:val="69FFB10D"/>
    <w:rsid w:val="6AFC7B0E"/>
    <w:rsid w:val="6CF6EB2D"/>
    <w:rsid w:val="6D6E27C5"/>
    <w:rsid w:val="6FEFFA61"/>
    <w:rsid w:val="6FFCD85F"/>
    <w:rsid w:val="739EB0DF"/>
    <w:rsid w:val="76EBE406"/>
    <w:rsid w:val="772DB61D"/>
    <w:rsid w:val="77F7231C"/>
    <w:rsid w:val="79EF1C98"/>
    <w:rsid w:val="7ABF6117"/>
    <w:rsid w:val="7BBBD9B1"/>
    <w:rsid w:val="7BC89389"/>
    <w:rsid w:val="7D7B1019"/>
    <w:rsid w:val="7DFED04C"/>
    <w:rsid w:val="7EDFB97A"/>
    <w:rsid w:val="7EEF324D"/>
    <w:rsid w:val="7FBBDEB0"/>
    <w:rsid w:val="7FF7FA0B"/>
    <w:rsid w:val="88FEE08A"/>
    <w:rsid w:val="99F3ED61"/>
    <w:rsid w:val="9D3C8507"/>
    <w:rsid w:val="9DE3874C"/>
    <w:rsid w:val="9ECF3FE8"/>
    <w:rsid w:val="A9F7E814"/>
    <w:rsid w:val="AEFAFB90"/>
    <w:rsid w:val="AFFC33DB"/>
    <w:rsid w:val="B4FF3F9E"/>
    <w:rsid w:val="B75DC99A"/>
    <w:rsid w:val="BE3332F9"/>
    <w:rsid w:val="BEB7336A"/>
    <w:rsid w:val="BFDFA24A"/>
    <w:rsid w:val="BFFE4CA0"/>
    <w:rsid w:val="C5BF8391"/>
    <w:rsid w:val="C7EB4D50"/>
    <w:rsid w:val="C7F5855D"/>
    <w:rsid w:val="CD95C1D6"/>
    <w:rsid w:val="CFBF7DB0"/>
    <w:rsid w:val="D37DEE6F"/>
    <w:rsid w:val="DAE6369A"/>
    <w:rsid w:val="DCCF63B0"/>
    <w:rsid w:val="DD579D3C"/>
    <w:rsid w:val="DDBFC95B"/>
    <w:rsid w:val="DDF1F4B6"/>
    <w:rsid w:val="DE7F52D7"/>
    <w:rsid w:val="DFBF9DEE"/>
    <w:rsid w:val="DFF14DC5"/>
    <w:rsid w:val="E217E932"/>
    <w:rsid w:val="EDFB5A0F"/>
    <w:rsid w:val="EDFFC171"/>
    <w:rsid w:val="EEFB6DA3"/>
    <w:rsid w:val="EF7FB75B"/>
    <w:rsid w:val="EFAFE33D"/>
    <w:rsid w:val="F1F7C533"/>
    <w:rsid w:val="F36DA31F"/>
    <w:rsid w:val="F5DDF764"/>
    <w:rsid w:val="F77FBF52"/>
    <w:rsid w:val="F7B2A363"/>
    <w:rsid w:val="F7DF443C"/>
    <w:rsid w:val="F7EDE43A"/>
    <w:rsid w:val="F7F68770"/>
    <w:rsid w:val="F7FF715A"/>
    <w:rsid w:val="F936A98B"/>
    <w:rsid w:val="F93DF0FD"/>
    <w:rsid w:val="F975FD7C"/>
    <w:rsid w:val="F9D34781"/>
    <w:rsid w:val="F9D7C7D1"/>
    <w:rsid w:val="FAA2C575"/>
    <w:rsid w:val="FAFF9877"/>
    <w:rsid w:val="FB737F02"/>
    <w:rsid w:val="FBAF3EEC"/>
    <w:rsid w:val="FBBB32E2"/>
    <w:rsid w:val="FBE7A758"/>
    <w:rsid w:val="FDE5B633"/>
    <w:rsid w:val="FDEF3D45"/>
    <w:rsid w:val="FDFFA34C"/>
    <w:rsid w:val="FE2D871E"/>
    <w:rsid w:val="FEFD4627"/>
    <w:rsid w:val="FF3D2033"/>
    <w:rsid w:val="FF7FEEE4"/>
    <w:rsid w:val="FFAFDC94"/>
    <w:rsid w:val="FFDF9697"/>
    <w:rsid w:val="FFF76FF4"/>
    <w:rsid w:val="FFFF4C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sz w:val="21"/>
      <w:szCs w:val="22"/>
    </w:rPr>
  </w:style>
  <w:style w:type="paragraph" w:styleId="2">
    <w:name w:val="heading 2"/>
    <w:basedOn w:val="1"/>
    <w:next w:val="1"/>
    <w:qFormat/>
    <w:uiPriority w:val="0"/>
    <w:pPr>
      <w:outlineLvl w:val="1"/>
    </w:pPr>
    <w:rPr>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Body Text Indent"/>
    <w:basedOn w:val="1"/>
    <w:qFormat/>
    <w:uiPriority w:val="0"/>
    <w:pPr>
      <w:spacing w:line="200" w:lineRule="exact"/>
      <w:ind w:firstLine="301"/>
    </w:pPr>
    <w:rPr>
      <w:rFonts w:ascii="宋体" w:hAnsi="Courier New"/>
      <w:spacing w:val="-4"/>
      <w:sz w:val="18"/>
      <w:szCs w:val="20"/>
    </w:rPr>
  </w:style>
  <w:style w:type="paragraph" w:styleId="6">
    <w:name w:val="toc 3"/>
    <w:basedOn w:val="1"/>
    <w:next w:val="1"/>
    <w:uiPriority w:val="0"/>
    <w:pPr>
      <w:ind w:left="840" w:leftChars="400"/>
    </w:pPr>
  </w:style>
  <w:style w:type="paragraph" w:styleId="7">
    <w:name w:val="Body Text Indent 2"/>
    <w:basedOn w:val="1"/>
    <w:qFormat/>
    <w:uiPriority w:val="0"/>
    <w:pPr>
      <w:spacing w:line="500" w:lineRule="exact"/>
      <w:ind w:firstLine="540" w:firstLineChars="200"/>
    </w:pPr>
    <w:rPr>
      <w:rFonts w:ascii="宋体" w:hAnsi="宋体"/>
      <w:sz w:val="27"/>
      <w:szCs w:val="27"/>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Body Text First Indent 2"/>
    <w:basedOn w:val="5"/>
    <w:next w:val="7"/>
    <w:unhideWhenUsed/>
    <w:qFormat/>
    <w:uiPriority w:val="99"/>
    <w:pPr>
      <w:ind w:firstLine="420" w:firstLine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Caption Custom"/>
    <w:uiPriority w:val="0"/>
    <w:pPr>
      <w:spacing w:before="60" w:after="180" w:line="276" w:lineRule="auto"/>
      <w:jc w:val="center"/>
    </w:pPr>
    <w:rPr>
      <w:rFonts w:ascii="Arial Unicode MS" w:hAnsi="Arial Unicode MS" w:eastAsia="等线"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12718</Words>
  <Characters>13010</Characters>
  <TotalTime>43</TotalTime>
  <ScaleCrop>false</ScaleCrop>
  <LinksUpToDate>false</LinksUpToDate>
  <CharactersWithSpaces>14090</CharactersWithSpaces>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2026-06-12T03:26:00Z</dcterms:created>
  <dc:creator>Apache POI</dc:creator>
  <cp:lastModifiedBy>W</cp:lastModifiedBy>
  <dcterms:modified xsi:type="dcterms:W3CDTF">2026-09-15T23:00:22Z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5AC8229EC47769103F41A96A5401531F_43</vt:lpwstr>
  </property>
</Properties>
</file>