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DBAA64">
      <w:pPr>
        <w:bidi w:val="0"/>
        <w:rPr>
          <w:rFonts w:hint="eastAsia" w:ascii="仿宋" w:hAnsi="仿宋" w:eastAsia="仿宋" w:cs="仿宋"/>
          <w:lang w:eastAsia="zh-CN"/>
        </w:rPr>
      </w:pPr>
      <w:bookmarkStart w:id="0" w:name="_Toc30744"/>
      <w:bookmarkStart w:id="1" w:name="_Toc21525"/>
    </w:p>
    <w:p w14:paraId="12554CCC">
      <w:pPr>
        <w:pStyle w:val="14"/>
        <w:ind w:left="0" w:leftChars="0" w:firstLine="0" w:firstLineChars="0"/>
        <w:rPr>
          <w:rFonts w:hint="eastAsia" w:ascii="仿宋" w:hAnsi="仿宋" w:eastAsia="仿宋" w:cs="仿宋"/>
          <w:lang w:eastAsia="zh-CN"/>
        </w:rPr>
      </w:pPr>
    </w:p>
    <w:p w14:paraId="7DD5E69C">
      <w:pPr>
        <w:pStyle w:val="8"/>
        <w:ind w:left="0" w:leftChars="0" w:firstLine="0" w:firstLineChars="0"/>
        <w:outlineLvl w:val="9"/>
        <w:rPr>
          <w:rFonts w:hint="eastAsia" w:ascii="仿宋" w:hAnsi="仿宋" w:eastAsia="仿宋" w:cs="仿宋"/>
          <w:lang w:eastAsia="zh-CN"/>
        </w:rPr>
      </w:pPr>
    </w:p>
    <w:p w14:paraId="106B7D74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3450020B">
      <w:pPr>
        <w:pStyle w:val="8"/>
        <w:outlineLvl w:val="9"/>
        <w:rPr>
          <w:rFonts w:hint="eastAsia" w:ascii="仿宋" w:hAnsi="仿宋" w:eastAsia="仿宋" w:cs="仿宋"/>
          <w:lang w:eastAsia="zh-CN"/>
        </w:rPr>
      </w:pPr>
    </w:p>
    <w:p w14:paraId="78B757DC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浦江网联试验室</w:t>
      </w:r>
    </w:p>
    <w:p w14:paraId="03507386">
      <w:pPr>
        <w:spacing w:line="360" w:lineRule="auto"/>
        <w:jc w:val="center"/>
        <w:outlineLvl w:val="9"/>
        <w:rPr>
          <w:rFonts w:hint="default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智能化提升项目（三期）</w:t>
      </w:r>
    </w:p>
    <w:p w14:paraId="5C54B49B">
      <w:pPr>
        <w:spacing w:line="360" w:lineRule="auto"/>
        <w:jc w:val="center"/>
        <w:outlineLvl w:val="9"/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52"/>
          <w:szCs w:val="52"/>
          <w:highlight w:val="none"/>
          <w:lang w:val="en-US" w:eastAsia="zh-CN"/>
        </w:rPr>
        <w:t>建设方案</w:t>
      </w:r>
    </w:p>
    <w:p w14:paraId="5EAA205B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7E6A7042">
      <w:pPr>
        <w:bidi w:val="0"/>
        <w:outlineLvl w:val="9"/>
        <w:rPr>
          <w:rFonts w:hint="eastAsia" w:ascii="黑体" w:hAnsi="黑体" w:eastAsia="黑体" w:cs="黑体"/>
          <w:lang w:eastAsia="zh-CN"/>
        </w:rPr>
      </w:pPr>
    </w:p>
    <w:p w14:paraId="51EED85C">
      <w:pPr>
        <w:pStyle w:val="14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173491C3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74159DDF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D4907AB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5E6AD8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43873E80">
      <w:pPr>
        <w:pStyle w:val="8"/>
        <w:ind w:left="0" w:leftChars="0" w:firstLine="0" w:firstLineChars="0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F7FA06C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66EF2AAA">
      <w:pPr>
        <w:pStyle w:val="8"/>
        <w:outlineLvl w:val="9"/>
        <w:rPr>
          <w:rFonts w:hint="eastAsia" w:ascii="黑体" w:hAnsi="黑体" w:eastAsia="黑体" w:cs="黑体"/>
          <w:b/>
          <w:sz w:val="52"/>
          <w:szCs w:val="52"/>
          <w:lang w:eastAsia="zh-CN"/>
        </w:rPr>
      </w:pPr>
    </w:p>
    <w:p w14:paraId="344B8B9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8" w:line="480" w:lineRule="auto"/>
        <w:jc w:val="center"/>
        <w:textAlignment w:val="baseline"/>
        <w:outlineLvl w:val="9"/>
        <w:rPr>
          <w:rFonts w:hint="eastAsia" w:ascii="黑体" w:hAnsi="黑体" w:eastAsia="黑体" w:cs="黑体"/>
          <w:b w:val="0"/>
          <w:bCs/>
          <w:sz w:val="36"/>
          <w:szCs w:val="36"/>
        </w:rPr>
      </w:pPr>
      <w:r>
        <w:rPr>
          <w:rFonts w:hint="eastAsia" w:ascii="黑体" w:hAnsi="黑体" w:eastAsia="黑体" w:cs="黑体"/>
          <w:b w:val="0"/>
          <w:bCs/>
          <w:sz w:val="36"/>
          <w:szCs w:val="36"/>
          <w:lang w:val="en-US" w:eastAsia="zh-CN"/>
        </w:rPr>
        <w:t>江苏</w:t>
      </w:r>
      <w:r>
        <w:rPr>
          <w:rFonts w:hint="eastAsia" w:ascii="黑体" w:hAnsi="黑体" w:eastAsia="黑体" w:cs="黑体"/>
          <w:b w:val="0"/>
          <w:bCs/>
          <w:sz w:val="36"/>
          <w:szCs w:val="36"/>
        </w:rPr>
        <w:t>正方交通科技有限公司</w:t>
      </w:r>
    </w:p>
    <w:p w14:paraId="1D567C8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0" w:lineRule="auto"/>
        <w:jc w:val="center"/>
        <w:textAlignment w:val="baseline"/>
        <w:outlineLvl w:val="9"/>
        <w:rPr>
          <w:rFonts w:hint="default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sectPr>
          <w:headerReference r:id="rId3" w:type="default"/>
          <w:pgSz w:w="11906" w:h="16838"/>
          <w:pgMar w:top="1440" w:right="1800" w:bottom="1440" w:left="180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425" w:num="1"/>
          <w:docGrid w:type="lines" w:linePitch="312" w:charSpace="0"/>
        </w:sectPr>
      </w:pPr>
      <w:r>
        <w:rPr>
          <w:rFonts w:hint="eastAsia" w:ascii="黑体" w:hAnsi="黑体" w:eastAsia="黑体" w:cs="黑体"/>
          <w:b w:val="0"/>
          <w:bCs/>
          <w:kern w:val="2"/>
          <w:sz w:val="36"/>
          <w:szCs w:val="36"/>
          <w:lang w:val="en-US" w:eastAsia="zh-CN" w:bidi="ar-SA"/>
        </w:rPr>
        <w:t>2026年10</w:t>
      </w:r>
    </w:p>
    <w:bookmarkEnd w:id="0"/>
    <w:bookmarkEnd w:id="1"/>
    <w:sdt>
      <w:sdtPr>
        <w:rPr>
          <w:rFonts w:ascii="宋体" w:hAnsi="宋体" w:eastAsia="宋体"/>
          <w:sz w:val="21"/>
          <w:szCs w:val="22"/>
        </w:rPr>
        <w:id w:val="59124011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682BBA1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_Toc900100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一、项目概述</w:t>
          </w:r>
          <w:r>
            <w:tab/>
          </w:r>
          <w:r>
            <w:fldChar w:fldCharType="begin"/>
          </w:r>
          <w:r>
            <w:instrText xml:space="preserve"> PAGEREF _Toc900100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1.1 项目背景</w:t>
          </w:r>
          <w:r>
            <w:tab/>
          </w:r>
          <w:r>
            <w:fldChar w:fldCharType="begin"/>
          </w:r>
          <w:r>
            <w:instrText xml:space="preserve"> PAGEREF _Toc900101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1.2 项目现状</w:t>
          </w:r>
          <w:r>
            <w:tab/>
          </w:r>
          <w:r>
            <w:fldChar w:fldCharType="begin"/>
          </w:r>
          <w:r>
            <w:instrText xml:space="preserve"> PAGEREF _Toc900102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1.3 项目目标与成果</w:t>
          </w:r>
          <w:r>
            <w:tab/>
          </w:r>
          <w:r>
            <w:fldChar w:fldCharType="begin"/>
          </w:r>
          <w:r>
            <w:instrText xml:space="preserve"> PAGEREF _Toc900103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1.3.1建设目标</w:t>
          </w:r>
          <w:r>
            <w:tab/>
          </w:r>
          <w:r>
            <w:fldChar w:fldCharType="begin"/>
          </w:r>
          <w:r>
            <w:instrText xml:space="preserve"> PAGEREF _Toc900104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1.3.2建设成果</w:t>
          </w:r>
          <w:r>
            <w:tab/>
          </w:r>
          <w:r>
            <w:fldChar w:fldCharType="begin"/>
          </w:r>
          <w:r>
            <w:instrText xml:space="preserve"> PAGEREF _Toc900105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二、总体架构</w:t>
          </w:r>
          <w:r>
            <w:tab/>
          </w:r>
          <w:r>
            <w:fldChar w:fldCharType="begin"/>
          </w:r>
          <w:r>
            <w:instrText xml:space="preserve"> PAGEREF _Toc900106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2.1 业务架构</w:t>
          </w:r>
          <w:r>
            <w:tab/>
          </w:r>
          <w:r>
            <w:fldChar w:fldCharType="begin"/>
          </w:r>
          <w:r>
            <w:instrText xml:space="preserve"> PAGEREF _Toc900107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2.2 技术架构</w:t>
          </w:r>
          <w:r>
            <w:tab/>
          </w:r>
          <w:r>
            <w:fldChar w:fldCharType="begin"/>
          </w:r>
          <w:r>
            <w:instrText xml:space="preserve"> PAGEREF _Toc900108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_Toc900109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2.3 业务流程</w:t>
          </w:r>
          <w:r>
            <w:tab/>
          </w:r>
          <w:r>
            <w:fldChar w:fldCharType="begin"/>
          </w:r>
          <w:r>
            <w:instrText xml:space="preserve"> PAGEREF _Toc900109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三、建设内容</w:t>
          </w:r>
          <w:r>
            <w:tab/>
          </w:r>
          <w:r>
            <w:fldChar w:fldCharType="begin"/>
          </w:r>
          <w:r>
            <w:instrText xml:space="preserve"> PAGEREF _Toc900110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3.1 委托智检——构建委托受理与任务联动协同体系</w:t>
          </w:r>
          <w:r>
            <w:tab/>
          </w:r>
          <w:r>
            <w:fldChar w:fldCharType="begin"/>
          </w:r>
          <w:r>
            <w:instrText xml:space="preserve"> PAGEREF _Toc900111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3.2 样品智运——构建样品智能运输与交接追踪体系</w:t>
          </w:r>
          <w:r>
            <w:tab/>
          </w:r>
          <w:r>
            <w:fldChar w:fldCharType="begin"/>
          </w:r>
          <w:r>
            <w:instrText xml:space="preserve"> PAGEREF _Toc900112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3.3 任务智联——构建任务协同与智能门禁联动体系</w:t>
          </w:r>
          <w:r>
            <w:tab/>
          </w:r>
          <w:r>
            <w:fldChar w:fldCharType="begin"/>
          </w:r>
          <w:r>
            <w:instrText xml:space="preserve"> PAGEREF _Toc900113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3.4 试验智采——构建设备数据直采与报告自动生成体系</w:t>
          </w:r>
          <w:r>
            <w:tab/>
          </w:r>
          <w:r>
            <w:fldChar w:fldCharType="begin"/>
          </w:r>
          <w:r>
            <w:instrText xml:space="preserve"> PAGEREF _Toc900114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3.5 安全智控——拓展安全管理远程调阅与联动能力</w:t>
          </w:r>
          <w:r>
            <w:tab/>
          </w:r>
          <w:r>
            <w:fldChar w:fldCharType="begin"/>
          </w:r>
          <w:r>
            <w:instrText xml:space="preserve"> PAGEREF _Toc900115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3.6 态势智显——构建数字孪生业务态势呈现体系</w:t>
          </w:r>
          <w:r>
            <w:tab/>
          </w:r>
          <w:r>
            <w:fldChar w:fldCharType="begin"/>
          </w:r>
          <w:r>
            <w:instrText xml:space="preserve"> PAGEREF _Toc900116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3.7 “小浦”智能体业务化应用</w:t>
          </w:r>
          <w:r>
            <w:tab/>
          </w:r>
          <w:r>
            <w:fldChar w:fldCharType="begin"/>
          </w:r>
          <w:r>
            <w:instrText xml:space="preserve"> PAGEREF _Toc900117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3.8 样品运输机器人选型（硬件）</w:t>
          </w:r>
          <w:r>
            <w:tab/>
          </w:r>
          <w:r>
            <w:fldChar w:fldCharType="begin"/>
          </w:r>
          <w:r>
            <w:instrText xml:space="preserve"> PAGEREF _Toc900118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_Toc900119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3.8.1选型依据</w:t>
          </w:r>
          <w:r>
            <w:tab/>
          </w:r>
          <w:r>
            <w:fldChar w:fldCharType="begin"/>
          </w:r>
          <w:r>
            <w:instrText xml:space="preserve"> PAGEREF _Toc900119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3.8.2技术路线比选</w:t>
          </w:r>
          <w:r>
            <w:tab/>
          </w:r>
          <w:r>
            <w:fldChar w:fldCharType="begin"/>
          </w:r>
          <w:r>
            <w:instrText xml:space="preserve"> PAGEREF _Toc900120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_Toc900121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3.8.3选型建议</w:t>
          </w:r>
          <w:r>
            <w:tab/>
          </w:r>
          <w:r>
            <w:fldChar w:fldCharType="begin"/>
          </w:r>
          <w:r>
            <w:instrText xml:space="preserve"> PAGEREF _Toc900121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_Toc900122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3.8.4门体通行方案</w:t>
          </w:r>
          <w:r>
            <w:tab/>
          </w:r>
          <w:r>
            <w:fldChar w:fldCharType="begin"/>
          </w:r>
          <w:r>
            <w:instrText xml:space="preserve"> PAGEREF _Toc900122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7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_Toc900123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4"/>
              <w:lang w:val="en-US" w:eastAsia="zh-CN" w:bidi="ar-SA"/>
            </w:rPr>
            <w:t>3.8.5场地与环境要求</w:t>
          </w:r>
          <w:r>
            <w:tab/>
          </w:r>
          <w:r>
            <w:fldChar w:fldCharType="begin"/>
          </w:r>
          <w:r>
            <w:instrText xml:space="preserve"> PAGEREF _Toc900123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_Toc900124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四、示范应用场景</w:t>
          </w:r>
          <w:r>
            <w:tab/>
          </w:r>
          <w:r>
            <w:fldChar w:fldCharType="begin"/>
          </w:r>
          <w:r>
            <w:instrText xml:space="preserve"> PAGEREF _Toc900124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_Toc900125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五、项目计划与预期成果</w:t>
          </w:r>
          <w:r>
            <w:tab/>
          </w:r>
          <w:r>
            <w:fldChar w:fldCharType="begin"/>
          </w:r>
          <w:r>
            <w:instrText xml:space="preserve"> PAGEREF _Toc900125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_Toc900126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5.1 工作安排</w:t>
          </w:r>
          <w:r>
            <w:tab/>
          </w:r>
          <w:r>
            <w:fldChar w:fldCharType="begin"/>
          </w:r>
          <w:r>
            <w:instrText xml:space="preserve"> PAGEREF _Toc900126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_Toc900127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5.2 预期成果</w:t>
          </w:r>
          <w:r>
            <w:tab/>
          </w:r>
          <w:r>
            <w:fldChar w:fldCharType="begin"/>
          </w:r>
          <w:r>
            <w:instrText xml:space="preserve"> PAGEREF _Toc900127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_Toc900128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5.3 验收指标</w:t>
          </w:r>
          <w:r>
            <w:tab/>
          </w:r>
          <w:r>
            <w:fldChar w:fldCharType="begin"/>
          </w:r>
          <w:r>
            <w:instrText xml:space="preserve"> PAGEREF _Toc900128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2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_Toc900129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5.4 组织保障</w:t>
          </w:r>
          <w:r>
            <w:tab/>
          </w:r>
          <w:r>
            <w:fldChar w:fldCharType="begin"/>
          </w:r>
          <w:r>
            <w:instrText xml:space="preserve"> PAGEREF _Toc900129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1"/>
            <w:tabs>
              <w:tab w:val="right" w:leader="dot" w:pos="8305"/>
            </w:tabs>
          </w:pPr>
          <w:r>
            <w:fldChar w:fldCharType="begin"/>
          </w:r>
          <w:r>
            <w:instrText xml:space="preserve"> HYPERLINK \l _Toc900130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snapToGrid w:val="0"/>
              <w:szCs w:val="28"/>
              <w:lang w:val="en-US" w:eastAsia="zh-CN" w:bidi="ar-SA"/>
            </w:rPr>
            <w:t>六、后续演进规划</w:t>
          </w:r>
          <w:r>
            <w:tab/>
          </w:r>
          <w:r>
            <w:fldChar w:fldCharType="begin"/>
          </w:r>
          <w:r>
            <w:instrText xml:space="preserve"> PAGEREF _Toc900130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3A8EC1D">
          <w:pPr>
            <w:sectPr>
              <w:headerReference r:id="rId4" w:type="default"/>
              <w:pgSz w:w="11905" w:h="16840"/>
              <w:cols w:space="720" w:num="1"/>
            </w:sectPr>
          </w:pPr>
          <w:r>
            <w:fldChar w:fldCharType="end"/>
          </w:r>
        </w:p>
      </w:sdtContent>
    </w:sdt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0" w:name="_Toc900100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一、项目概述</w:t>
      </w:r>
      <w:bookmarkEnd w:id="100"/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1" w:name="_Toc900101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1.1 项目背景</w:t>
      </w:r>
      <w:bookmarkEnd w:id="10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随着公路工程建设、运营养护及质量监管持续向数字化、智能化方向发展，试验检测业务正在由单点信息化逐步向业务贯通、软硬协同和智能辅助转变。委托受理、样品流转、试验执行、数据采集与报告生成之间的高效衔接，已成为试验检测机构提升服务能力和管理水平的关键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前期项目已围绕试验室数字化和人工智能应用开展持续建设，建成了智慧试验室平台，形成了试验室数字孪生、委托系统、安全管理、化学品管理、资产管理等功能模块，部署了门禁与门口信息屏、分场所视频监控，并上线了面向试验室应用的智能语音助手“小浦”，为试验室数字化转型奠定了坚实基础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在此基础上，项目三期以检测业务主流程为主线，重点推动“委托受理—样品运输—任务协同—试验采集—报告生成”各环节的实物流与信息流同步联动，通过引入样品运输机器人、门体自动化改造、设备数据直采等软硬件协同手段，使业务过程可感知、可追溯、可展示；同时依托闭环运行形成的实时业务数据，推动数字孪生向业务态势呈现拓展，推动“小浦”向贯穿业务全过程的业务智能体升级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通过本期建设，逐步推动试验室由“系统支撑、局部联动”向“全程贯通、软硬协同、实时可视、智能交互”转变，形成兼具日常业务价值与示范展示效果的智慧试验室应用体系。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2" w:name="_Toc900102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1.2 项目现状</w:t>
      </w:r>
      <w:bookmarkEnd w:id="102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经过前期建设，目前已具备开展三期智能化提升的基础条件：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在平台建设方面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，已建成智慧试验室平台，涵盖试验室数字孪生、委托系统、安全管理、化学品管理、资产管理等功能模块，形成了试验室业务与管理的统一承载平台，为本期各项联动功能的集成提供了基础。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在检测业务方面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，委托系统已覆盖委托登记、任务下达、数据录入至报告打印等主要环节，各检测项目已配置相应计算公式，并具备纸质原始记录智能识别与常规检测报告自动生成能力。本期将在此基础上，重点推动委托受理流程优化以及设备数据与报告生成的自动衔接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在设备接入方面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，已开展部分试验设备的数据接入，积累了设备对接经验。本期将以压力机为示范设备，进一步扩大设备数据直采范围，实现试验数据与检测任务的自动关联。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在安全与资产管理方面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，已具备分场所视频实时监控、化学品线上管理以及人员、设备等资产管理能力。本期将进一步拓展历史录像远程调阅，并将机器人运行区域纳入安全管理范围。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在智能交互方面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，已建设智能语音助手“小浦”，可通过语音完成行业知识问答、检测任务信息查询和部分试验室智能屏控制，并已与烘箱、软化点仪、针入度仪、延度仪等设备形成初步联动。本期将为“小浦”接入实时业务数据，拓展业务查询与辅助操作能力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总体来看，项目已经完成从业务信息化到智能化应用探索的基础积累，三期具备进一步开展业务闭环贯通、软硬件协同和智能体业务化应用的建设条件。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3" w:name="_Toc900103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1.3 项目目标与成果</w:t>
      </w:r>
      <w:bookmarkEnd w:id="103"/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04" w:name="_Toc900104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1.3.1建设目标</w:t>
      </w:r>
      <w:bookmarkEnd w:id="10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本期项目以检测业务全流程闭环为主线，在充分继承前期建设成果的基础上，围绕“全程贯通、软硬协同、实时可视、智能交互”开展建设。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第一，构建委托至报告全流程业务闭环。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优化委托受理流程，受理后自动生成检测任务与运输任务，样品经机器人运送至试验室，试验数据自动采集并生成报告，实现一份真实委托从受理到报告生成全程联动、数据自动流转。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第二，建设样品智能运输体系。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配置样品运输机器人与调度系统，实施试验室门体自动化改造，实现样品在收样室与试验室之间的自主运输、自动通行与交接留痕。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第三，推进设备数据直采与报告自动生成。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以压力机为示范开展设备数据直采，试验数据与委托、样品、任务自动关联，并衔接既有报告生成能力，实现示范检测项目报告的自动生成。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第四，拓展数字孪生业务态势呈现。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为试验室数字孪生接入实时业务数据，在三维模型中呈现机器人轨迹、样品位置、设备状态与业务统计，使试验室运行情况一屏可视。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第五，推动“小浦”智能体业务化应用。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为“小浦”接入委托、样品、任务、设备、报告等业务数据，使其成为委托填报、任务提示、业务查询、报告校核与迎宾导览的统一交互入口。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最终形成“业务闭环主线 + 支撑保障体系 + 智能交互入口”相互协同的智慧试验室应用体系。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05" w:name="_Toc900105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1.3.2建设成果</w:t>
      </w:r>
      <w:bookmarkEnd w:id="10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项目计划形成四类核心建设成果：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业务功能成果：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形成委托智检、样品智运、任务智联、试验智采、安全智控、态势智显六类业务应用，实现委托至报告全流程贯通。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硬件设施成果：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形成由样品运输机器人、调度系统、自动门、信息屏与设备采集终端组成的试验室智能硬件环境。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智能应用成果：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形成接入实时业务数据的“小浦”业务智能体，以及呈现业务态势的数字孪生大屏。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示范场景成果：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形成基于真实委托、真实数据运行的全流程示范场景，兼顾日常业务使用与对外参观展示。</w:t>
      </w:r>
    </w:p>
    <w:p>
      <w:pPr>
        <w:rPr>
          <w:rFonts w:hint="eastAsia" w:ascii="宋体" w:hAnsi="宋体" w:cs="宋体"/>
          <w:b/>
          <w:sz w:val="28"/>
          <w:szCs w:val="28"/>
        </w:rPr>
      </w:pPr>
      <w:r>
        <w:rPr>
          <w:rFonts w:hint="eastAsia" w:ascii="宋体" w:hAnsi="宋体" w:cs="宋体"/>
          <w:b/>
          <w:sz w:val="28"/>
          <w:szCs w:val="28"/>
        </w:rPr>
        <w:br w:type="page"/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6" w:name="_Toc900106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二、总体架构</w:t>
      </w:r>
      <w:bookmarkEnd w:id="106"/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7" w:name="_Toc900107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2.1 业务架构</w:t>
      </w:r>
      <w:bookmarkEnd w:id="107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本项目以检测业务全流程为主线，以安全管控与态势呈现为保障，以“小浦”智能体为交互入口，构建“一条业务闭环主线、一套支撑保障体系、一个智能交互入口”的业务体系。</w:t>
      </w:r>
    </w:p>
    <w:p>
      <w:pPr>
        <w:spacing w:before="60" w:after="60"/>
        <w:jc w:val="center"/>
      </w:pPr>
      <w:r>
        <w:drawing>
          <wp:inline distT="0" distB="0" distL="114300" distR="114300">
            <wp:extent cx="5266055" cy="2597698"/>
            <wp:effectExtent l="0" t="0" r="0" b="0"/>
            <wp:docPr id="201" name="图片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图片 2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59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300"/>
        <w:gridCol w:w="3706"/>
      </w:tblGrid>
      <w:tr>
        <w:trPr>
          <w:cantSplit/>
          <w:tblHeader/>
          <w:jc w:val="center"/>
        </w:trPr>
        <w:tc>
          <w:tcPr>
            <w:tcW w:w="13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业务体系</w:t>
            </w:r>
          </w:p>
        </w:tc>
        <w:tc>
          <w:tcPr>
            <w:tcW w:w="33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业务定位</w:t>
            </w:r>
          </w:p>
        </w:tc>
        <w:tc>
          <w:tcPr>
            <w:tcW w:w="37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重点内容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委托智检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优化委托受理流程，受理结果可视化呈现并自动触发后续环节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扫码预委托、受理信息可视化、任务自动派发、委托进度反馈、委托流程交互原型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样品智运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建设样品自主运输与交接追踪能力，实现实物流与信息流同步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运输机器人部署、机器人调度管理、门体自动化改造、样品交接全程留痕、运行异常处置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任务智联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建设任务实时通知与门禁信息联动能力，实现人、样、任务协同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任务实时通知、门口信息屏动态联动、进门语音任务提示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试验智采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建设设备数据直采与报告自动生成能力，实现试验数据自动流转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示范设备数据直采、高频设备分批接入、采集数据任务关联、示范项目报告自动生成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安全智控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拓展安全管理的远程调阅与联动能力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历史录像远程调阅、运输区域监控联动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态势智显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建设数字孪生业务态势实时呈现能力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机器人与样品实时追踪、设备运行状态呈现、业务统计与告警联动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小浦智能体</w:t>
            </w:r>
          </w:p>
        </w:tc>
        <w:tc>
          <w:tcPr>
            <w:tcW w:w="3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贯穿各业务环节的统一智能交互入口</w:t>
            </w:r>
          </w:p>
        </w:tc>
        <w:tc>
          <w:tcPr>
            <w:tcW w:w="3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委托智能填报、业务智能问答、进门任务提示、报告辅助校核、迎宾导览讲解</w:t>
            </w:r>
          </w:p>
        </w:tc>
      </w:tr>
    </w:tbl>
    <w:p>
      <w:pPr>
        <w:spacing w:after="0" w:line="240" w:lineRule="auto"/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各业务体系不是相互独立的功能模块，而是形成相互衔接的业务关系：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业务闭环主线：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委托智检 → 样品智运 → 任务智联 → 试验智采，贯通委托受理、样品运输、任务协同、试验采集与报告生成。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支撑保障体系：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安全智控与态势智显分别提供安全管控保障与业务态势呈现，保障业务闭环稳定、可视、可追溯。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hanging="420" w:firstLineChars="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/>
          <w:bCs/>
          <w:snapToGrid w:val="0"/>
          <w:color w:val="000000"/>
          <w:sz w:val="24"/>
          <w:szCs w:val="24"/>
          <w:lang w:val="en-US" w:eastAsia="zh-CN" w:bidi="ar-SA"/>
        </w:rPr>
        <w:t xml:space="preserve">智能交互入口：</w:t>
      </w: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“小浦”智能体贯穿各业务环节，为客户、试验人员与管理人员提供语音交互、业务查询与辅助判断。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8" w:name="_Toc900108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2.2 技术架构</w:t>
      </w:r>
      <w:bookmarkEnd w:id="108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项目技术架构围绕“感知层—网络层—平台层—应用层—交互与展示层”形成分层支撑体系。</w:t>
      </w:r>
    </w:p>
    <w:p>
      <w:pPr>
        <w:spacing w:before="60" w:after="60"/>
        <w:jc w:val="center"/>
      </w:pPr>
      <w:r>
        <w:drawing>
          <wp:inline distT="0" distB="0" distL="114300" distR="114300">
            <wp:extent cx="5266055" cy="2236099"/>
            <wp:effectExtent l="0" t="0" r="0" b="0"/>
            <wp:docPr id="202" name="图片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图片 20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3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整个体系形成如下支撑关系：感知层的运输机器人、自动门、设备采集终端与视频监控负责实物运行与数据采集；网络层提供机器人运行区域无线覆盖与试验室局域网；平台层以智慧试验室平台为核心，在既有委托系统、安全管理、化学品管理、资产管理等模块基础上，新增机器人调度系统，升级试验室数字孪生与“小浦”智能体，并建设统一的业务数据中枢；应用层承载六类业务应用；交互与展示层面向客户、试验人员与管理人员提供多终端访问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业务数据中枢汇聚委托、样品、运输、任务、设备采集数据与报告等业务数据，以委托编号、样品编号、设备编号为主键建立关联，统一向数字孪生、“小浦”智能体及各业务应用提供数据服务。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09" w:name="_Toc900109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2.3 业务流程</w:t>
      </w:r>
      <w:bookmarkEnd w:id="109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期业务流程以一份委托为对象，贯通从客户委托到报告交付的全过程。各环节由上一环节自动触发，人员职责聚焦于核验、确认与审核，不再进行重复性信息录入；“小浦”在各环节提供语音交互、信息查询与辅助判断。</w:t>
      </w:r>
    </w:p>
    <w:p>
      <w:pPr>
        <w:spacing w:before="60" w:after="60"/>
        <w:jc w:val="center"/>
      </w:pPr>
      <w:r>
        <w:drawing>
          <wp:inline distT="0" distB="0" distL="114300" distR="114300">
            <wp:extent cx="5266055" cy="2032439"/>
            <wp:effectExtent l="0" t="0" r="0" b="0"/>
            <wp:docPr id="203" name="图片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图片 20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03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cs="宋体"/>
          <w:b/>
          <w:sz w:val="28"/>
          <w:szCs w:val="28"/>
        </w:rPr>
      </w:pPr>
      <w:r>
        <w:rPr>
          <w:rFonts w:hint="eastAsia" w:ascii="宋体" w:hAnsi="宋体" w:cs="宋体"/>
          <w:b/>
          <w:sz w:val="28"/>
          <w:szCs w:val="28"/>
        </w:rPr>
        <w:br w:type="page"/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0" w:name="_Toc900110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三、建设内容</w:t>
      </w:r>
      <w:bookmarkEnd w:id="110"/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1" w:name="_Toc900111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3.1 委托智检——构建委托受理与任务联动协同体系</w:t>
      </w:r>
      <w:bookmarkEnd w:id="11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委托智检以客户委托为起点，在委托业务主体保持不变的前提下，围绕“减少客户操作、受理结果可见、后续环节自动触发”开展流程优化，使委托受理成为整个业务闭环的数据源头。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（1）扫码预委托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在收样大厅设置预委托二维码，客户通过微信小程序扫码填报委托单位、工程名称、检测项目、样品信息及联系人等内容。常用单位、工程及联系人信息可自动带出，再次委托时基本无需重复填写；客户也可通过“小浦”语音描述或拍摄纸质委托单，由系统自动识别并预填委托信息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业务效益：实现客户委托信息的提前准备和结构化填报，减少客户现场填写时间与重复沟通，使收样人员能够基于完整、规范的申请资料开展受理。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（2）受理信息可视化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收样人员核验样品与预委托信息后，在委托系统完成正式受理。受理成功后，大厅受理信息屏实时显示委托编号、委托单位、检测项目与预计出具报告日期，并同步向客户推送受理回执。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业务效益：实现受理结果的即时呈现与反馈，使客户清楚了解受理情况与检测周期，提升委托服务的透明度和专业形象。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（3）任务自动派发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正式受理完成后，系统自动生成检测任务与样品运输任务：检测任务推送至对应试验人员，运输任务推送至机器人调度系统，实现“一次受理、多端联动”。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业务效益：实现受理与后续环节的自动衔接，减少人工通知与任务转录，缩短样品从受理到进入试验的等待时间。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（4）委托进度反馈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在委托进行过程中，系统通过小程序或短信向客户推送检测进度与报告出具通知；客户也可在小程序内向“小浦”查询委托进度、样品状态与预计出报告时间。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业务效益：实现客户对委托进度的主动获知与按需查询，减少客户电话询问，提升客户服务体验。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（5）委托流程交互原型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在方案评审阶段同步交付委托受理流程的前端交互原型，直观呈现预委托、受理、派单与进度反馈的操作过程，用于流程确认与现场演示，确认后进入正式开发。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业务效益：实现建设内容的提前可视化确认，减少需求理解偏差，保障后续开发成果与实际业务需求一致。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2" w:name="_Toc900112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3.2 样品智运——构建样品智能运输与交接追踪体系</w:t>
      </w:r>
      <w:bookmarkEnd w:id="112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样品智运以样品实物流转为对象，引入自主移动机器人（AMR）承担样品在收样室与试验室之间的运输，并配套调度系统与门体自动化改造，使样品运输由人工搬运转向机器人自主运输，运输过程全程可视、交接全程留痕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（1）运输机器人部署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配置样品运输机器人2台，采用“一重一轻、功能互补”的配置方式：潜伏顶升式机器人承担混凝土试块、钢筋等重样品批量运输；升降带屏幕式机器人承担轻小样品运输，运行中屏幕显示所载样品与目的地，空闲时可搭载“小浦”承担迎宾导览。具体选型见3.8节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业务效益：实现样品运输由人工往返搬运向机器人自主运输转变，减轻试验人员搬运负担，并形成直观、可感知的智能化运行场景。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（2）机器人调度管理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在智慧试验室平台新增机器人调度系统，接收委托智检下发的运输任务，完成路径规划、任务分配、交通管理与自动充电管理，并实时回传机器人位置、任务状态与电量信息。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业务效益：实现运输任务的自动接收与统一调度，保障多台机器人有序运行，并为数字孪生提供实时运行数据。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（3）门体自动化改造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对运输路线上的试验室推拉门实施自动门改造或加装电动开门机，门体具备开门、关门及开门到位信号输出，与调度系统联动，实现机器人到达后自动开门、通过后自动关门。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业务效益：实现机器人跨区域自主通行，消除运输过程中的人工开门等待，使运输全程无需人员干预。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（4）样品交接全程留痕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样品装载时扫码绑定委托编号与样品编号；机器人到达目的地后语音播报“样品送达”并推送接收人员，接收人员扫码确认接收。交出、运输、接收记录分别留存，并与对应委托任务关联。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业务效益：实现样品身份、位置、交接人员与时间的全过程关联，便于随时查询样品所在位置，降低样品错拿、漏送的风险。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（5）运行异常处置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针对通道阻塞、无人接收、定位异常、低电量等情况，机器人自动暂停并向相关人员告警，必要时转人工处理；异常过程纳入运输记录，并可联动调取对应位置监控画面。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业务效益：实现运输异常的及时发现与有序处置，保障样品运输安全与业务连续。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3" w:name="_Toc900113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3.3 任务智联——构建任务协同与智能门禁联动体系</w:t>
      </w:r>
      <w:bookmarkEnd w:id="11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任务智联以试验人员为服务对象，将委托任务、样品送达与试验室门禁、信息屏进行联动，使试验人员第一时间掌握任务，进入试验室即可获得任务指引。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（1）任务实时通知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委托受理完成后，试验人员通过移动端第一时间接收任务信息，包括样品名称、检测项目、所在试验室与样品预计送达时间；样品送达时再次提醒。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业务效益：实现任务信息的主动推送，使试验人员无需逐项查询即可明确当日工作，提高任务响应速度。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（2）门口信息屏动态联动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试验室门口信息屏显示内容由任务数据自动生成，包括当前委托编号、样品名称、检测项目、责任试验人员与任务状态；试验人员经身份核验进入试验室，门禁记录与任务自动关联。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业务效益：实现门口信息与实际任务实时同步，使试验室当前工作一目了然，并形成人员进出与检测任务的关联记录。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（3）进门语音任务提示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试验人员进入试验室后，“小浦”以语音方式提示当前任务、检测依据与样品数量；试验人员可随时语音询问任务详情、操作要点与相关规范条文。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业务效益：实现试验现场的语音化任务指引，减少试验人员翻查资料与切换系统的时间，提升现场作业便捷性。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4" w:name="_Toc900114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3.4 试验智采——构建设备数据直采与报告自动生成体系</w:t>
      </w:r>
      <w:bookmarkEnd w:id="11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试验智采以试验数据为对象，按“示范—推广”两阶段推进设备数据直采，并衔接既有计算公式与报告生成能力，使试验数据由设备直接进入报告，减少人工读取、抄录与二次录入。采集数据统一纳入资产管理模块，与设备台账关联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（1）示范设备数据直采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选取压力机作为示范设备，完成数据采集改造。在不改变试验人员原有操作方式的前提下，自动采集试验原始值、试验曲线、采集时间与设备编号，并上传至业务数据中枢。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业务效益：实现示范设备试验数据的自动获取，消除人工读数与抄录环节，保障原始数据的真实性与完整性。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（2）高频设备分批接入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编制试验室仪器设备清单，按使用频率与数据输出条件进行分类，优先完成高频设备接入，逐步提高数据直采覆盖率；对需通过原厂软件导出文件的设备，建立文件读取方式。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业务效益：实现数据直采能力由示范设备向常用设备有序推广，持续扩大自动采集覆盖范围。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（3）采集数据任务关联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采集数据自动与委托、样品、任务、操作人员和设备建立关联，并填入委托系统对应数据录入字段；无法匹配任务的数据进入待确认状态，由试验人员处理；对漏采、重复采集、单位不一致等情况进行提示与留痕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业务效益：实现设备数据与检测任务的准确对应和自动录入，减少人工转填与核对工作，并为检测数据追溯保留可靠来源。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（4）示范项目报告自动生成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以混凝土抗压强度检测作为示范项目，试验完成后依据采集数据与既有计算公式自动完成计算，按现行报告模板生成报告初稿；报告经试验人员核对、审核人员审核后签发，并自动推送客户。示范项目验证完成后，按同一机制扩展至其他检测项目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业务效益：实现“设备试验—数据采集—报告生成”的自动衔接，缩短报告出具周期，提升数据与报告的一致性。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5" w:name="_Toc900115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3.5 安全智控——拓展安全管理远程调阅与联动能力</w:t>
      </w:r>
      <w:bookmarkEnd w:id="115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安全智控在既有安全监控与预警管理基础上，围绕管理人员远程调阅与机器人运行安全开展拓展。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（1）历史录像远程调阅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通过远程访问方式，实现管理人员在办公终端调阅硬盘录像机中的分场所历史录像；平台内回放功能结合存储资源需求另行评估。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业务效益：实现管理人员在办公室即可查看分场所实时画面与历史录像，提升安全管理的便捷性与响应效率。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（2）运输区域监控联动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将机器人运行路线纳入视频监控范围，运输异常或安全告警发生时，可联动调取对应位置监控画面，并在数字孪生中定位显示。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业务效益：实现运输过程与安全监控的联动，便于及时掌握现场情况并开展处置。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6" w:name="_Toc900116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3.6 态势智显——构建数字孪生业务态势呈现体系</w:t>
      </w:r>
      <w:bookmarkEnd w:id="116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态势智显在现有试验室全景与楼层三维孪生模型基础上，接入业务数据中枢的实时数据，将数字孪生由全景展示拓展为业务态势呈现，使试验室运行情况一屏可视。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（1）机器人与样品实时追踪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在楼层模型中实时显示运输机器人位置、行进路线、任务与电量；选中委托后，可在模型中显示样品当前所在位置与流转路径。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业务效益：实现样品流转过程的直观呈现，使管理人员与来访人员能够清晰看到业务闭环的实际运行。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（2）设备运行状态呈现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试验设备在模型中以状态色标识空闲、试验中与故障状态，点选设备可查看实时试验数据与使用记录；各试验室当前任务数量与人员在岗情况同步呈现。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业务效益：实现设备与试验室运行状态的集中掌握，便于管理人员合理安排任务与资源。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（3）业务统计与告警联动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大屏呈现当日委托数量、在检样品数量、待出报告数量等统计指标；安全告警与运输异常在模型中定位显示，并联动视频画面。数字孪生大屏同时作为“小浦”的语音交互终端，管理人员可语音查询业务数据，查询结果在模型中同步呈现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业务效益：实现业务统计、异常告警与语音查询在同一界面集中呈现，为管理决策和对外展示提供统一窗口。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7" w:name="_Toc900117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3.7 “小浦”智能体业务化应用</w:t>
      </w:r>
      <w:bookmarkEnd w:id="117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“小浦”已具备知识问答与语音交互能力。随着本期业务闭环投入运行，委托、样品、运输、任务、设备数据、报告等实时数据统一汇聚于业务数据中枢，为智能体提供了数据基础。本期通过为“小浦”接入业务数据查询能力与业务操作能力，使其由知识问答助手升级为贯穿业务各环节的业务智能体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（1）业务数据接入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通过业务数据中枢为“小浦”提供结构化业务数据查询能力，查询范围按用户角色进行权限控制；将预委托填报、运输任务发起、报告校核等业务操作封装为智能体可调用的工具，关键操作须经人员确认后执行。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业务效益：实现智能体与实际业务数据的连接，使“小浦”能够回答业务问题、辅助业务操作，同时保障数据安全与操作可控。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（2）委托智能填报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客户可通过语音描述委托需求或拍摄纸质委托单，“小浦”自动识别并预填委托信息，客户确认后提交。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业务效益：实现委托信息的便捷录入，进一步减少客户填写工作量。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（3）业务智能问答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客户可查询委托受理状态、检测进度与预计出报告时间；试验人员可查询样品位置、当前任务与操作要点；管理人员可语音查询当日委托、在检样品、设备状态、报告出具等统计数据，结果在数字孪生大屏联动呈现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业务效益：实现不同角色通过自然语言快速获取所需业务信息，减少逐个系统查询与人工汇总。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（4）报告辅助校核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“小浦”对自动生成的报告初稿进行辅助校核，包括采集数据与报告数据一致性比对、计算结果复核、检测结果与标准限值的符合性提示，校核意见供试验人员与审核人员参考。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业务效益：实现报告初稿的智能预审，帮助编制与审核人员及时发现数据不一致与结果不符合项，提升报告质量。</w:t>
      </w:r>
    </w:p>
    <w:p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（5）迎宾导览讲解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“小浦”搭载于升降带屏幕式机器人，可按预设路线引导来访人员参观试验室，并结合各区域功能进行讲解。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业务效益：实现参观接待的智能化与标准化，展示试验室软硬件协同的建设成果。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18" w:name="_Toc900118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3.8 样品运输机器人选型（硬件）</w:t>
      </w:r>
      <w:bookmarkEnd w:id="118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运输机器人是样品智运体系的核心硬件。本节结合试验室样品特性、场地条件与展示需求，对主流技术路线进行比选，并提出选型建议。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19" w:name="_Toc900119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3.8.1选型依据</w:t>
      </w:r>
      <w:bookmarkEnd w:id="119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506"/>
      </w:tblGrid>
      <w:tr>
        <w:trPr>
          <w:cantSplit/>
          <w:tblHeader/>
          <w:jc w:val="center"/>
        </w:trPr>
        <w:tc>
          <w:tcPr>
            <w:tcW w:w="18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选型因素</w:t>
            </w:r>
          </w:p>
        </w:tc>
        <w:tc>
          <w:tcPr>
            <w:tcW w:w="65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考虑要点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样品特性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样品类型、单件重量、单批数量、包装方式（如混凝土试块、钢筋、土样、沥青混合料等）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场地条件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通道宽度、转弯半径、地面平整度、坡度、门槛高度、是否跨楼层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交接方式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人工装卸、料箱插取或整体顶升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交互能力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是否需要屏幕显示、语音播报、智能体搭载等人机交互功能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联动能力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与自动门、门禁、电梯、智慧试验室平台的对接能力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展示效果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运行过程的直观性与现场观感</w:t>
            </w:r>
          </w:p>
        </w:tc>
      </w:tr>
    </w:tbl>
    <w:p>
      <w:pPr>
        <w:spacing w:after="0" w:line="240" w:lineRule="auto"/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20" w:name="_Toc900120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3.8.2技术路线比选</w:t>
      </w:r>
      <w:bookmarkEnd w:id="120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1500"/>
        <w:gridCol w:w="1350"/>
        <w:gridCol w:w="1700"/>
        <w:gridCol w:w="1500"/>
        <w:gridCol w:w="1106"/>
      </w:tblGrid>
      <w:tr>
        <w:trPr>
          <w:cantSplit/>
          <w:tblHeader/>
          <w:jc w:val="center"/>
        </w:trPr>
        <w:tc>
          <w:tcPr>
            <w:tcW w:w="115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机型类别</w:t>
            </w:r>
          </w:p>
        </w:tc>
        <w:tc>
          <w:tcPr>
            <w:tcW w:w="15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工作方式</w:t>
            </w:r>
          </w:p>
        </w:tc>
        <w:tc>
          <w:tcPr>
            <w:tcW w:w="135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额定载荷</w:t>
            </w:r>
          </w:p>
        </w:tc>
        <w:tc>
          <w:tcPr>
            <w:tcW w:w="17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优势</w:t>
            </w:r>
          </w:p>
        </w:tc>
        <w:tc>
          <w:tcPr>
            <w:tcW w:w="15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适用条件</w:t>
            </w:r>
          </w:p>
        </w:tc>
        <w:tc>
          <w:tcPr>
            <w:tcW w:w="11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适用样品</w:t>
            </w:r>
          </w:p>
        </w:tc>
      </w:tr>
      <w:tr>
        <w:trPr>
          <w:cantSplit/>
          <w:jc w:val="center"/>
        </w:trPr>
        <w:tc>
          <w:tcPr>
            <w:tcW w:w="11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潜伏顶升式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潜入货架或托盘底部顶升后整体运输</w:t>
            </w:r>
          </w:p>
        </w:tc>
        <w:tc>
          <w:tcPr>
            <w:tcW w:w="1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400kg至1t以上（多档可选）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载荷大，可整架批量运输，技术成熟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需配套专用货架，装卸由人工完成</w:t>
            </w:r>
          </w:p>
        </w:tc>
        <w:tc>
          <w:tcPr>
            <w:tcW w:w="1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混凝土试块、钢筋等重样品</w:t>
            </w:r>
          </w:p>
        </w:tc>
      </w:tr>
      <w:tr>
        <w:trPr>
          <w:cantSplit/>
          <w:jc w:val="center"/>
        </w:trPr>
        <w:tc>
          <w:tcPr>
            <w:tcW w:w="11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潜伏插取式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伸缩臂从货架插取料箱后运输</w:t>
            </w:r>
          </w:p>
        </w:tc>
        <w:tc>
          <w:tcPr>
            <w:tcW w:w="1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中等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可自动取放料箱，减少人工装卸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需标准化货架与料箱</w:t>
            </w:r>
          </w:p>
        </w:tc>
        <w:tc>
          <w:tcPr>
            <w:tcW w:w="1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标准料箱包装的中小样品</w:t>
            </w:r>
          </w:p>
        </w:tc>
      </w:tr>
      <w:tr>
        <w:trPr>
          <w:cantSplit/>
          <w:jc w:val="center"/>
        </w:trPr>
        <w:tc>
          <w:tcPr>
            <w:tcW w:w="11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牵引式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自动挂钩牵引带轮料车运输</w:t>
            </w:r>
          </w:p>
        </w:tc>
        <w:tc>
          <w:tcPr>
            <w:tcW w:w="1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较大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可利用带轮料车，改造量小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转弯半径大，通道需较宽</w:t>
            </w:r>
          </w:p>
        </w:tc>
        <w:tc>
          <w:tcPr>
            <w:tcW w:w="1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通道宽敞、样品量大的场景</w:t>
            </w:r>
          </w:p>
        </w:tc>
      </w:tr>
      <w:tr>
        <w:trPr>
          <w:cantSplit/>
          <w:jc w:val="center"/>
        </w:trPr>
        <w:tc>
          <w:tcPr>
            <w:tcW w:w="11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升降带屏幕式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自带升降料仓与交互屏幕</w:t>
            </w:r>
          </w:p>
        </w:tc>
        <w:tc>
          <w:tcPr>
            <w:tcW w:w="13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约40～50kg级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具备屏幕显示与语音交互，可搭载“小浦”，适合人机混行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载荷相对较小</w:t>
            </w:r>
          </w:p>
        </w:tc>
        <w:tc>
          <w:tcPr>
            <w:tcW w:w="1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轻小样品运输及迎宾导览</w:t>
            </w:r>
          </w:p>
        </w:tc>
      </w:tr>
    </w:tbl>
    <w:p>
      <w:pPr>
        <w:spacing w:after="0" w:line="240" w:lineRule="auto"/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center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color w:val="7F7F7F"/>
          <w:sz w:val="21"/>
          <w:szCs w:val="21"/>
        </w:rPr>
        <w:t>【参考图：潜伏顶升式运输机器人（待补充）】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center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color w:val="7F7F7F"/>
          <w:sz w:val="21"/>
          <w:szCs w:val="21"/>
        </w:rPr>
        <w:t>【参考图：潜伏插取式运输机器人（待补充）】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center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color w:val="7F7F7F"/>
          <w:sz w:val="21"/>
          <w:szCs w:val="21"/>
        </w:rPr>
        <w:t>【参考图：牵引式运输机器人（待补充）】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center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color w:val="7F7F7F"/>
          <w:sz w:val="21"/>
          <w:szCs w:val="21"/>
        </w:rPr>
        <w:t>【参考图：升降带屏幕式运输机器人（待补充）】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21" w:name="_Toc900121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3.8.3选型建议</w:t>
      </w:r>
      <w:bookmarkEnd w:id="121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综合样品特性、场地条件与展示需求，建议采用“一重一轻、功能互补”的配置方式，两台机器人由同一调度系统统一管理；最终机型与载荷参数在现场勘查、样品统计完成后确定。</w:t>
      </w:r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1000"/>
        <w:gridCol w:w="4706"/>
      </w:tblGrid>
      <w:tr>
        <w:trPr>
          <w:cantSplit/>
          <w:tblHeader/>
          <w:jc w:val="center"/>
        </w:trPr>
        <w:tc>
          <w:tcPr>
            <w:tcW w:w="26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配置</w:t>
            </w:r>
          </w:p>
        </w:tc>
        <w:tc>
          <w:tcPr>
            <w:tcW w:w="10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数量</w:t>
            </w:r>
          </w:p>
        </w:tc>
        <w:tc>
          <w:tcPr>
            <w:tcW w:w="47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承担任务</w:t>
            </w:r>
          </w:p>
        </w:tc>
      </w:tr>
      <w:tr>
        <w:trPr>
          <w:cantSplit/>
          <w:jc w:val="center"/>
        </w:trPr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潜伏顶升式机器人</w:t>
            </w:r>
          </w:p>
        </w:tc>
        <w:tc>
          <w:tcPr>
            <w:tcW w:w="1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1台</w:t>
            </w:r>
          </w:p>
        </w:tc>
        <w:tc>
          <w:tcPr>
            <w:tcW w:w="4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承担混凝土试块、钢筋等重样品的批量运输，配套带轮货架或托盘</w:t>
            </w:r>
          </w:p>
        </w:tc>
      </w:tr>
      <w:tr>
        <w:trPr>
          <w:cantSplit/>
          <w:jc w:val="center"/>
        </w:trPr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升降带屏幕式机器人</w:t>
            </w:r>
          </w:p>
        </w:tc>
        <w:tc>
          <w:tcPr>
            <w:tcW w:w="1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1台</w:t>
            </w:r>
          </w:p>
        </w:tc>
        <w:tc>
          <w:tcPr>
            <w:tcW w:w="4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承担轻小样品运输；运行中屏幕显示所载样品与目的地；空闲时搭载“小浦”承担迎宾导览与讲解</w:t>
            </w:r>
          </w:p>
        </w:tc>
      </w:tr>
    </w:tbl>
    <w:p>
      <w:pPr>
        <w:spacing w:after="0" w:line="240" w:lineRule="auto"/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22" w:name="_Toc900122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3.8.4门体通行方案</w:t>
      </w:r>
      <w:bookmarkEnd w:id="122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2300"/>
        <w:gridCol w:w="4206"/>
      </w:tblGrid>
      <w:tr>
        <w:trPr>
          <w:cantSplit/>
          <w:tblHeader/>
          <w:jc w:val="center"/>
        </w:trPr>
        <w:tc>
          <w:tcPr>
            <w:tcW w:w="18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方案</w:t>
            </w:r>
          </w:p>
        </w:tc>
        <w:tc>
          <w:tcPr>
            <w:tcW w:w="23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方式</w:t>
            </w:r>
          </w:p>
        </w:tc>
        <w:tc>
          <w:tcPr>
            <w:tcW w:w="42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特点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方案一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语音提示、人工开门</w:t>
            </w:r>
          </w:p>
        </w:tc>
        <w:tc>
          <w:tcPr>
            <w:tcW w:w="42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机器人到达门口后语音播报“样品送达”，由人员开门；改造量小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方案二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电动开门机/自动门</w:t>
            </w:r>
          </w:p>
        </w:tc>
        <w:tc>
          <w:tcPr>
            <w:tcW w:w="42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门体感应机器人或接收调度指令后自动开启，全程无人干预，联动效果完整</w:t>
            </w:r>
          </w:p>
        </w:tc>
      </w:tr>
    </w:tbl>
    <w:p>
      <w:pPr>
        <w:spacing w:after="0" w:line="240" w:lineRule="auto"/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建议示范路线采用方案二；门体须具备开门、关门及开门到位信号输出，并提供AC 220V或DC 12V电源。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360" w:lineRule="auto"/>
        <w:jc w:val="center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color w:val="7F7F7F"/>
          <w:sz w:val="21"/>
          <w:szCs w:val="21"/>
        </w:rPr>
        <w:t>【参考图：自动门联动示意（待补充）】</w:t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firstLine="0"/>
        <w:jc w:val="left"/>
        <w:textAlignment w:val="baseline"/>
        <w:outlineLvl w:val="2"/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</w:pPr>
      <w:bookmarkStart w:id="123" w:name="_Toc900123"/>
      <w:r>
        <w:rPr>
          <w:rFonts w:hint="eastAsia" w:ascii="宋体" w:hAnsi="宋体" w:eastAsia="宋体" w:cs="宋体"/>
          <w:b/>
          <w:snapToGrid w:val="0"/>
          <w:color w:val="000000"/>
          <w:sz w:val="24"/>
          <w:szCs w:val="24"/>
          <w:lang w:val="en-US" w:eastAsia="zh-CN" w:bidi="ar-SA"/>
        </w:rPr>
        <w:t>3.8.5场地与环境要求</w:t>
      </w:r>
      <w:bookmarkEnd w:id="123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依据GB/T 20721—2006《自动导引车 通用技术条件》及供应商技术要求，机器人运行场地须满足以下条件：</w:t>
      </w:r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506"/>
      </w:tblGrid>
      <w:tr>
        <w:trPr>
          <w:cantSplit/>
          <w:tblHeader/>
          <w:jc w:val="center"/>
        </w:trPr>
        <w:tc>
          <w:tcPr>
            <w:tcW w:w="18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项目</w:t>
            </w:r>
          </w:p>
        </w:tc>
        <w:tc>
          <w:tcPr>
            <w:tcW w:w="65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要求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地面起伏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1m²范围内不大于3mm，地面整洁、防滑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路面坡度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不大于5%；精确停车点不大于1%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台阶高度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不大于5mm，停车位置不得有台阶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沟槽宽度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不大于8mm，停车位置不得有沟槽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环境条件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温度0～45℃，湿度15%～95%（无结露），无粉尘及腐蚀性气体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无线网络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运行区域信号强度不低于-65dBm，采用1、6、11信道</w:t>
            </w:r>
          </w:p>
        </w:tc>
      </w:tr>
      <w:tr>
        <w:trPr>
          <w:cantSplit/>
          <w:jc w:val="center"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充电桩</w:t>
            </w:r>
          </w:p>
        </w:tc>
        <w:tc>
          <w:tcPr>
            <w:tcW w:w="65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单回路功率不低于2000W，独立配置16A空气开关</w:t>
            </w:r>
          </w:p>
        </w:tc>
      </w:tr>
    </w:tbl>
    <w:p>
      <w:pPr>
        <w:spacing w:after="0" w:line="240" w:lineRule="auto"/>
      </w:pPr>
    </w:p>
    <w:p>
      <w:pPr>
        <w:rPr>
          <w:rFonts w:hint="eastAsia" w:ascii="宋体" w:hAnsi="宋体" w:cs="宋体"/>
          <w:b/>
          <w:sz w:val="28"/>
          <w:szCs w:val="28"/>
        </w:rPr>
      </w:pPr>
      <w:r>
        <w:rPr>
          <w:rFonts w:hint="eastAsia" w:ascii="宋体" w:hAnsi="宋体" w:cs="宋体"/>
          <w:b/>
          <w:sz w:val="28"/>
          <w:szCs w:val="28"/>
        </w:rPr>
        <w:br w:type="page"/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24" w:name="_Toc900124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四、示范应用场景</w:t>
      </w:r>
      <w:bookmarkEnd w:id="124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本期建设成果通过以下示范场景集中呈现。该场景基于真实委托与真实数据运行，与试验人员日常作业流程一致，既服务于日常业务，也可用于上级考察与客户参观。</w:t>
      </w:r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1500"/>
        <w:gridCol w:w="3000"/>
        <w:gridCol w:w="3106"/>
      </w:tblGrid>
      <w:tr>
        <w:trPr>
          <w:cantSplit/>
          <w:tblHeader/>
          <w:jc w:val="center"/>
        </w:trPr>
        <w:tc>
          <w:tcPr>
            <w:tcW w:w="7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步骤</w:t>
            </w:r>
          </w:p>
        </w:tc>
        <w:tc>
          <w:tcPr>
            <w:tcW w:w="15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场景位置</w:t>
            </w:r>
          </w:p>
        </w:tc>
        <w:tc>
          <w:tcPr>
            <w:tcW w:w="30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业务动作</w:t>
            </w:r>
          </w:p>
        </w:tc>
        <w:tc>
          <w:tcPr>
            <w:tcW w:w="31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呈现效果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0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大厅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来访人员到达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迎宾机器人搭载“小浦”引导参观，介绍试验室概况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大厅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客户扫码或向“小浦”语音描述完成预委托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受理信息屏实时显示新委托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收样室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收样人员核验并受理，样品装载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机器人屏幕显示所载样品与目的地，自动出发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运输通道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机器人自主行进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自动门感应开启，机器人自主通行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数字孪生大屏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任务同步派发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三维模型实时显示机器人轨迹、样品位置与试验人员接单情况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试验室门口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试验人员接收样品并进门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门口信息屏显示当前任务，“小浦”语音提示检测项目与依据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力学试验室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压力机开展试验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试验数据实时采集，设备在孪生模型中显示“试验中”状态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7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数字孪生大屏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试验完成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报告自动生成，“小浦”完成辅助校核并提示结果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1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数字孪生大屏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管理人员语音询问“今日委托情况”</w:t>
            </w:r>
          </w:p>
        </w:tc>
        <w:tc>
          <w:tcPr>
            <w:tcW w:w="31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“小浦”语音回答，统计数据在大屏同步呈现</w:t>
            </w:r>
          </w:p>
        </w:tc>
      </w:tr>
    </w:tbl>
    <w:p>
      <w:pPr>
        <w:spacing w:after="0" w:line="240" w:lineRule="auto"/>
      </w:pPr>
    </w:p>
    <w:p>
      <w:pPr>
        <w:rPr>
          <w:rFonts w:hint="eastAsia" w:ascii="宋体" w:hAnsi="宋体" w:cs="宋体"/>
          <w:b/>
          <w:sz w:val="28"/>
          <w:szCs w:val="28"/>
        </w:rPr>
      </w:pPr>
      <w:r>
        <w:rPr>
          <w:rFonts w:hint="eastAsia" w:ascii="宋体" w:hAnsi="宋体" w:cs="宋体"/>
          <w:b/>
          <w:sz w:val="28"/>
          <w:szCs w:val="28"/>
        </w:rPr>
        <w:br w:type="page"/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25" w:name="_Toc900125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五、项目计划与预期成果</w:t>
      </w:r>
      <w:bookmarkEnd w:id="125"/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26" w:name="_Toc900126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5.1 工作安排</w:t>
      </w:r>
      <w:bookmarkEnd w:id="126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项目整体按照约16周进行规划，结合基础优化、示范采集、设计采购、系统联调、智能体升级和试运行等工作，划分为六个阶段。</w:t>
      </w:r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1300"/>
        <w:gridCol w:w="3306"/>
        <w:gridCol w:w="18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阶段</w:t>
            </w:r>
          </w:p>
        </w:tc>
        <w:tc>
          <w:tcPr>
            <w:tcW w:w="13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周期</w:t>
            </w:r>
          </w:p>
        </w:tc>
        <w:tc>
          <w:tcPr>
            <w:tcW w:w="33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主要工作</w:t>
            </w:r>
          </w:p>
        </w:tc>
        <w:tc>
          <w:tcPr>
            <w:tcW w:w="18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阶段成果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第一阶段：基础优化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第1—4周</w:t>
            </w:r>
          </w:p>
        </w:tc>
        <w:tc>
          <w:tcPr>
            <w:tcW w:w="3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委托数据联动、门口信息屏动态化、历史录像远程调阅、建设内容确认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平台可获取实时委托数据，建设内容确认单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第二阶段：示范采集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第1—2周（并行）</w:t>
            </w:r>
          </w:p>
        </w:tc>
        <w:tc>
          <w:tcPr>
            <w:tcW w:w="3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压力机数据采集改造与联调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示范设备数据自动上传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第三阶段：设计与采购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第3—6周</w:t>
            </w:r>
          </w:p>
        </w:tc>
        <w:tc>
          <w:tcPr>
            <w:tcW w:w="3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现场勘查、机器人选型与采购、门体改造、信息屏安装、委托流程交互原型评审与开发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硬件到场，原型确认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第四阶段：系统联调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第7—10周</w:t>
            </w:r>
          </w:p>
        </w:tc>
        <w:tc>
          <w:tcPr>
            <w:tcW w:w="3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委托、运输、通知、试验、报告全链路联调；数字孪生数据接入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示范场景完整贯通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第五阶段：智能体升级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第7—12周（并行）</w:t>
            </w:r>
          </w:p>
        </w:tc>
        <w:tc>
          <w:tcPr>
            <w:tcW w:w="3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“小浦”业务数据接入、业务工具封装、多终端部署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“小浦”支持业务查询与辅助操作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第六阶段：试运行与验收</w:t>
            </w:r>
          </w:p>
        </w:tc>
        <w:tc>
          <w:tcPr>
            <w:tcW w:w="1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第13—16周</w:t>
            </w:r>
          </w:p>
        </w:tc>
        <w:tc>
          <w:tcPr>
            <w:tcW w:w="3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日常业务试运行、优化调整、示范场景演练、成果整理与验收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试运行报告、验收材料</w:t>
            </w:r>
          </w:p>
        </w:tc>
      </w:tr>
    </w:tbl>
    <w:p>
      <w:pPr>
        <w:spacing w:after="0" w:line="240" w:lineRule="auto"/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27" w:name="_Toc900127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5.2 预期成果</w:t>
      </w:r>
      <w:bookmarkEnd w:id="127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400"/>
        <w:gridCol w:w="4306"/>
      </w:tblGrid>
      <w:tr>
        <w:trPr>
          <w:cantSplit/>
          <w:tblHeader/>
          <w:jc w:val="center"/>
        </w:trPr>
        <w:tc>
          <w:tcPr>
            <w:tcW w:w="16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成果类别</w:t>
            </w:r>
          </w:p>
        </w:tc>
        <w:tc>
          <w:tcPr>
            <w:tcW w:w="24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交付成果</w:t>
            </w:r>
          </w:p>
        </w:tc>
        <w:tc>
          <w:tcPr>
            <w:tcW w:w="43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主要内容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业务应用成果</w:t>
            </w:r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六类业务应用</w:t>
            </w:r>
          </w:p>
        </w:tc>
        <w:tc>
          <w:tcPr>
            <w:tcW w:w="4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委托智检、样品智运、任务智联、试验智采、安全智控、态势智显，实现委托至报告全流程贯通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硬件设施成果</w:t>
            </w:r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试验室智能硬件环境</w:t>
            </w:r>
          </w:p>
        </w:tc>
        <w:tc>
          <w:tcPr>
            <w:tcW w:w="4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样品运输机器人2台及调度系统、自动门、受理与门口信息屏、设备数据采集终端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智能应用成果</w:t>
            </w:r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“小浦”业务智能体</w:t>
            </w:r>
          </w:p>
        </w:tc>
        <w:tc>
          <w:tcPr>
            <w:tcW w:w="4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接入实时业务数据，支持委托填报、业务问答、任务提示、报告校核与迎宾导览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智能应用成果</w:t>
            </w:r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数字孪生态势大屏</w:t>
            </w:r>
          </w:p>
        </w:tc>
        <w:tc>
          <w:tcPr>
            <w:tcW w:w="4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实时呈现机器人轨迹、样品位置、设备状态、业务统计与告警联动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示范场景成果</w:t>
            </w:r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全流程示范场景</w:t>
            </w:r>
          </w:p>
        </w:tc>
        <w:tc>
          <w:tcPr>
            <w:tcW w:w="4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基于真实委托运行的委托至报告全流程示范，兼顾日常业务与参观展示</w:t>
            </w:r>
          </w:p>
        </w:tc>
      </w:tr>
      <w:tr>
        <w:trPr>
          <w:cantSplit/>
          <w:jc w:val="center"/>
        </w:trPr>
        <w:tc>
          <w:tcPr>
            <w:tcW w:w="1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文档成果</w:t>
            </w:r>
          </w:p>
        </w:tc>
        <w:tc>
          <w:tcPr>
            <w:tcW w:w="2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项目建设及交付文档</w:t>
            </w:r>
          </w:p>
        </w:tc>
        <w:tc>
          <w:tcPr>
            <w:tcW w:w="43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需求分析、总体设计、接口及数据说明、部署说明、操作手册、测试报告、试运行报告、培训材料和验收材料等</w:t>
            </w:r>
          </w:p>
        </w:tc>
      </w:tr>
    </w:tbl>
    <w:p>
      <w:pPr>
        <w:spacing w:after="0" w:line="240" w:lineRule="auto"/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28" w:name="_Toc900128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5.3 验收指标</w:t>
      </w:r>
      <w:bookmarkEnd w:id="128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"/>
        <w:gridCol w:w="7606"/>
      </w:tblGrid>
      <w:tr>
        <w:trPr>
          <w:cantSplit/>
          <w:tblHeader/>
          <w:jc w:val="center"/>
        </w:trPr>
        <w:tc>
          <w:tcPr>
            <w:tcW w:w="7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序号</w:t>
            </w:r>
          </w:p>
        </w:tc>
        <w:tc>
          <w:tcPr>
            <w:tcW w:w="76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验收指标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1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以真实样品连续3次完整运行示范应用场景全部步骤，过程中无需人工补录数据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2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受理完成后1分钟内，试验人员收到任务通知，门口信息屏同步更新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3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试运行期间，首条示范路线运输送达成功率不低于95%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4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示范设备试验数据100%自动采集并关联至正确任务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5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示范检测项目报告由系统自动生成初稿，“小浦”完成辅助校核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6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数字孪生实时显示机器人位置、样品位置与设备状态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7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“小浦”可正确回答委托进度、样品位置、设备状态、当日统计等业务查询</w:t>
            </w:r>
          </w:p>
        </w:tc>
      </w:tr>
      <w:tr>
        <w:trPr>
          <w:cantSplit/>
          <w:jc w:val="center"/>
        </w:trPr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8</w:t>
            </w:r>
          </w:p>
        </w:tc>
        <w:tc>
          <w:tcPr>
            <w:tcW w:w="76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管理人员可在办公终端调阅分场所历史录像</w:t>
            </w:r>
          </w:p>
        </w:tc>
      </w:tr>
    </w:tbl>
    <w:p>
      <w:pPr>
        <w:spacing w:after="0" w:line="240" w:lineRule="auto"/>
      </w:pP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1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29" w:name="_Toc900129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5.4 组织保障</w:t>
      </w:r>
      <w:bookmarkEnd w:id="129"/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0"/>
        <w:gridCol w:w="5706"/>
      </w:tblGrid>
      <w:tr>
        <w:trPr>
          <w:cantSplit/>
          <w:tblHeader/>
          <w:jc w:val="center"/>
        </w:trPr>
        <w:tc>
          <w:tcPr>
            <w:tcW w:w="26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角色</w:t>
            </w:r>
          </w:p>
        </w:tc>
        <w:tc>
          <w:tcPr>
            <w:tcW w:w="57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主要职责</w:t>
            </w:r>
          </w:p>
        </w:tc>
      </w:tr>
      <w:tr>
        <w:trPr>
          <w:cantSplit/>
          <w:jc w:val="center"/>
        </w:trPr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建设单位</w:t>
            </w:r>
          </w:p>
        </w:tc>
        <w:tc>
          <w:tcPr>
            <w:tcW w:w="5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建设需求确认、内部协调、采购审批、示范场地与人员配合、提供委托表单与报告模板</w:t>
            </w:r>
          </w:p>
        </w:tc>
      </w:tr>
      <w:tr>
        <w:trPr>
          <w:cantSplit/>
          <w:jc w:val="center"/>
        </w:trPr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实施单位（江苏正方交通科技有限公司）</w:t>
            </w:r>
          </w:p>
        </w:tc>
        <w:tc>
          <w:tcPr>
            <w:tcW w:w="5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方案设计、软件开发、系统联调、硬件集成、智能体升级、培训与运维</w:t>
            </w:r>
          </w:p>
        </w:tc>
      </w:tr>
      <w:tr>
        <w:trPr>
          <w:cantSplit/>
          <w:jc w:val="center"/>
        </w:trPr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委托系统服务方</w:t>
            </w:r>
          </w:p>
        </w:tc>
        <w:tc>
          <w:tcPr>
            <w:tcW w:w="5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配合委托数据同步</w:t>
            </w:r>
          </w:p>
        </w:tc>
      </w:tr>
      <w:tr>
        <w:trPr>
          <w:cantSplit/>
          <w:jc w:val="center"/>
        </w:trPr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机器人供应商</w:t>
            </w:r>
          </w:p>
        </w:tc>
        <w:tc>
          <w:tcPr>
            <w:tcW w:w="57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设备供货、现场部署、调度系统与智慧试验室平台对接</w:t>
            </w:r>
          </w:p>
        </w:tc>
      </w:tr>
    </w:tbl>
    <w:p>
      <w:pPr>
        <w:spacing w:after="0" w:line="240" w:lineRule="auto"/>
      </w:pPr>
    </w:p>
    <w:p>
      <w:pPr>
        <w:rPr>
          <w:rFonts w:hint="eastAsia" w:ascii="宋体" w:hAnsi="宋体" w:cs="宋体"/>
          <w:b/>
          <w:sz w:val="28"/>
          <w:szCs w:val="28"/>
        </w:rPr>
      </w:pPr>
      <w:r>
        <w:rPr>
          <w:rFonts w:hint="eastAsia" w:ascii="宋体" w:hAnsi="宋体" w:cs="宋体"/>
          <w:b/>
          <w:sz w:val="28"/>
          <w:szCs w:val="28"/>
        </w:rPr>
        <w:br w:type="page"/>
      </w:r>
    </w:p>
    <w:p>
      <w:pPr>
        <w:keepNext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0" w:line="360" w:lineRule="auto"/>
        <w:ind w:left="0" w:firstLine="0"/>
        <w:jc w:val="left"/>
        <w:textAlignment w:val="baseline"/>
        <w:outlineLvl w:val="0"/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</w:pPr>
      <w:bookmarkStart w:id="130" w:name="_Toc900130"/>
      <w:r>
        <w:rPr>
          <w:rFonts w:hint="eastAsia" w:ascii="宋体" w:hAnsi="宋体" w:eastAsia="宋体" w:cs="宋体"/>
          <w:b/>
          <w:snapToGrid w:val="0"/>
          <w:color w:val="000000"/>
          <w:sz w:val="28"/>
          <w:szCs w:val="28"/>
          <w:lang w:val="en-US" w:eastAsia="zh-CN" w:bidi="ar-SA"/>
        </w:rPr>
        <w:t>六、后续演进规划</w:t>
      </w:r>
      <w:bookmarkEnd w:id="130"/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 w:firstLineChars="200"/>
        <w:jc w:val="both"/>
        <w:textAlignment w:val="auto"/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000000"/>
          <w:sz w:val="24"/>
          <w:szCs w:val="24"/>
          <w:lang w:val="en-US" w:eastAsia="zh-CN" w:bidi="ar-SA"/>
        </w:rPr>
        <w:t xml:space="preserve">智慧试验室建设遵循“先贯通、后提升”的演进路径。在本期业务闭环稳定运行的基础上，后续可围绕以下方向持续深化，并结合运行情况另行立项论证。</w:t>
      </w:r>
    </w:p>
    <w:tbl>
      <w:tblPr>
        <w:tblStyle w:val="15"/>
        <w:tblW w:w="8306" w:type="dxa"/>
        <w:jc w:val="center"/>
        <w:tblBorders>
          <w:top w:val="single" w:color="D9D9D9" w:sz="6" w:space="0"/>
          <w:left w:val="single" w:color="D9D9D9" w:sz="6" w:space="0"/>
          <w:bottom w:val="single" w:color="D9D9D9" w:sz="6" w:space="0"/>
          <w:right w:val="single" w:color="D9D9D9" w:sz="6" w:space="0"/>
          <w:insideH w:val="single" w:color="D9D9D9" w:sz="6" w:space="0"/>
          <w:insideV w:val="single" w:color="D9D9D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4406"/>
        <w:gridCol w:w="20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方向</w:t>
            </w:r>
          </w:p>
        </w:tc>
        <w:tc>
          <w:tcPr>
            <w:tcW w:w="4406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建设内容</w:t>
            </w:r>
          </w:p>
        </w:tc>
        <w:tc>
          <w:tcPr>
            <w:tcW w:w="2000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color w:val="FFFFFF"/>
                <w:sz w:val="18"/>
                <w:szCs w:val="18"/>
                <w:lang w:val="en-US" w:eastAsia="zh-CN"/>
              </w:rPr>
              <w:t xml:space="preserve">前置条件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知识库体系化建设</w:t>
            </w:r>
          </w:p>
        </w:tc>
        <w:tc>
          <w:tcPr>
            <w:tcW w:w="44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系统整理标准规范、试验方法、质量体系文件、报告模板、典型案例与项目成果，构建企业知识资产体系，进一步提升“小浦”的专业能力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业务数据持续沉淀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试块龄期智能提醒</w:t>
            </w:r>
          </w:p>
        </w:tc>
        <w:tc>
          <w:tcPr>
            <w:tcW w:w="44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依据试块成型日期与养护规则，自动提醒混凝土试块到龄期，替代人工台账管理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委托与样品数据贯通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异常预警与质量管控</w:t>
            </w:r>
          </w:p>
        </w:tc>
        <w:tc>
          <w:tcPr>
            <w:tcW w:w="44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对数据异常、设备与环境异常、进度异常及检测结果异常进行自动识别与预警，全过程留痕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设备数据直采覆盖率提升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专项报告智能编制</w:t>
            </w:r>
          </w:p>
        </w:tc>
        <w:tc>
          <w:tcPr>
            <w:tcW w:w="44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以桥梁定期检查报告为试点，集成现有桥检报告软件，逐步实现复杂报告的智能编制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常规报告自动生成机制成熟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设备全面接入</w:t>
            </w:r>
          </w:p>
        </w:tc>
        <w:tc>
          <w:tcPr>
            <w:tcW w:w="44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按仪器设备清单分批完成剩余设备的数据直采接入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示范与高频设备接入完成</w:t>
            </w:r>
          </w:p>
        </w:tc>
      </w:tr>
      <w:tr>
        <w:trPr>
          <w:cantSplit/>
          <w:jc w:val="center"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center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业务流程智能化重塑</w:t>
            </w:r>
          </w:p>
        </w:tc>
        <w:tc>
          <w:tcPr>
            <w:tcW w:w="440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由专业实施人员驻场，结合人工智能能力对检测业务流程进行系统性优化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before="0" w:after="0" w:line="269" w:lineRule="auto"/>
              <w:jc w:val="left"/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 xml:space="preserve">闭环运行稳定，数据基础完备</w:t>
            </w:r>
          </w:p>
        </w:tc>
      </w:tr>
    </w:tbl>
    <w:p>
      <w:pPr>
        <w:spacing w:after="0" w:line="240" w:lineRule="auto"/>
      </w:pPr>
    </w:p>
    <w:sectPr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0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B2D94">
    <w:pPr>
      <w:pStyle w:val="10"/>
      <w:pBdr>
        <w:bottom w:val="single" w:color="auto" w:sz="4" w:space="1"/>
      </w:pBdr>
      <w:jc w:val="left"/>
    </w:pPr>
    <w:r>
      <w:drawing>
        <wp:inline distT="0" distB="0" distL="114300" distR="114300">
          <wp:extent cx="1403350" cy="313055"/>
          <wp:effectExtent l="0" t="0" r="19050" b="17145"/>
          <wp:docPr id="7" name="图片 7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E34CE">
    <w:pPr>
      <w:keepNext w:val="0"/>
      <w:keepLines w:val="0"/>
      <w:widowControl/>
      <w:suppressLineNumbers w:val="0"/>
      <w:jc w:val="left"/>
      <w:rPr>
        <w:rFonts w:hint="eastAsia" w:ascii="Arial" w:hAnsi="Arial" w:eastAsia="Arial" w:cs="Arial"/>
        <w:snapToGrid w:val="0"/>
        <w:color w:val="000000"/>
        <w:sz w:val="18"/>
        <w:szCs w:val="21"/>
        <w:lang w:val="en-US" w:eastAsia="en-US" w:bidi="ar-SA"/>
      </w:rPr>
    </w:pPr>
    <w:r>
      <w:drawing>
        <wp:inline distT="0" distB="0" distL="114300" distR="114300">
          <wp:extent cx="1403350" cy="313055"/>
          <wp:effectExtent l="0" t="0" r="19050" b="17145"/>
          <wp:docPr id="6" name="图片 6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A picture containing text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3350" cy="313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           </w:t>
    </w:r>
  </w:p>
  <w:p w14:paraId="38C6142A">
    <w:pPr>
      <w:pStyle w:val="10"/>
      <w:pBdr>
        <w:bottom w:val="single" w:color="auto" w:sz="4" w:space="1"/>
      </w:pBdr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BCDCA1"/>
    <w:multiLevelType w:val="singleLevel"/>
    <w:tmpl w:val="B6BCDC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2696F"/>
    <w:multiLevelType w:val="singleLevel"/>
    <w:tmpl w:val="FFF2696F"/>
    <w:lvl w:ilvl="0" w:tentative="0">
      <w:start w:val="1"/>
      <w:numFmt w:val="bullet"/>
      <w:pStyle w:val="5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9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630333"/>
    <w:rsid w:val="1BFA8461"/>
    <w:rsid w:val="1ED080BD"/>
    <w:rsid w:val="1EDF220B"/>
    <w:rsid w:val="1F33375E"/>
    <w:rsid w:val="1FEF9140"/>
    <w:rsid w:val="2DFDEE70"/>
    <w:rsid w:val="2FF94483"/>
    <w:rsid w:val="327DCF2F"/>
    <w:rsid w:val="33DED774"/>
    <w:rsid w:val="375F5D7E"/>
    <w:rsid w:val="379F861E"/>
    <w:rsid w:val="37FF6126"/>
    <w:rsid w:val="3AFF6272"/>
    <w:rsid w:val="3B7F3489"/>
    <w:rsid w:val="3BB5970A"/>
    <w:rsid w:val="3BD61ED1"/>
    <w:rsid w:val="3BFBB2CE"/>
    <w:rsid w:val="3D1710B2"/>
    <w:rsid w:val="3FEB66F4"/>
    <w:rsid w:val="3FEF810B"/>
    <w:rsid w:val="47F2881C"/>
    <w:rsid w:val="47FEB22A"/>
    <w:rsid w:val="49D72C44"/>
    <w:rsid w:val="4DF67666"/>
    <w:rsid w:val="4EF3D872"/>
    <w:rsid w:val="4EFB4673"/>
    <w:rsid w:val="4FBFE9E7"/>
    <w:rsid w:val="4FED1B77"/>
    <w:rsid w:val="4FF85545"/>
    <w:rsid w:val="537FD392"/>
    <w:rsid w:val="53F7EDA9"/>
    <w:rsid w:val="54CF6E6F"/>
    <w:rsid w:val="56FF190F"/>
    <w:rsid w:val="592C72C2"/>
    <w:rsid w:val="5953B797"/>
    <w:rsid w:val="5BE49703"/>
    <w:rsid w:val="5EBF77A5"/>
    <w:rsid w:val="5EDF6142"/>
    <w:rsid w:val="5F7F938E"/>
    <w:rsid w:val="5F976D2F"/>
    <w:rsid w:val="5FF7E1AC"/>
    <w:rsid w:val="66BE2141"/>
    <w:rsid w:val="673F6C1B"/>
    <w:rsid w:val="675FEFC4"/>
    <w:rsid w:val="67FC8D19"/>
    <w:rsid w:val="67FDE435"/>
    <w:rsid w:val="67FFFE4C"/>
    <w:rsid w:val="69FFB10D"/>
    <w:rsid w:val="6AFC7B0E"/>
    <w:rsid w:val="6BBF332B"/>
    <w:rsid w:val="6CF6EB2D"/>
    <w:rsid w:val="6D6E27C5"/>
    <w:rsid w:val="6FEFFA61"/>
    <w:rsid w:val="6FFBBDFA"/>
    <w:rsid w:val="6FFCD85F"/>
    <w:rsid w:val="739EB0DF"/>
    <w:rsid w:val="76EBE406"/>
    <w:rsid w:val="772DB61D"/>
    <w:rsid w:val="773EA5FC"/>
    <w:rsid w:val="77F7231C"/>
    <w:rsid w:val="77FFA482"/>
    <w:rsid w:val="79EF1C98"/>
    <w:rsid w:val="7ABF6117"/>
    <w:rsid w:val="7B56D7F6"/>
    <w:rsid w:val="7BBBD9B1"/>
    <w:rsid w:val="7BC6032B"/>
    <w:rsid w:val="7BC89389"/>
    <w:rsid w:val="7BF3CDD5"/>
    <w:rsid w:val="7D7B1019"/>
    <w:rsid w:val="7DD7CCA1"/>
    <w:rsid w:val="7DFED04C"/>
    <w:rsid w:val="7EDFB97A"/>
    <w:rsid w:val="7EDFBC4C"/>
    <w:rsid w:val="7EED800B"/>
    <w:rsid w:val="7EEF324D"/>
    <w:rsid w:val="7EFF6D6A"/>
    <w:rsid w:val="7FBBDEB0"/>
    <w:rsid w:val="7FBC82B6"/>
    <w:rsid w:val="7FDF81DE"/>
    <w:rsid w:val="7FDFC75B"/>
    <w:rsid w:val="7FEF671B"/>
    <w:rsid w:val="7FF7FA0B"/>
    <w:rsid w:val="88FEE08A"/>
    <w:rsid w:val="99F3ED61"/>
    <w:rsid w:val="9D3C8507"/>
    <w:rsid w:val="9DE3874C"/>
    <w:rsid w:val="9ECF3FE8"/>
    <w:rsid w:val="9FFF566F"/>
    <w:rsid w:val="A7FFF4BD"/>
    <w:rsid w:val="A9F7E814"/>
    <w:rsid w:val="AEFAFB90"/>
    <w:rsid w:val="AFFC33DB"/>
    <w:rsid w:val="B3FBF7F7"/>
    <w:rsid w:val="B4FF3F9E"/>
    <w:rsid w:val="B75DC99A"/>
    <w:rsid w:val="B7FFFDE0"/>
    <w:rsid w:val="BAFB7ACE"/>
    <w:rsid w:val="BB585742"/>
    <w:rsid w:val="BCFE1750"/>
    <w:rsid w:val="BDF87CBE"/>
    <w:rsid w:val="BE3332F9"/>
    <w:rsid w:val="BEB7336A"/>
    <w:rsid w:val="BFDFA24A"/>
    <w:rsid w:val="BFEB228E"/>
    <w:rsid w:val="BFFBA497"/>
    <w:rsid w:val="BFFE4CA0"/>
    <w:rsid w:val="C5BF8391"/>
    <w:rsid w:val="C7EB4D50"/>
    <w:rsid w:val="C7F5855D"/>
    <w:rsid w:val="CBB11D32"/>
    <w:rsid w:val="CD95C1D6"/>
    <w:rsid w:val="CFBF7DB0"/>
    <w:rsid w:val="CFFA54A6"/>
    <w:rsid w:val="D37DEE6F"/>
    <w:rsid w:val="D4ED989D"/>
    <w:rsid w:val="DAE6369A"/>
    <w:rsid w:val="DCCF63B0"/>
    <w:rsid w:val="DD579D3C"/>
    <w:rsid w:val="DDBFC95B"/>
    <w:rsid w:val="DDF1F4B6"/>
    <w:rsid w:val="DDFFB463"/>
    <w:rsid w:val="DE7F52D7"/>
    <w:rsid w:val="DEEB6839"/>
    <w:rsid w:val="DF73EADE"/>
    <w:rsid w:val="DFBF9DEE"/>
    <w:rsid w:val="DFF14DC5"/>
    <w:rsid w:val="E217E932"/>
    <w:rsid w:val="EBBFC750"/>
    <w:rsid w:val="EDBF244F"/>
    <w:rsid w:val="EDFB5A0F"/>
    <w:rsid w:val="EDFFC171"/>
    <w:rsid w:val="EEFB6DA3"/>
    <w:rsid w:val="EEFBDC94"/>
    <w:rsid w:val="EEFF262E"/>
    <w:rsid w:val="EF7FB75B"/>
    <w:rsid w:val="EFAFE33D"/>
    <w:rsid w:val="EFE1BBC1"/>
    <w:rsid w:val="F1F7C533"/>
    <w:rsid w:val="F2B35E7D"/>
    <w:rsid w:val="F36DA31F"/>
    <w:rsid w:val="F5DDF764"/>
    <w:rsid w:val="F77FBF52"/>
    <w:rsid w:val="F7B2A363"/>
    <w:rsid w:val="F7DB4137"/>
    <w:rsid w:val="F7DF443C"/>
    <w:rsid w:val="F7EDE43A"/>
    <w:rsid w:val="F7F68770"/>
    <w:rsid w:val="F7FF715A"/>
    <w:rsid w:val="F936A98B"/>
    <w:rsid w:val="F93DF0FD"/>
    <w:rsid w:val="F975FD7C"/>
    <w:rsid w:val="F9D34781"/>
    <w:rsid w:val="F9D7C7D1"/>
    <w:rsid w:val="FAA2C575"/>
    <w:rsid w:val="FAFF9877"/>
    <w:rsid w:val="FB737F02"/>
    <w:rsid w:val="FBAF3EEC"/>
    <w:rsid w:val="FBB80877"/>
    <w:rsid w:val="FBBB32E2"/>
    <w:rsid w:val="FBE7A758"/>
    <w:rsid w:val="FBF32F41"/>
    <w:rsid w:val="FBFC0752"/>
    <w:rsid w:val="FCD71B3A"/>
    <w:rsid w:val="FDE5B633"/>
    <w:rsid w:val="FDEF3D45"/>
    <w:rsid w:val="FDFFA34C"/>
    <w:rsid w:val="FE2D871E"/>
    <w:rsid w:val="FEFD4627"/>
    <w:rsid w:val="FF3D2033"/>
    <w:rsid w:val="FF7FEEE4"/>
    <w:rsid w:val="FFAFDC94"/>
    <w:rsid w:val="FFDF9697"/>
    <w:rsid w:val="FFEE75F6"/>
    <w:rsid w:val="FFF76FF4"/>
    <w:rsid w:val="FFFF4CE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iPriority="99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2"/>
    <w:basedOn w:val="1"/>
    <w:next w:val="1"/>
    <w:qFormat/>
    <w:uiPriority w:val="0"/>
    <w:pPr>
      <w:outlineLvl w:val="1"/>
    </w:pPr>
    <w:rPr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7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Bullet"/>
    <w:basedOn w:val="1"/>
    <w:uiPriority w:val="0"/>
    <w:pPr>
      <w:numPr>
        <w:ilvl w:val="0"/>
        <w:numId w:val="1"/>
      </w:numPr>
    </w:pPr>
  </w:style>
  <w:style w:type="paragraph" w:styleId="6">
    <w:name w:val="Body Text Indent"/>
    <w:basedOn w:val="1"/>
    <w:qFormat/>
    <w:uiPriority w:val="0"/>
    <w:pPr>
      <w:spacing w:line="200" w:lineRule="exact"/>
      <w:ind w:firstLine="301"/>
    </w:pPr>
    <w:rPr>
      <w:rFonts w:ascii="宋体" w:hAnsi="Courier New"/>
      <w:spacing w:val="-4"/>
      <w:sz w:val="18"/>
      <w:szCs w:val="20"/>
    </w:r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Body Text Indent 2"/>
    <w:basedOn w:val="1"/>
    <w:qFormat/>
    <w:uiPriority w:val="0"/>
    <w:pPr>
      <w:spacing w:line="500" w:lineRule="exact"/>
      <w:ind w:firstLine="540" w:firstLineChars="200"/>
    </w:pPr>
    <w:rPr>
      <w:rFonts w:ascii="宋体" w:hAnsi="宋体"/>
      <w:sz w:val="27"/>
      <w:szCs w:val="27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toc 1"/>
    <w:basedOn w:val="1"/>
    <w:next w:val="1"/>
    <w:uiPriority w:val="0"/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Body Text First Indent 2"/>
    <w:basedOn w:val="6"/>
    <w:next w:val="8"/>
    <w:unhideWhenUsed/>
    <w:qFormat/>
    <w:uiPriority w:val="99"/>
    <w:pPr>
      <w:ind w:firstLine="420" w:firstLineChars="200"/>
    </w:pPr>
  </w:style>
  <w:style w:type="table" w:styleId="16">
    <w:name w:val="Table Grid"/>
    <w:basedOn w:val="1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0"/>
    <w:rPr>
      <w:b/>
    </w:rPr>
  </w:style>
  <w:style w:type="paragraph" w:customStyle="1" w:styleId="19">
    <w:name w:val="Caption Custom"/>
    <w:uiPriority w:val="0"/>
    <w:pPr>
      <w:spacing w:before="60" w:after="180" w:line="276" w:lineRule="auto"/>
      <w:jc w:val="center"/>
    </w:pPr>
    <w:rPr>
      <w:rFonts w:ascii="Arial Unicode MS" w:hAnsi="Arial Unicode MS" w:eastAsia="等线" w:cstheme="minorBidi"/>
      <w:color w:val="6B7280"/>
      <w:sz w:val="18"/>
      <w:szCs w:val="22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" Type="http://schemas.openxmlformats.org/officeDocument/2006/relationships/styles" Target="styles.xml"/><Relationship Id="rId31" Type="http://schemas.openxmlformats.org/officeDocument/2006/relationships/image" Target="media/c_diagram1.png"/><Relationship Id="rId32" Type="http://schemas.openxmlformats.org/officeDocument/2006/relationships/image" Target="media/c_diagram2.png"/><Relationship Id="rId33" Type="http://schemas.openxmlformats.org/officeDocument/2006/relationships/image" Target="media/c_diagram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21</Pages>
  <Words>12718</Words>
  <Characters>13010</Characters>
  <TotalTime>2</TotalTime>
  <ScaleCrop>false</ScaleCrop>
  <LinksUpToDate>false</LinksUpToDate>
  <CharactersWithSpaces>14090</CharactersWithSpaces>
  <Application>WPS Office_12.1.26055.26055_F1E327BC-269C-435d-A152-05C5408002CA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2026-06-12T11:26:00Z</dcterms:created>
  <dc:creator>Apache POI</dc:creator>
  <cp:lastModifiedBy>W</cp:lastModifiedBy>
  <dcterms:modified xsi:type="dcterms:W3CDTF">2026-09-22T21:28:01Z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7CFB38B59C5240D4C347B26A3A55708F_43</vt:lpwstr>
  </property>
</Properties>
</file>